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AC651" w14:textId="4D16AE35" w:rsidR="005B3B7E" w:rsidRDefault="005B3B7E" w:rsidP="005B3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Cs w:val="24"/>
          <w:lang w:eastAsia="lt-LT"/>
        </w:rPr>
      </w:pPr>
      <w:r>
        <w:rPr>
          <w:color w:val="000000"/>
          <w:szCs w:val="24"/>
          <w:lang w:eastAsia="lt-LT"/>
        </w:rPr>
        <w:t>Pirkimo sąlygų 6 priedas</w:t>
      </w:r>
    </w:p>
    <w:p w14:paraId="7A260583" w14:textId="77777777" w:rsidR="005B3B7E" w:rsidRPr="005B3B7E" w:rsidRDefault="005B3B7E" w:rsidP="00F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color w:val="000000"/>
          <w:szCs w:val="24"/>
          <w:lang w:eastAsia="lt-LT"/>
        </w:rPr>
      </w:pPr>
    </w:p>
    <w:p w14:paraId="098BCBFA" w14:textId="07589DCF" w:rsidR="00FE1DB9" w:rsidRPr="005B3B7E" w:rsidRDefault="00FE1DB9" w:rsidP="00F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r w:rsidRPr="005B3B7E">
        <w:rPr>
          <w:b/>
          <w:color w:val="000000"/>
          <w:szCs w:val="24"/>
          <w:lang w:eastAsia="lt-LT"/>
        </w:rPr>
        <w:t>SUSISIEKIMO KOMUNIKACIJOS SALANTŲ GATVĖS PLUNGĖS MIESTE KAPITALINIO REMONTO DARBŲ</w:t>
      </w:r>
    </w:p>
    <w:p w14:paraId="0143C03A" w14:textId="77777777" w:rsidR="00FE48A6" w:rsidRPr="00EF5240" w:rsidRDefault="00FE48A6" w:rsidP="00FE48A6">
      <w:pPr>
        <w:pStyle w:val="Stilius5"/>
        <w:spacing w:after="120" w:line="240" w:lineRule="auto"/>
        <w:outlineLvl w:val="0"/>
        <w:rPr>
          <w:color w:val="000000" w:themeColor="text1"/>
          <w:sz w:val="24"/>
          <w:szCs w:val="24"/>
        </w:rPr>
      </w:pPr>
      <w:r w:rsidRPr="00EF5240">
        <w:rPr>
          <w:color w:val="000000" w:themeColor="text1"/>
          <w:sz w:val="24"/>
          <w:szCs w:val="24"/>
        </w:rPr>
        <w:t xml:space="preserve">Veiklų </w:t>
      </w:r>
      <w:r w:rsidR="0016246A">
        <w:rPr>
          <w:color w:val="000000" w:themeColor="text1"/>
          <w:sz w:val="24"/>
          <w:szCs w:val="24"/>
        </w:rPr>
        <w:t>sąrašas</w:t>
      </w:r>
      <w:bookmarkStart w:id="0" w:name="_GoBack"/>
      <w:bookmarkEnd w:id="0"/>
    </w:p>
    <w:tbl>
      <w:tblPr>
        <w:tblStyle w:val="Lentelstinklelis"/>
        <w:tblpPr w:leftFromText="180" w:rightFromText="180" w:vertAnchor="text" w:horzAnchor="margin" w:tblpXSpec="center" w:tblpY="266"/>
        <w:tblW w:w="9209" w:type="dxa"/>
        <w:tblLayout w:type="fixed"/>
        <w:tblLook w:val="04A0" w:firstRow="1" w:lastRow="0" w:firstColumn="1" w:lastColumn="0" w:noHBand="0" w:noVBand="1"/>
      </w:tblPr>
      <w:tblGrid>
        <w:gridCol w:w="562"/>
        <w:gridCol w:w="6898"/>
        <w:gridCol w:w="1749"/>
      </w:tblGrid>
      <w:tr w:rsidR="0016246A" w:rsidRPr="00EF5240" w14:paraId="01D55AE8" w14:textId="77777777" w:rsidTr="00AB0D18">
        <w:trPr>
          <w:trHeight w:val="424"/>
        </w:trPr>
        <w:tc>
          <w:tcPr>
            <w:tcW w:w="562" w:type="dxa"/>
          </w:tcPr>
          <w:p w14:paraId="1F322AC4" w14:textId="77777777" w:rsidR="0016246A" w:rsidRPr="00EF5240" w:rsidRDefault="0016246A" w:rsidP="0025442D">
            <w:pPr>
              <w:autoSpaceDN w:val="0"/>
              <w:jc w:val="center"/>
              <w:rPr>
                <w:color w:val="000000" w:themeColor="text1"/>
                <w:sz w:val="22"/>
                <w:szCs w:val="22"/>
              </w:rPr>
            </w:pPr>
          </w:p>
        </w:tc>
        <w:tc>
          <w:tcPr>
            <w:tcW w:w="6898" w:type="dxa"/>
            <w:vAlign w:val="bottom"/>
          </w:tcPr>
          <w:p w14:paraId="629F75CC" w14:textId="77777777" w:rsidR="0016246A" w:rsidRPr="00EF5240" w:rsidRDefault="0016246A" w:rsidP="0025442D">
            <w:pPr>
              <w:rPr>
                <w:color w:val="000000" w:themeColor="text1"/>
                <w:szCs w:val="24"/>
              </w:rPr>
            </w:pPr>
            <w:r w:rsidRPr="002D1CB1">
              <w:t>Darbų grupių (etapų) pavadinimai</w:t>
            </w:r>
          </w:p>
        </w:tc>
        <w:tc>
          <w:tcPr>
            <w:tcW w:w="1749" w:type="dxa"/>
          </w:tcPr>
          <w:p w14:paraId="1A76FB3A" w14:textId="77777777" w:rsidR="0016246A" w:rsidRPr="00592456" w:rsidRDefault="006F1711" w:rsidP="006F1711">
            <w:pPr>
              <w:keepNext/>
              <w:suppressAutoHyphens/>
              <w:jc w:val="center"/>
              <w:outlineLvl w:val="2"/>
            </w:pPr>
            <w:r>
              <w:t xml:space="preserve">Kaina (be </w:t>
            </w:r>
            <w:r w:rsidR="0016246A" w:rsidRPr="00592456">
              <w:t>PVM)</w:t>
            </w:r>
          </w:p>
          <w:p w14:paraId="61908F46" w14:textId="77777777" w:rsidR="0016246A" w:rsidRPr="00EF5240" w:rsidRDefault="0016246A" w:rsidP="006F1711">
            <w:pPr>
              <w:autoSpaceDN w:val="0"/>
              <w:jc w:val="center"/>
              <w:rPr>
                <w:color w:val="000000" w:themeColor="text1"/>
                <w:sz w:val="22"/>
                <w:szCs w:val="22"/>
                <w:lang w:eastAsia="lt-LT"/>
              </w:rPr>
            </w:pPr>
            <w:r w:rsidRPr="00592456">
              <w:t>EUR</w:t>
            </w:r>
          </w:p>
        </w:tc>
      </w:tr>
      <w:tr w:rsidR="0016246A" w:rsidRPr="00EF5240" w14:paraId="2C073537" w14:textId="77777777" w:rsidTr="00AB0D18">
        <w:trPr>
          <w:trHeight w:val="424"/>
        </w:trPr>
        <w:tc>
          <w:tcPr>
            <w:tcW w:w="562" w:type="dxa"/>
          </w:tcPr>
          <w:p w14:paraId="3961648C" w14:textId="424C0508" w:rsidR="0016246A" w:rsidRPr="00EF5240" w:rsidRDefault="0033341B" w:rsidP="0025442D">
            <w:pPr>
              <w:autoSpaceDN w:val="0"/>
              <w:jc w:val="center"/>
              <w:rPr>
                <w:color w:val="000000" w:themeColor="text1"/>
                <w:sz w:val="22"/>
                <w:szCs w:val="22"/>
              </w:rPr>
            </w:pPr>
            <w:r>
              <w:rPr>
                <w:color w:val="000000" w:themeColor="text1"/>
                <w:sz w:val="22"/>
                <w:szCs w:val="22"/>
              </w:rPr>
              <w:t>1</w:t>
            </w:r>
            <w:r w:rsidR="0016246A" w:rsidRPr="00EF5240">
              <w:rPr>
                <w:color w:val="000000" w:themeColor="text1"/>
                <w:sz w:val="22"/>
                <w:szCs w:val="22"/>
              </w:rPr>
              <w:t>.</w:t>
            </w:r>
          </w:p>
        </w:tc>
        <w:tc>
          <w:tcPr>
            <w:tcW w:w="6898" w:type="dxa"/>
            <w:vAlign w:val="bottom"/>
          </w:tcPr>
          <w:p w14:paraId="685B2985" w14:textId="67C79EB9" w:rsidR="0016246A" w:rsidRPr="00EF5240" w:rsidRDefault="0016246A" w:rsidP="00FE1DB9">
            <w:pPr>
              <w:rPr>
                <w:color w:val="000000" w:themeColor="text1"/>
                <w:szCs w:val="24"/>
              </w:rPr>
            </w:pPr>
            <w:r w:rsidRPr="00EF5240">
              <w:rPr>
                <w:color w:val="000000" w:themeColor="text1"/>
                <w:szCs w:val="24"/>
              </w:rPr>
              <w:t xml:space="preserve">Susisiekimo dalis </w:t>
            </w:r>
          </w:p>
        </w:tc>
        <w:tc>
          <w:tcPr>
            <w:tcW w:w="1749" w:type="dxa"/>
          </w:tcPr>
          <w:p w14:paraId="0C54CB48" w14:textId="77777777" w:rsidR="0016246A" w:rsidRPr="00EF5240" w:rsidRDefault="0016246A" w:rsidP="0025442D">
            <w:pPr>
              <w:autoSpaceDN w:val="0"/>
              <w:rPr>
                <w:color w:val="000000" w:themeColor="text1"/>
                <w:sz w:val="22"/>
                <w:szCs w:val="22"/>
                <w:lang w:eastAsia="lt-LT"/>
              </w:rPr>
            </w:pPr>
          </w:p>
        </w:tc>
      </w:tr>
      <w:tr w:rsidR="0016246A" w:rsidRPr="00EF5240" w14:paraId="3C210B99" w14:textId="77777777" w:rsidTr="00AB0D18">
        <w:trPr>
          <w:trHeight w:val="395"/>
        </w:trPr>
        <w:tc>
          <w:tcPr>
            <w:tcW w:w="562" w:type="dxa"/>
          </w:tcPr>
          <w:p w14:paraId="49263ABF" w14:textId="191B62BE" w:rsidR="0016246A" w:rsidRPr="00EF5240" w:rsidRDefault="0033341B" w:rsidP="0025442D">
            <w:pPr>
              <w:autoSpaceDN w:val="0"/>
              <w:jc w:val="center"/>
              <w:rPr>
                <w:color w:val="000000" w:themeColor="text1"/>
                <w:sz w:val="22"/>
                <w:szCs w:val="22"/>
              </w:rPr>
            </w:pPr>
            <w:r>
              <w:rPr>
                <w:color w:val="000000" w:themeColor="text1"/>
                <w:sz w:val="22"/>
                <w:szCs w:val="22"/>
              </w:rPr>
              <w:t>2</w:t>
            </w:r>
            <w:r w:rsidR="0016246A" w:rsidRPr="00EF5240">
              <w:rPr>
                <w:color w:val="000000" w:themeColor="text1"/>
                <w:sz w:val="22"/>
                <w:szCs w:val="22"/>
              </w:rPr>
              <w:t>.</w:t>
            </w:r>
          </w:p>
        </w:tc>
        <w:tc>
          <w:tcPr>
            <w:tcW w:w="6898" w:type="dxa"/>
          </w:tcPr>
          <w:p w14:paraId="5AA880EC" w14:textId="741BC0FD" w:rsidR="0016246A" w:rsidRPr="00EF5240" w:rsidRDefault="0016246A" w:rsidP="00FE1DB9">
            <w:pPr>
              <w:rPr>
                <w:color w:val="000000" w:themeColor="text1"/>
              </w:rPr>
            </w:pPr>
            <w:r w:rsidRPr="00EF5240">
              <w:rPr>
                <w:color w:val="000000" w:themeColor="text1"/>
              </w:rPr>
              <w:t xml:space="preserve">Nuotekų šalinimo dalis </w:t>
            </w:r>
          </w:p>
        </w:tc>
        <w:tc>
          <w:tcPr>
            <w:tcW w:w="1749" w:type="dxa"/>
          </w:tcPr>
          <w:p w14:paraId="0D66CF08" w14:textId="77777777" w:rsidR="0016246A" w:rsidRPr="00EF5240" w:rsidRDefault="0016246A" w:rsidP="0025442D">
            <w:pPr>
              <w:autoSpaceDN w:val="0"/>
              <w:rPr>
                <w:color w:val="000000" w:themeColor="text1"/>
                <w:lang w:eastAsia="lt-LT"/>
              </w:rPr>
            </w:pPr>
          </w:p>
        </w:tc>
      </w:tr>
      <w:tr w:rsidR="0016246A" w:rsidRPr="00EF5240" w14:paraId="5A962020" w14:textId="77777777" w:rsidTr="00AB0D18">
        <w:trPr>
          <w:trHeight w:val="395"/>
        </w:trPr>
        <w:tc>
          <w:tcPr>
            <w:tcW w:w="562" w:type="dxa"/>
          </w:tcPr>
          <w:p w14:paraId="6FC055F2" w14:textId="2F9B5BC0" w:rsidR="0016246A" w:rsidRPr="00EF5240" w:rsidRDefault="0033341B" w:rsidP="0025442D">
            <w:pPr>
              <w:autoSpaceDN w:val="0"/>
              <w:jc w:val="center"/>
              <w:rPr>
                <w:color w:val="000000" w:themeColor="text1"/>
                <w:sz w:val="22"/>
                <w:szCs w:val="22"/>
              </w:rPr>
            </w:pPr>
            <w:r>
              <w:rPr>
                <w:color w:val="000000" w:themeColor="text1"/>
                <w:sz w:val="22"/>
                <w:szCs w:val="22"/>
              </w:rPr>
              <w:t>3</w:t>
            </w:r>
            <w:r w:rsidR="0016246A" w:rsidRPr="00EF5240">
              <w:rPr>
                <w:color w:val="000000" w:themeColor="text1"/>
                <w:sz w:val="22"/>
                <w:szCs w:val="22"/>
              </w:rPr>
              <w:t>.</w:t>
            </w:r>
          </w:p>
        </w:tc>
        <w:tc>
          <w:tcPr>
            <w:tcW w:w="6898" w:type="dxa"/>
          </w:tcPr>
          <w:p w14:paraId="40AE0665" w14:textId="7F0B6B2E" w:rsidR="0016246A" w:rsidRPr="00EF5240" w:rsidRDefault="00FE1DB9" w:rsidP="00FE1DB9">
            <w:pPr>
              <w:rPr>
                <w:color w:val="000000" w:themeColor="text1"/>
              </w:rPr>
            </w:pPr>
            <w:r>
              <w:rPr>
                <w:color w:val="000000" w:themeColor="text1"/>
              </w:rPr>
              <w:t>Elektrotechnikos. Ap</w:t>
            </w:r>
            <w:r w:rsidR="0016246A" w:rsidRPr="00EF5240">
              <w:rPr>
                <w:color w:val="000000" w:themeColor="text1"/>
              </w:rPr>
              <w:t xml:space="preserve">švietimo </w:t>
            </w:r>
          </w:p>
        </w:tc>
        <w:tc>
          <w:tcPr>
            <w:tcW w:w="1749" w:type="dxa"/>
          </w:tcPr>
          <w:p w14:paraId="6F3836AB" w14:textId="77777777" w:rsidR="0016246A" w:rsidRPr="00EF5240" w:rsidRDefault="0016246A" w:rsidP="0025442D">
            <w:pPr>
              <w:autoSpaceDN w:val="0"/>
              <w:rPr>
                <w:color w:val="000000" w:themeColor="text1"/>
                <w:lang w:eastAsia="lt-LT"/>
              </w:rPr>
            </w:pPr>
          </w:p>
        </w:tc>
      </w:tr>
      <w:tr w:rsidR="0016246A" w:rsidRPr="00EF5240" w14:paraId="124A279E" w14:textId="77777777" w:rsidTr="00AB0D18">
        <w:trPr>
          <w:trHeight w:val="841"/>
        </w:trPr>
        <w:tc>
          <w:tcPr>
            <w:tcW w:w="562" w:type="dxa"/>
          </w:tcPr>
          <w:p w14:paraId="06A7488D" w14:textId="4B7A4552" w:rsidR="0016246A" w:rsidRPr="00EF5240" w:rsidRDefault="0033341B" w:rsidP="0025442D">
            <w:pPr>
              <w:autoSpaceDN w:val="0"/>
              <w:jc w:val="center"/>
              <w:rPr>
                <w:bCs/>
                <w:color w:val="000000" w:themeColor="text1"/>
                <w:sz w:val="22"/>
                <w:szCs w:val="22"/>
                <w:lang w:eastAsia="lt-LT"/>
              </w:rPr>
            </w:pPr>
            <w:r>
              <w:rPr>
                <w:bCs/>
                <w:color w:val="000000" w:themeColor="text1"/>
                <w:sz w:val="22"/>
                <w:szCs w:val="22"/>
                <w:lang w:eastAsia="lt-LT"/>
              </w:rPr>
              <w:t>4</w:t>
            </w:r>
            <w:r w:rsidR="0016246A" w:rsidRPr="00EF5240">
              <w:rPr>
                <w:bCs/>
                <w:color w:val="000000" w:themeColor="text1"/>
                <w:sz w:val="22"/>
                <w:szCs w:val="22"/>
                <w:lang w:eastAsia="lt-LT"/>
              </w:rPr>
              <w:t>.</w:t>
            </w:r>
          </w:p>
        </w:tc>
        <w:tc>
          <w:tcPr>
            <w:tcW w:w="6898" w:type="dxa"/>
            <w:hideMark/>
          </w:tcPr>
          <w:p w14:paraId="7051AF33" w14:textId="10D672E5" w:rsidR="0016246A" w:rsidRPr="00EF5240" w:rsidRDefault="00A83E4C" w:rsidP="00FE1DB9">
            <w:pPr>
              <w:autoSpaceDN w:val="0"/>
              <w:jc w:val="both"/>
              <w:rPr>
                <w:bCs/>
                <w:color w:val="000000" w:themeColor="text1"/>
                <w:sz w:val="22"/>
                <w:szCs w:val="22"/>
                <w:lang w:eastAsia="lt-LT"/>
              </w:rPr>
            </w:pPr>
            <w:r w:rsidRPr="00FE1DB9">
              <w:rPr>
                <w:color w:val="000000" w:themeColor="text1"/>
                <w:szCs w:val="24"/>
              </w:rPr>
              <w:t xml:space="preserve">Kadastrinių matavimų bylos: statinio ir žemės sklypų kadastrinių bylų </w:t>
            </w:r>
            <w:r w:rsidRPr="00FE1DB9">
              <w:rPr>
                <w:szCs w:val="24"/>
              </w:rPr>
              <w:t>atnaujinimą su VĮ „Registrų centro“ išankstinės patikros išvada pateikimą ir dokumentacijos sukėlimą į IS „</w:t>
            </w:r>
            <w:proofErr w:type="spellStart"/>
            <w:r w:rsidRPr="00FE1DB9">
              <w:rPr>
                <w:szCs w:val="24"/>
              </w:rPr>
              <w:t>Infostatyba</w:t>
            </w:r>
            <w:proofErr w:type="spellEnd"/>
            <w:r w:rsidRPr="00FE1DB9">
              <w:rPr>
                <w:szCs w:val="24"/>
              </w:rPr>
              <w:t xml:space="preserve">“ statybos užbaigimo procedūroms vykdyti taip pat  pateikimą </w:t>
            </w:r>
            <w:r w:rsidR="00FE1DB9" w:rsidRPr="00FE1DB9">
              <w:rPr>
                <w:szCs w:val="24"/>
              </w:rPr>
              <w:t xml:space="preserve"> Kadastrinių matavimų bylos: statinio ir žemės sklypų kadastrinių bylų atnaujinimą su VĮ „Registrų centro“ išankstinės patikros išvada pateikimą ir dokumentacijos sukėlimą į IS „</w:t>
            </w:r>
            <w:proofErr w:type="spellStart"/>
            <w:r w:rsidR="00FE1DB9" w:rsidRPr="00FE1DB9">
              <w:rPr>
                <w:szCs w:val="24"/>
              </w:rPr>
              <w:t>Infostatyba</w:t>
            </w:r>
            <w:proofErr w:type="spellEnd"/>
            <w:r w:rsidR="00FE1DB9" w:rsidRPr="00FE1DB9">
              <w:rPr>
                <w:szCs w:val="24"/>
              </w:rPr>
              <w:t xml:space="preserve">“ statybos užbaigimo procedūroms vykdyti taip pat  pateikimą Užsakovui Valstybinės teritorijų planavimo ir statybos inspekcijos prie Aplinkos ministerijos statybos užbaigimo deklaracijos ir/ar akto. </w:t>
            </w:r>
          </w:p>
        </w:tc>
        <w:tc>
          <w:tcPr>
            <w:tcW w:w="1749" w:type="dxa"/>
            <w:hideMark/>
          </w:tcPr>
          <w:p w14:paraId="08BB3E1A" w14:textId="77777777" w:rsidR="0016246A" w:rsidRPr="00EF5240" w:rsidRDefault="0016246A" w:rsidP="0025442D">
            <w:pPr>
              <w:autoSpaceDN w:val="0"/>
              <w:rPr>
                <w:color w:val="000000" w:themeColor="text1"/>
                <w:sz w:val="22"/>
                <w:szCs w:val="22"/>
                <w:lang w:eastAsia="lt-LT"/>
              </w:rPr>
            </w:pPr>
          </w:p>
        </w:tc>
      </w:tr>
      <w:tr w:rsidR="0016246A" w:rsidRPr="00EF5240" w14:paraId="55AA182C" w14:textId="77777777" w:rsidTr="00AB0D18">
        <w:trPr>
          <w:trHeight w:val="326"/>
        </w:trPr>
        <w:tc>
          <w:tcPr>
            <w:tcW w:w="562" w:type="dxa"/>
          </w:tcPr>
          <w:p w14:paraId="41DE8668" w14:textId="77777777" w:rsidR="0016246A" w:rsidRPr="00EF5240" w:rsidRDefault="0016246A" w:rsidP="0016246A">
            <w:pPr>
              <w:autoSpaceDN w:val="0"/>
              <w:jc w:val="center"/>
              <w:rPr>
                <w:bCs/>
                <w:color w:val="000000" w:themeColor="text1"/>
                <w:sz w:val="22"/>
                <w:szCs w:val="22"/>
                <w:lang w:eastAsia="lt-LT"/>
              </w:rPr>
            </w:pPr>
          </w:p>
        </w:tc>
        <w:tc>
          <w:tcPr>
            <w:tcW w:w="6898" w:type="dxa"/>
          </w:tcPr>
          <w:p w14:paraId="10D70B7E" w14:textId="77777777" w:rsidR="0016246A" w:rsidRPr="00592456" w:rsidRDefault="0016246A" w:rsidP="0016246A">
            <w:pPr>
              <w:keepNext/>
              <w:suppressAutoHyphens/>
              <w:jc w:val="right"/>
              <w:outlineLvl w:val="2"/>
            </w:pPr>
            <w:r w:rsidRPr="00592456">
              <w:t>Suma be PVM</w:t>
            </w:r>
          </w:p>
        </w:tc>
        <w:tc>
          <w:tcPr>
            <w:tcW w:w="1749" w:type="dxa"/>
          </w:tcPr>
          <w:p w14:paraId="24E08DBB" w14:textId="77777777" w:rsidR="0016246A" w:rsidRPr="00EF5240" w:rsidRDefault="0016246A" w:rsidP="0016246A">
            <w:pPr>
              <w:autoSpaceDN w:val="0"/>
              <w:rPr>
                <w:color w:val="000000" w:themeColor="text1"/>
                <w:sz w:val="22"/>
                <w:szCs w:val="22"/>
                <w:lang w:eastAsia="lt-LT"/>
              </w:rPr>
            </w:pPr>
          </w:p>
        </w:tc>
      </w:tr>
      <w:tr w:rsidR="0016246A" w:rsidRPr="00EF5240" w14:paraId="56E65744" w14:textId="77777777" w:rsidTr="00AB0D18">
        <w:trPr>
          <w:trHeight w:val="326"/>
        </w:trPr>
        <w:tc>
          <w:tcPr>
            <w:tcW w:w="562" w:type="dxa"/>
          </w:tcPr>
          <w:p w14:paraId="796E36A2" w14:textId="77777777" w:rsidR="0016246A" w:rsidRPr="00EF5240" w:rsidRDefault="0016246A" w:rsidP="0016246A">
            <w:pPr>
              <w:autoSpaceDN w:val="0"/>
              <w:jc w:val="center"/>
              <w:rPr>
                <w:bCs/>
                <w:color w:val="000000" w:themeColor="text1"/>
                <w:sz w:val="22"/>
                <w:szCs w:val="22"/>
                <w:lang w:eastAsia="lt-LT"/>
              </w:rPr>
            </w:pPr>
          </w:p>
        </w:tc>
        <w:tc>
          <w:tcPr>
            <w:tcW w:w="6898" w:type="dxa"/>
          </w:tcPr>
          <w:p w14:paraId="1432DF36" w14:textId="77777777" w:rsidR="0016246A" w:rsidRPr="00592456" w:rsidRDefault="0016246A" w:rsidP="0016246A">
            <w:pPr>
              <w:keepNext/>
              <w:suppressAutoHyphens/>
              <w:jc w:val="right"/>
              <w:outlineLvl w:val="2"/>
            </w:pPr>
            <w:r w:rsidRPr="00592456">
              <w:t>PVM [tarifas]</w:t>
            </w:r>
          </w:p>
        </w:tc>
        <w:tc>
          <w:tcPr>
            <w:tcW w:w="1749" w:type="dxa"/>
          </w:tcPr>
          <w:p w14:paraId="7EA9E5EB" w14:textId="77777777" w:rsidR="0016246A" w:rsidRPr="00EF5240" w:rsidRDefault="0016246A" w:rsidP="0016246A">
            <w:pPr>
              <w:autoSpaceDN w:val="0"/>
              <w:rPr>
                <w:color w:val="000000" w:themeColor="text1"/>
                <w:sz w:val="22"/>
                <w:szCs w:val="22"/>
                <w:lang w:eastAsia="lt-LT"/>
              </w:rPr>
            </w:pPr>
          </w:p>
        </w:tc>
      </w:tr>
      <w:tr w:rsidR="0016246A" w:rsidRPr="00EF5240" w14:paraId="6F407D78" w14:textId="77777777" w:rsidTr="00AB0D18">
        <w:trPr>
          <w:trHeight w:val="326"/>
        </w:trPr>
        <w:tc>
          <w:tcPr>
            <w:tcW w:w="562" w:type="dxa"/>
          </w:tcPr>
          <w:p w14:paraId="5DAE9EF2" w14:textId="77777777" w:rsidR="0016246A" w:rsidRPr="00EF5240" w:rsidRDefault="0016246A" w:rsidP="0016246A">
            <w:pPr>
              <w:autoSpaceDN w:val="0"/>
              <w:jc w:val="center"/>
              <w:rPr>
                <w:bCs/>
                <w:color w:val="000000" w:themeColor="text1"/>
                <w:sz w:val="22"/>
                <w:szCs w:val="22"/>
                <w:lang w:eastAsia="lt-LT"/>
              </w:rPr>
            </w:pPr>
          </w:p>
        </w:tc>
        <w:tc>
          <w:tcPr>
            <w:tcW w:w="6898" w:type="dxa"/>
          </w:tcPr>
          <w:p w14:paraId="0F14A28D" w14:textId="77777777" w:rsidR="0016246A" w:rsidRPr="00592456" w:rsidRDefault="0016246A" w:rsidP="0016246A">
            <w:pPr>
              <w:keepNext/>
              <w:suppressAutoHyphens/>
              <w:jc w:val="right"/>
              <w:outlineLvl w:val="2"/>
            </w:pPr>
            <w:r w:rsidRPr="00592456">
              <w:t>Bendra suma su PVM</w:t>
            </w:r>
          </w:p>
        </w:tc>
        <w:tc>
          <w:tcPr>
            <w:tcW w:w="1749" w:type="dxa"/>
          </w:tcPr>
          <w:p w14:paraId="25ACBFA2" w14:textId="77777777" w:rsidR="0016246A" w:rsidRPr="00EF5240" w:rsidRDefault="0016246A" w:rsidP="0016246A">
            <w:pPr>
              <w:autoSpaceDN w:val="0"/>
              <w:rPr>
                <w:color w:val="000000" w:themeColor="text1"/>
                <w:sz w:val="22"/>
                <w:szCs w:val="22"/>
                <w:lang w:eastAsia="lt-LT"/>
              </w:rPr>
            </w:pPr>
          </w:p>
        </w:tc>
      </w:tr>
    </w:tbl>
    <w:p w14:paraId="181A59B6" w14:textId="77777777" w:rsidR="0016246A" w:rsidRDefault="0016246A" w:rsidP="00FE48A6">
      <w:pPr>
        <w:spacing w:before="200"/>
        <w:jc w:val="both"/>
        <w:rPr>
          <w:b/>
          <w:color w:val="000000" w:themeColor="text1"/>
        </w:rPr>
      </w:pPr>
    </w:p>
    <w:p w14:paraId="595C621D" w14:textId="05EA2C44" w:rsidR="00FE48A6" w:rsidRPr="00EF5240" w:rsidRDefault="00FE48A6" w:rsidP="00FE48A6">
      <w:pPr>
        <w:spacing w:before="200"/>
        <w:jc w:val="both"/>
        <w:rPr>
          <w:b/>
          <w:color w:val="000000" w:themeColor="text1"/>
        </w:rPr>
      </w:pPr>
      <w:r w:rsidRPr="00EF5240">
        <w:rPr>
          <w:b/>
          <w:color w:val="000000" w:themeColor="text1"/>
        </w:rPr>
        <w:t>Pastabos:</w:t>
      </w:r>
    </w:p>
    <w:p w14:paraId="482CCE9F" w14:textId="77777777" w:rsidR="00FE48A6" w:rsidRPr="00606237" w:rsidRDefault="00FE48A6" w:rsidP="00FE48A6">
      <w:pPr>
        <w:pStyle w:val="Sraopastraipa"/>
        <w:numPr>
          <w:ilvl w:val="0"/>
          <w:numId w:val="1"/>
        </w:numPr>
        <w:spacing w:after="160" w:line="259" w:lineRule="auto"/>
        <w:jc w:val="both"/>
        <w:rPr>
          <w:rFonts w:ascii="Times New Roman" w:hAnsi="Times New Roman" w:cs="Times New Roman"/>
          <w:color w:val="000000" w:themeColor="text1"/>
          <w:sz w:val="24"/>
          <w:szCs w:val="24"/>
        </w:rPr>
      </w:pPr>
      <w:r w:rsidRPr="00606237">
        <w:rPr>
          <w:rFonts w:ascii="Times New Roman" w:hAnsi="Times New Roman" w:cs="Times New Roman"/>
          <w:color w:val="000000" w:themeColor="text1"/>
          <w:sz w:val="24"/>
          <w:szCs w:val="24"/>
        </w:rPr>
        <w:t>Reikalinga įsivertinti visus technologiškai būtinus darbus vertinant visą pateiktą konkursinę dokumentaciją iš esmės t.</w:t>
      </w:r>
      <w:r w:rsidRPr="00606237">
        <w:rPr>
          <w:rFonts w:ascii="Times New Roman" w:hAnsi="Times New Roman" w:cs="Times New Roman"/>
          <w:color w:val="000000" w:themeColor="text1"/>
          <w:sz w:val="24"/>
          <w:szCs w:val="24"/>
          <w:lang w:val="lt-LT"/>
        </w:rPr>
        <w:t xml:space="preserve"> </w:t>
      </w:r>
      <w:r w:rsidRPr="00606237">
        <w:rPr>
          <w:rFonts w:ascii="Times New Roman" w:hAnsi="Times New Roman" w:cs="Times New Roman"/>
          <w:color w:val="000000" w:themeColor="text1"/>
          <w:sz w:val="24"/>
          <w:szCs w:val="24"/>
        </w:rPr>
        <w:t>y., vadovautis Lietuvos Respublikos Statybos įstatymu, galiojančiais Statybos techniniais reglamentais, statybos standartais, rekomendacijomis bei kitais teisės aktais, technine specifikacija, techniniu projektu, projekto dalių techninėmis specifikacijos, aiškinamuoju raštu ir brėžiniais.</w:t>
      </w:r>
    </w:p>
    <w:p w14:paraId="7E8999B9" w14:textId="0323A55B" w:rsidR="00606237" w:rsidRPr="00606237" w:rsidRDefault="00606237" w:rsidP="00606237">
      <w:pPr>
        <w:pStyle w:val="Sraopastraipa"/>
        <w:numPr>
          <w:ilvl w:val="0"/>
          <w:numId w:val="1"/>
        </w:numPr>
        <w:autoSpaceDN w:val="0"/>
        <w:jc w:val="both"/>
        <w:rPr>
          <w:rFonts w:ascii="Times New Roman" w:hAnsi="Times New Roman" w:cs="Times New Roman"/>
          <w:bCs/>
          <w:sz w:val="24"/>
          <w:szCs w:val="24"/>
        </w:rPr>
      </w:pPr>
      <w:r w:rsidRPr="00606237">
        <w:rPr>
          <w:rFonts w:ascii="Times New Roman" w:hAnsi="Times New Roman" w:cs="Times New Roman"/>
          <w:sz w:val="24"/>
          <w:szCs w:val="24"/>
        </w:rPr>
        <w:t xml:space="preserve">Rangovas Darbus vykdys pagal Darbų vykdymo grafiką, kuris turės būti parengtas ir suderintas su Perkančiąja organizacija per 5 darbo dienas nuo sutarties įsigaliojimo dienos. </w:t>
      </w:r>
    </w:p>
    <w:p w14:paraId="14C99FA3" w14:textId="4AD0B69F" w:rsidR="0023685E" w:rsidRPr="00606237" w:rsidRDefault="00606237" w:rsidP="00606237">
      <w:pPr>
        <w:pStyle w:val="Sraopastraipa"/>
        <w:numPr>
          <w:ilvl w:val="0"/>
          <w:numId w:val="1"/>
        </w:numPr>
        <w:autoSpaceDN w:val="0"/>
        <w:jc w:val="both"/>
        <w:rPr>
          <w:rFonts w:ascii="Times New Roman" w:hAnsi="Times New Roman" w:cs="Times New Roman"/>
          <w:sz w:val="24"/>
          <w:szCs w:val="24"/>
        </w:rPr>
      </w:pPr>
      <w:r w:rsidRPr="00606237">
        <w:rPr>
          <w:rFonts w:ascii="Times New Roman" w:hAnsi="Times New Roman" w:cs="Times New Roman"/>
          <w:sz w:val="24"/>
          <w:szCs w:val="24"/>
        </w:rPr>
        <w:t>Darbų vykdymo metu, atsižvelgiant į Sutartyje numatytus atvejus, Darbų vykdymo grafikas gali būti koreguojamas. Grafikas keičiamas tik dėl darbų pradžios datos pasikeitimo ir kitų nuo Rangovo nepriklausančių priežasčių. Vėlavimas atlikti darbus negali būti grafiko keitimo priežastis.</w:t>
      </w:r>
    </w:p>
    <w:sectPr w:rsidR="0023685E" w:rsidRPr="006062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04C4"/>
    <w:multiLevelType w:val="multilevel"/>
    <w:tmpl w:val="78C6BA00"/>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256A053B"/>
    <w:multiLevelType w:val="hybridMultilevel"/>
    <w:tmpl w:val="783C2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37"/>
    <w:rsid w:val="0016246A"/>
    <w:rsid w:val="0023685E"/>
    <w:rsid w:val="00266506"/>
    <w:rsid w:val="0033341B"/>
    <w:rsid w:val="0053367F"/>
    <w:rsid w:val="005B3B7E"/>
    <w:rsid w:val="00606237"/>
    <w:rsid w:val="006F1711"/>
    <w:rsid w:val="007E7637"/>
    <w:rsid w:val="008246A3"/>
    <w:rsid w:val="009118A0"/>
    <w:rsid w:val="00A83E4C"/>
    <w:rsid w:val="00AB0D18"/>
    <w:rsid w:val="00B253E9"/>
    <w:rsid w:val="00FE1DB9"/>
    <w:rsid w:val="00FE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48E2"/>
  <w15:chartTrackingRefBased/>
  <w15:docId w15:val="{F401661C-2922-4004-BCEB-2D1066E3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8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FE48A6"/>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FE48A6"/>
    <w:pPr>
      <w:spacing w:after="200" w:line="276" w:lineRule="auto"/>
      <w:ind w:left="720"/>
      <w:contextualSpacing/>
    </w:pPr>
    <w:rPr>
      <w:rFonts w:ascii="Calibri" w:eastAsiaTheme="minorHAnsi" w:hAnsi="Calibri" w:cstheme="minorBidi"/>
      <w:sz w:val="22"/>
      <w:szCs w:val="22"/>
      <w:lang w:val="x-none"/>
    </w:rPr>
  </w:style>
  <w:style w:type="paragraph" w:customStyle="1" w:styleId="Stilius5">
    <w:name w:val="Stilius5"/>
    <w:basedOn w:val="prastasis"/>
    <w:qFormat/>
    <w:rsid w:val="00FE48A6"/>
    <w:pPr>
      <w:spacing w:after="200" w:line="276" w:lineRule="auto"/>
      <w:jc w:val="center"/>
    </w:pPr>
    <w:rPr>
      <w:b/>
      <w:sz w:val="28"/>
      <w:szCs w:val="28"/>
    </w:rPr>
  </w:style>
  <w:style w:type="table" w:styleId="Lentelstinklelis">
    <w:name w:val="Table Grid"/>
    <w:basedOn w:val="prastojilentel"/>
    <w:uiPriority w:val="59"/>
    <w:rsid w:val="00FE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A83E4C"/>
    <w:rPr>
      <w:sz w:val="20"/>
    </w:rPr>
  </w:style>
  <w:style w:type="character" w:customStyle="1" w:styleId="KomentarotekstasDiagrama">
    <w:name w:val="Komentaro tekstas Diagrama"/>
    <w:basedOn w:val="Numatytasispastraiposriftas"/>
    <w:link w:val="Komentarotekstas"/>
    <w:rsid w:val="00A83E4C"/>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83E4C"/>
    <w:rPr>
      <w:sz w:val="16"/>
      <w:szCs w:val="16"/>
    </w:rPr>
  </w:style>
  <w:style w:type="paragraph" w:styleId="Debesliotekstas">
    <w:name w:val="Balloon Text"/>
    <w:basedOn w:val="prastasis"/>
    <w:link w:val="DebesliotekstasDiagrama"/>
    <w:uiPriority w:val="99"/>
    <w:semiHidden/>
    <w:unhideWhenUsed/>
    <w:rsid w:val="00A83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3E4C"/>
    <w:rPr>
      <w:rFonts w:ascii="Segoe UI" w:eastAsia="Times New Roman" w:hAnsi="Segoe UI" w:cs="Segoe UI"/>
      <w:sz w:val="18"/>
      <w:szCs w:val="18"/>
    </w:rPr>
  </w:style>
  <w:style w:type="paragraph" w:styleId="HTMLiankstoformatuotas">
    <w:name w:val="HTML Preformatted"/>
    <w:basedOn w:val="prastasis"/>
    <w:link w:val="HTMLiankstoformatuotasDiagrama"/>
    <w:uiPriority w:val="99"/>
    <w:semiHidden/>
    <w:unhideWhenUsed/>
    <w:rsid w:val="00F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1DB9"/>
    <w:rPr>
      <w:rFonts w:ascii="Courier New" w:eastAsia="Times New Roman"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53367F"/>
    <w:rPr>
      <w:b/>
      <w:bCs/>
    </w:rPr>
  </w:style>
  <w:style w:type="character" w:customStyle="1" w:styleId="KomentarotemaDiagrama">
    <w:name w:val="Komentaro tema Diagrama"/>
    <w:basedOn w:val="KomentarotekstasDiagrama"/>
    <w:link w:val="Komentarotema"/>
    <w:uiPriority w:val="99"/>
    <w:semiHidden/>
    <w:rsid w:val="0053367F"/>
    <w:rPr>
      <w:rFonts w:ascii="Times New Roman" w:eastAsia="Times New Roman" w:hAnsi="Times New Roman" w:cs="Times New Roman"/>
      <w:b/>
      <w:bCs/>
      <w:sz w:val="20"/>
      <w:szCs w:val="20"/>
    </w:rPr>
  </w:style>
  <w:style w:type="paragraph" w:customStyle="1" w:styleId="Stilius4">
    <w:name w:val="Stilius4"/>
    <w:basedOn w:val="prastasis"/>
    <w:rsid w:val="0053367F"/>
    <w:pPr>
      <w:numPr>
        <w:numId w:val="3"/>
      </w:numPr>
      <w:spacing w:before="200"/>
      <w:ind w:hanging="57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1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Budrys</dc:creator>
  <cp:keywords/>
  <dc:description/>
  <cp:lastModifiedBy>Daiva Jonauskienė</cp:lastModifiedBy>
  <cp:revision>3</cp:revision>
  <dcterms:created xsi:type="dcterms:W3CDTF">2026-01-22T14:23:00Z</dcterms:created>
  <dcterms:modified xsi:type="dcterms:W3CDTF">2026-01-22T14:32:00Z</dcterms:modified>
</cp:coreProperties>
</file>