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00B90" w14:textId="5109671E" w:rsidR="000F17D6" w:rsidRPr="004340FC" w:rsidRDefault="000F17D6" w:rsidP="000F17D6">
      <w:pPr>
        <w:jc w:val="right"/>
        <w:rPr>
          <w:rFonts w:ascii="Joost" w:hAnsi="Joost" w:hint="eastAsia"/>
        </w:rPr>
      </w:pPr>
    </w:p>
    <w:p w14:paraId="058888F4" w14:textId="77777777" w:rsidR="000F17D6" w:rsidRPr="004340FC" w:rsidRDefault="000F17D6" w:rsidP="000F17D6">
      <w:pPr>
        <w:rPr>
          <w:rFonts w:ascii="Joost" w:hAnsi="Joost" w:hint="eastAsia"/>
        </w:rPr>
      </w:pPr>
    </w:p>
    <w:p w14:paraId="61FAB302" w14:textId="77777777" w:rsidR="000F17D6" w:rsidRPr="004340FC" w:rsidRDefault="000F17D6" w:rsidP="000F17D6">
      <w:pPr>
        <w:rPr>
          <w:rFonts w:ascii="Joost" w:hAnsi="Joost" w:hint="eastAsia"/>
          <w:i/>
          <w:iCs/>
        </w:rPr>
      </w:pPr>
      <w:r w:rsidRPr="004340FC">
        <w:rPr>
          <w:rFonts w:ascii="Joost" w:hAnsi="Joost"/>
          <w:i/>
          <w:iCs/>
        </w:rPr>
        <w:t>Tiekėjams</w:t>
      </w:r>
    </w:p>
    <w:p w14:paraId="69B240AC" w14:textId="77777777" w:rsidR="000F17D6" w:rsidRPr="004340FC" w:rsidRDefault="000F17D6" w:rsidP="000F17D6">
      <w:pPr>
        <w:rPr>
          <w:rFonts w:ascii="Joost" w:hAnsi="Joost" w:hint="eastAsia"/>
          <w:i/>
          <w:iCs/>
        </w:rPr>
      </w:pPr>
      <w:r w:rsidRPr="004340FC">
        <w:rPr>
          <w:rFonts w:ascii="Joost" w:hAnsi="Joost"/>
          <w:i/>
          <w:iCs/>
        </w:rPr>
        <w:t>Siunčiama CVP IS priemonėmis</w:t>
      </w:r>
    </w:p>
    <w:p w14:paraId="0AB0DAD8" w14:textId="77777777" w:rsidR="000F17D6" w:rsidRPr="004340FC" w:rsidRDefault="000F17D6" w:rsidP="000F17D6">
      <w:pPr>
        <w:rPr>
          <w:rFonts w:ascii="Joost" w:hAnsi="Joost" w:hint="eastAsia"/>
          <w:b/>
          <w:bCs/>
        </w:rPr>
      </w:pPr>
    </w:p>
    <w:p w14:paraId="3DC84B23" w14:textId="4C78ED9D" w:rsidR="000F17D6" w:rsidRPr="004340FC" w:rsidRDefault="000F17D6" w:rsidP="000F17D6">
      <w:pPr>
        <w:rPr>
          <w:rFonts w:ascii="Joost" w:hAnsi="Joost" w:hint="eastAsia"/>
          <w:b/>
          <w:bCs/>
        </w:rPr>
      </w:pPr>
      <w:r w:rsidRPr="004340FC">
        <w:rPr>
          <w:rFonts w:ascii="Joost" w:hAnsi="Joost"/>
          <w:b/>
          <w:bCs/>
        </w:rPr>
        <w:t xml:space="preserve">DĖL </w:t>
      </w:r>
      <w:r w:rsidR="00C628F6" w:rsidRPr="004340FC">
        <w:rPr>
          <w:rFonts w:ascii="Joost" w:hAnsi="Joost"/>
          <w:b/>
          <w:bCs/>
        </w:rPr>
        <w:t>PATEIKTO PAKLAUSIMO</w:t>
      </w:r>
    </w:p>
    <w:p w14:paraId="47F7602C" w14:textId="77777777" w:rsidR="000F17D6" w:rsidRPr="004340FC" w:rsidRDefault="000F17D6" w:rsidP="0023122B">
      <w:pPr>
        <w:rPr>
          <w:rFonts w:ascii="Joost" w:hAnsi="Joost" w:hint="eastAsia"/>
          <w:b/>
          <w:bCs/>
        </w:rPr>
      </w:pPr>
    </w:p>
    <w:p w14:paraId="398D9FD3" w14:textId="1B32B972" w:rsidR="004724B7" w:rsidRPr="004340FC" w:rsidRDefault="004724B7" w:rsidP="005644F6">
      <w:pPr>
        <w:ind w:firstLine="720"/>
        <w:jc w:val="both"/>
        <w:rPr>
          <w:rFonts w:ascii="Joost" w:hAnsi="Joost" w:hint="eastAsia"/>
        </w:rPr>
      </w:pPr>
      <w:r w:rsidRPr="004340FC">
        <w:rPr>
          <w:rFonts w:ascii="Joost" w:hAnsi="Joost"/>
        </w:rPr>
        <w:t xml:space="preserve">Viešoji įstaiga CPO LT (toliau – CPO LT), </w:t>
      </w:r>
      <w:bookmarkStart w:id="0" w:name="_Hlk120190959"/>
      <w:r w:rsidRPr="004340FC">
        <w:rPr>
          <w:rFonts w:ascii="Joost" w:hAnsi="Joost"/>
        </w:rPr>
        <w:t>vykdydama viešąjį pirkimą</w:t>
      </w:r>
      <w:r w:rsidRPr="004340FC">
        <w:rPr>
          <w:rFonts w:ascii="Joost" w:hAnsi="Joost"/>
          <w:b/>
          <w:bCs/>
          <w:i/>
          <w:iCs/>
        </w:rPr>
        <w:t xml:space="preserve"> </w:t>
      </w:r>
      <w:r w:rsidR="0023122B" w:rsidRPr="004340FC">
        <w:rPr>
          <w:rFonts w:ascii="Joost" w:hAnsi="Joost"/>
          <w:b/>
          <w:bCs/>
          <w:i/>
          <w:iCs/>
        </w:rPr>
        <w:t>„</w:t>
      </w:r>
      <w:r w:rsidR="004340FC" w:rsidRPr="004340FC">
        <w:rPr>
          <w:rFonts w:ascii="Joost" w:hAnsi="Joost" w:cs="Calibri"/>
          <w:b/>
          <w:bCs/>
          <w:i/>
          <w:iCs/>
        </w:rPr>
        <w:t>Valstybės informacinių išteklių sąveikumo platformos (VIISP) elektroninio dokumento sudarymo naudojant elektroninį parašą paslaugos</w:t>
      </w:r>
      <w:r w:rsidR="003C6C5D" w:rsidRPr="004340FC">
        <w:rPr>
          <w:rFonts w:ascii="Joost" w:hAnsi="Joost"/>
          <w:b/>
          <w:bCs/>
          <w:i/>
          <w:iCs/>
        </w:rPr>
        <w:t>“</w:t>
      </w:r>
      <w:r w:rsidR="003C6C5D" w:rsidRPr="004340FC">
        <w:rPr>
          <w:rFonts w:ascii="Joost" w:hAnsi="Joost"/>
        </w:rPr>
        <w:t xml:space="preserve"> </w:t>
      </w:r>
      <w:r w:rsidRPr="004340FC">
        <w:rPr>
          <w:rFonts w:ascii="Joost" w:hAnsi="Joost"/>
        </w:rPr>
        <w:t>atviro (</w:t>
      </w:r>
      <w:r w:rsidR="003C6C5D" w:rsidRPr="004340FC">
        <w:rPr>
          <w:rFonts w:ascii="Joost" w:hAnsi="Joost"/>
        </w:rPr>
        <w:t>tarptautini</w:t>
      </w:r>
      <w:r w:rsidR="0023122B" w:rsidRPr="004340FC">
        <w:rPr>
          <w:rFonts w:ascii="Joost" w:hAnsi="Joost"/>
        </w:rPr>
        <w:t>o</w:t>
      </w:r>
      <w:r w:rsidRPr="004340FC">
        <w:rPr>
          <w:rFonts w:ascii="Joost" w:hAnsi="Joost"/>
        </w:rPr>
        <w:t>) konkurso būdu</w:t>
      </w:r>
      <w:r w:rsidR="00F71DC1" w:rsidRPr="004340FC">
        <w:rPr>
          <w:rFonts w:ascii="Joost" w:hAnsi="Joost"/>
        </w:rPr>
        <w:t xml:space="preserve"> (pirkimo </w:t>
      </w:r>
      <w:r w:rsidR="00892698" w:rsidRPr="004340FC">
        <w:rPr>
          <w:rFonts w:ascii="Joost" w:hAnsi="Joost"/>
        </w:rPr>
        <w:t>ID</w:t>
      </w:r>
      <w:r w:rsidR="00F71DC1" w:rsidRPr="004340FC">
        <w:rPr>
          <w:rFonts w:ascii="Joost" w:hAnsi="Joost"/>
        </w:rPr>
        <w:t xml:space="preserve"> </w:t>
      </w:r>
      <w:r w:rsidR="00C52425">
        <w:rPr>
          <w:rFonts w:ascii="Joost" w:hAnsi="Joost"/>
        </w:rPr>
        <w:t>600368</w:t>
      </w:r>
      <w:r w:rsidR="00F71DC1" w:rsidRPr="004340FC">
        <w:rPr>
          <w:rFonts w:ascii="Joost" w:hAnsi="Joost"/>
        </w:rPr>
        <w:t>, toliau – Pirkimas)</w:t>
      </w:r>
      <w:r w:rsidRPr="004340FC">
        <w:rPr>
          <w:rFonts w:ascii="Joost" w:hAnsi="Joost"/>
        </w:rPr>
        <w:t xml:space="preserve">, </w:t>
      </w:r>
      <w:bookmarkEnd w:id="0"/>
      <w:r w:rsidR="00322AFC" w:rsidRPr="004340FC">
        <w:rPr>
          <w:rFonts w:ascii="Joost" w:hAnsi="Joost"/>
        </w:rPr>
        <w:t>202</w:t>
      </w:r>
      <w:r w:rsidR="00C52425">
        <w:rPr>
          <w:rFonts w:ascii="Joost" w:hAnsi="Joost"/>
        </w:rPr>
        <w:t>6</w:t>
      </w:r>
      <w:r w:rsidR="00322AFC" w:rsidRPr="004340FC">
        <w:rPr>
          <w:rFonts w:ascii="Joost" w:hAnsi="Joost"/>
        </w:rPr>
        <w:t>-</w:t>
      </w:r>
      <w:r w:rsidR="00AB7038" w:rsidRPr="004340FC">
        <w:rPr>
          <w:rFonts w:ascii="Joost" w:hAnsi="Joost"/>
        </w:rPr>
        <w:t>0</w:t>
      </w:r>
      <w:r w:rsidR="00C52425">
        <w:rPr>
          <w:rFonts w:ascii="Joost" w:hAnsi="Joost"/>
        </w:rPr>
        <w:t>1</w:t>
      </w:r>
      <w:r w:rsidR="00AB7038" w:rsidRPr="004340FC">
        <w:rPr>
          <w:rFonts w:ascii="Joost" w:hAnsi="Joost"/>
        </w:rPr>
        <w:t>-</w:t>
      </w:r>
      <w:r w:rsidR="00C52425">
        <w:rPr>
          <w:rFonts w:ascii="Joost" w:hAnsi="Joost"/>
        </w:rPr>
        <w:t>23</w:t>
      </w:r>
      <w:r w:rsidR="00AB7038" w:rsidRPr="004340FC">
        <w:rPr>
          <w:rFonts w:ascii="Joost" w:hAnsi="Joost"/>
        </w:rPr>
        <w:t xml:space="preserve"> </w:t>
      </w:r>
      <w:r w:rsidRPr="004340FC">
        <w:rPr>
          <w:rFonts w:ascii="Joost" w:hAnsi="Joost"/>
        </w:rPr>
        <w:t>CVP IS priemonėmis gavo potencial</w:t>
      </w:r>
      <w:r w:rsidR="00892698" w:rsidRPr="004340FC">
        <w:rPr>
          <w:rFonts w:ascii="Joost" w:hAnsi="Joost"/>
        </w:rPr>
        <w:t>aus</w:t>
      </w:r>
      <w:r w:rsidRPr="004340FC">
        <w:rPr>
          <w:rFonts w:ascii="Joost" w:hAnsi="Joost"/>
        </w:rPr>
        <w:t xml:space="preserve"> tiekėj</w:t>
      </w:r>
      <w:r w:rsidR="00892698" w:rsidRPr="004340FC">
        <w:rPr>
          <w:rFonts w:ascii="Joost" w:hAnsi="Joost"/>
        </w:rPr>
        <w:t>o</w:t>
      </w:r>
      <w:r w:rsidRPr="004340FC">
        <w:rPr>
          <w:rFonts w:ascii="Joost" w:hAnsi="Joost"/>
        </w:rPr>
        <w:t xml:space="preserve"> paklausim</w:t>
      </w:r>
      <w:r w:rsidR="00892698" w:rsidRPr="004340FC">
        <w:rPr>
          <w:rFonts w:ascii="Joost" w:hAnsi="Joost"/>
        </w:rPr>
        <w:t>ą</w:t>
      </w:r>
      <w:r w:rsidRPr="004340FC">
        <w:rPr>
          <w:rFonts w:ascii="Joost" w:hAnsi="Joost"/>
        </w:rPr>
        <w:t>.</w:t>
      </w:r>
    </w:p>
    <w:p w14:paraId="0939295D" w14:textId="4ABF47D2" w:rsidR="004724B7" w:rsidRPr="004340FC" w:rsidRDefault="004724B7" w:rsidP="005644F6">
      <w:pPr>
        <w:ind w:firstLine="720"/>
        <w:jc w:val="both"/>
        <w:rPr>
          <w:rFonts w:ascii="Joost" w:hAnsi="Joost" w:hint="eastAsia"/>
        </w:rPr>
      </w:pPr>
      <w:r w:rsidRPr="004340FC">
        <w:rPr>
          <w:rFonts w:ascii="Joost" w:hAnsi="Joost"/>
        </w:rPr>
        <w:t>Paklausim</w:t>
      </w:r>
      <w:r w:rsidR="00AB7038" w:rsidRPr="004340FC">
        <w:rPr>
          <w:rFonts w:ascii="Joost" w:hAnsi="Joost"/>
        </w:rPr>
        <w:t>a</w:t>
      </w:r>
      <w:r w:rsidR="00892698" w:rsidRPr="004340FC">
        <w:rPr>
          <w:rFonts w:ascii="Joost" w:hAnsi="Joost"/>
        </w:rPr>
        <w:t>s</w:t>
      </w:r>
      <w:r w:rsidRPr="004340FC">
        <w:rPr>
          <w:rFonts w:ascii="Joost" w:hAnsi="Joost"/>
        </w:rPr>
        <w:t xml:space="preserve"> pateikt</w:t>
      </w:r>
      <w:r w:rsidR="00892698" w:rsidRPr="004340FC">
        <w:rPr>
          <w:rFonts w:ascii="Joost" w:hAnsi="Joost"/>
        </w:rPr>
        <w:t>as</w:t>
      </w:r>
      <w:r w:rsidRPr="004340FC">
        <w:rPr>
          <w:rFonts w:ascii="Joost" w:hAnsi="Joost"/>
        </w:rPr>
        <w:t xml:space="preserve"> laikantis Pirkimo dokumentų Specialiųjų sąlygų 1 priedo „Terminai“ lentelės 3 eil. nustatyto termino </w:t>
      </w:r>
      <w:r w:rsidRPr="004340FC">
        <w:rPr>
          <w:rFonts w:ascii="Joost" w:hAnsi="Joost"/>
          <w:i/>
          <w:iCs/>
        </w:rPr>
        <w:t xml:space="preserve">„Prašymą paaiškinti, patikslinti pirkimo sąlygas tiekėjas turi pateikti ne vėliau kaip: </w:t>
      </w:r>
      <w:r w:rsidR="00892698" w:rsidRPr="004340FC">
        <w:rPr>
          <w:rFonts w:ascii="Joost" w:hAnsi="Joost"/>
          <w:i/>
          <w:iCs/>
        </w:rPr>
        <w:t>9</w:t>
      </w:r>
      <w:r w:rsidRPr="004340FC">
        <w:rPr>
          <w:rFonts w:ascii="Joost" w:hAnsi="Joost"/>
          <w:i/>
          <w:iCs/>
        </w:rPr>
        <w:t xml:space="preserve"> (</w:t>
      </w:r>
      <w:r w:rsidR="00892698" w:rsidRPr="004340FC">
        <w:rPr>
          <w:rFonts w:ascii="Joost" w:hAnsi="Joost"/>
          <w:i/>
          <w:iCs/>
        </w:rPr>
        <w:t>devynios</w:t>
      </w:r>
      <w:r w:rsidRPr="004340FC">
        <w:rPr>
          <w:rFonts w:ascii="Joost" w:hAnsi="Joost"/>
          <w:i/>
          <w:iCs/>
        </w:rPr>
        <w:t xml:space="preserve">) dienos iki pasiūlymų pateikimo dienos.“, </w:t>
      </w:r>
      <w:r w:rsidRPr="004340FC">
        <w:rPr>
          <w:rFonts w:ascii="Joost" w:hAnsi="Joost"/>
        </w:rPr>
        <w:t>t. y. pateikt</w:t>
      </w:r>
      <w:r w:rsidR="00892698" w:rsidRPr="004340FC">
        <w:rPr>
          <w:rFonts w:ascii="Joost" w:hAnsi="Joost"/>
        </w:rPr>
        <w:t>as</w:t>
      </w:r>
      <w:r w:rsidRPr="004340FC">
        <w:rPr>
          <w:rFonts w:ascii="Joost" w:hAnsi="Joost"/>
        </w:rPr>
        <w:t xml:space="preserve"> laiku.</w:t>
      </w:r>
    </w:p>
    <w:p w14:paraId="70F481BD" w14:textId="3BAF4CA7" w:rsidR="004724B7" w:rsidRDefault="004724B7" w:rsidP="005644F6">
      <w:pPr>
        <w:ind w:firstLine="720"/>
        <w:jc w:val="both"/>
        <w:rPr>
          <w:rFonts w:ascii="Joost" w:hAnsi="Joost" w:hint="eastAsia"/>
        </w:rPr>
      </w:pPr>
      <w:r w:rsidRPr="004340FC">
        <w:rPr>
          <w:rFonts w:ascii="Joost" w:hAnsi="Joost"/>
        </w:rPr>
        <w:t>CPO LT viešojo pirkimo komisija (toliau – Komisija), vadovau</w:t>
      </w:r>
      <w:r w:rsidR="00C918C4" w:rsidRPr="004340FC">
        <w:rPr>
          <w:rFonts w:ascii="Joost" w:hAnsi="Joost"/>
        </w:rPr>
        <w:t>damasi</w:t>
      </w:r>
      <w:r w:rsidRPr="004340FC">
        <w:rPr>
          <w:rFonts w:ascii="Joost" w:hAnsi="Joost"/>
        </w:rPr>
        <w:t xml:space="preserve"> Lietuvos Respublikos viešųjų pirkimų įstatymo</w:t>
      </w:r>
      <w:r w:rsidR="00C918C4" w:rsidRPr="004340FC">
        <w:rPr>
          <w:rFonts w:ascii="Joost" w:hAnsi="Joost"/>
        </w:rPr>
        <w:t xml:space="preserve"> (toliau – VPĮ)</w:t>
      </w:r>
      <w:r w:rsidRPr="004340FC">
        <w:rPr>
          <w:rFonts w:ascii="Joost" w:hAnsi="Joost"/>
        </w:rPr>
        <w:t xml:space="preserve"> 36 str. 5 d. ir Pirkimo dokumentų Bendrųjų sąlygų 5.2 p., teikia </w:t>
      </w:r>
      <w:r w:rsidR="00C628F6" w:rsidRPr="004340FC">
        <w:rPr>
          <w:rFonts w:ascii="Joost" w:hAnsi="Joost"/>
        </w:rPr>
        <w:t xml:space="preserve">atsakymą </w:t>
      </w:r>
      <w:r w:rsidRPr="004340FC">
        <w:rPr>
          <w:rFonts w:ascii="Joost" w:hAnsi="Joost"/>
        </w:rPr>
        <w:t xml:space="preserve">į </w:t>
      </w:r>
      <w:r w:rsidR="00C918C4" w:rsidRPr="004340FC">
        <w:rPr>
          <w:rFonts w:ascii="Joost" w:hAnsi="Joost"/>
        </w:rPr>
        <w:t xml:space="preserve">paklausime </w:t>
      </w:r>
      <w:r w:rsidR="00C628F6" w:rsidRPr="004340FC">
        <w:rPr>
          <w:rFonts w:ascii="Joost" w:hAnsi="Joost"/>
        </w:rPr>
        <w:t>pateikt</w:t>
      </w:r>
      <w:r w:rsidR="007C49C9">
        <w:rPr>
          <w:rFonts w:ascii="Joost" w:hAnsi="Joost"/>
        </w:rPr>
        <w:t>us</w:t>
      </w:r>
      <w:r w:rsidR="00C628F6" w:rsidRPr="004340FC">
        <w:rPr>
          <w:rFonts w:ascii="Joost" w:hAnsi="Joost"/>
        </w:rPr>
        <w:t xml:space="preserve"> klausim</w:t>
      </w:r>
      <w:r w:rsidR="007C49C9">
        <w:rPr>
          <w:rFonts w:ascii="Joost" w:hAnsi="Joost"/>
        </w:rPr>
        <w:t>us</w:t>
      </w:r>
      <w:r w:rsidRPr="004340FC">
        <w:rPr>
          <w:rFonts w:ascii="Joost" w:hAnsi="Joost"/>
        </w:rPr>
        <w:t>:</w:t>
      </w:r>
    </w:p>
    <w:p w14:paraId="48C8DB62" w14:textId="77777777" w:rsidR="00401C89" w:rsidRPr="004340FC" w:rsidRDefault="00401C89" w:rsidP="00401C89">
      <w:pPr>
        <w:jc w:val="both"/>
        <w:rPr>
          <w:rFonts w:ascii="Joost" w:hAnsi="Joost" w:hint="eastAsia"/>
        </w:rPr>
      </w:pPr>
    </w:p>
    <w:tbl>
      <w:tblPr>
        <w:tblStyle w:val="TableGrid"/>
        <w:tblW w:w="9990" w:type="dxa"/>
        <w:tblInd w:w="-5" w:type="dxa"/>
        <w:tblLook w:val="04A0" w:firstRow="1" w:lastRow="0" w:firstColumn="1" w:lastColumn="0" w:noHBand="0" w:noVBand="1"/>
      </w:tblPr>
      <w:tblGrid>
        <w:gridCol w:w="9990"/>
      </w:tblGrid>
      <w:tr w:rsidR="004724B7" w:rsidRPr="00623A97" w14:paraId="0D7C0412" w14:textId="77777777" w:rsidTr="00401C89">
        <w:trPr>
          <w:trHeight w:val="188"/>
        </w:trPr>
        <w:tc>
          <w:tcPr>
            <w:tcW w:w="9990" w:type="dxa"/>
            <w:shd w:val="clear" w:color="auto" w:fill="DAE9F7" w:themeFill="text2" w:themeFillTint="1A"/>
            <w:vAlign w:val="center"/>
          </w:tcPr>
          <w:p w14:paraId="6F222F43" w14:textId="79210CB5" w:rsidR="004724B7" w:rsidRPr="00623A97" w:rsidRDefault="004724B7" w:rsidP="000C7FBA">
            <w:pPr>
              <w:rPr>
                <w:rFonts w:ascii="Joost" w:hAnsi="Joost" w:hint="eastAsia"/>
                <w:b/>
                <w:bCs/>
                <w:lang w:val="lt-LT"/>
              </w:rPr>
            </w:pPr>
            <w:r w:rsidRPr="00623A97">
              <w:rPr>
                <w:rFonts w:ascii="Joost" w:hAnsi="Joost"/>
                <w:b/>
                <w:bCs/>
                <w:lang w:val="lt-LT"/>
              </w:rPr>
              <w:t>Klausimas</w:t>
            </w:r>
            <w:r w:rsidR="001558F6" w:rsidRPr="00623A97">
              <w:rPr>
                <w:rFonts w:ascii="Joost" w:hAnsi="Joost"/>
                <w:b/>
                <w:bCs/>
                <w:lang w:val="lt-LT"/>
              </w:rPr>
              <w:t xml:space="preserve"> 1</w:t>
            </w:r>
            <w:r w:rsidRPr="00623A97">
              <w:rPr>
                <w:rFonts w:ascii="Joost" w:hAnsi="Joost"/>
                <w:b/>
                <w:bCs/>
                <w:lang w:val="lt-LT"/>
              </w:rPr>
              <w:t xml:space="preserve"> </w:t>
            </w:r>
            <w:r w:rsidRPr="00623A97">
              <w:rPr>
                <w:rFonts w:ascii="Joost" w:hAnsi="Joost"/>
                <w:lang w:val="lt-LT"/>
              </w:rPr>
              <w:t>(klausimo tekstas netaisytas)</w:t>
            </w:r>
          </w:p>
        </w:tc>
      </w:tr>
      <w:tr w:rsidR="004724B7" w:rsidRPr="00623A97" w14:paraId="7B2B4C43" w14:textId="77777777" w:rsidTr="0036075B">
        <w:trPr>
          <w:trHeight w:val="750"/>
        </w:trPr>
        <w:tc>
          <w:tcPr>
            <w:tcW w:w="9990" w:type="dxa"/>
          </w:tcPr>
          <w:p w14:paraId="24B374E8" w14:textId="77777777" w:rsidR="003C36F0" w:rsidRPr="00623A97" w:rsidRDefault="003C36F0" w:rsidP="000C7FBA">
            <w:pPr>
              <w:tabs>
                <w:tab w:val="left" w:pos="1260"/>
              </w:tabs>
              <w:jc w:val="both"/>
              <w:rPr>
                <w:rFonts w:ascii="Joost" w:hAnsi="Joost" w:hint="eastAsia"/>
                <w:lang w:val="lt-LT"/>
              </w:rPr>
            </w:pPr>
            <w:r w:rsidRPr="00623A97">
              <w:rPr>
                <w:rFonts w:ascii="Joost" w:hAnsi="Joost"/>
                <w:lang w:val="lt-LT"/>
              </w:rPr>
              <w:t>Pirkimo sąlygų 2 priede pateiktoje Techninėje specifikacijoje (toliau – TS), 3.4. punkte numatyta:</w:t>
            </w:r>
            <w:r w:rsidRPr="00623A97">
              <w:rPr>
                <w:rFonts w:ascii="Joost" w:hAnsi="Joost"/>
                <w:lang w:val="lt-LT"/>
              </w:rPr>
              <w:br/>
              <w:t>Turės būti pateiktos reikalingos priemonės bei išsamus naudojimo vadovas (instrukcija ir veikiantys pavyzdžiai), taip pat sąsajų naudojimo dokumentacija, neatlygintinai suteiktos konsultacijos, reikalingos integracinių sąsajų ir įskiepių integravimui į VIISP.</w:t>
            </w:r>
          </w:p>
          <w:p w14:paraId="5A4A9B0E" w14:textId="51351E00" w:rsidR="004230F7" w:rsidRPr="00623A97" w:rsidRDefault="003C36F0" w:rsidP="00401C89">
            <w:pPr>
              <w:tabs>
                <w:tab w:val="left" w:pos="1260"/>
              </w:tabs>
              <w:jc w:val="both"/>
              <w:rPr>
                <w:rFonts w:ascii="Joost" w:hAnsi="Joost" w:hint="eastAsia"/>
                <w:lang w:val="lt-LT"/>
              </w:rPr>
            </w:pPr>
            <w:r w:rsidRPr="00623A97">
              <w:rPr>
                <w:rFonts w:ascii="Joost" w:hAnsi="Joost"/>
                <w:lang w:val="lt-LT"/>
              </w:rPr>
              <w:t>Klausimas: Ar teisingai suprantame, kad už el. pasirašymo tinklinių paslaugų integravimo į VIISP darbus atsakingas Užsakovas. Taip pat prašome nurodyti per kokį terminą Užsakovas planuoja atlikti el. pasirašymo tinklinių paslaugų integravimą į VIISP ir atitinkami ar el. pasirašymo tinklinės paslaugos turės būti teikiamos nuo to momento kai bus atlikti integravimo į VIISP darbai?</w:t>
            </w:r>
          </w:p>
        </w:tc>
      </w:tr>
      <w:tr w:rsidR="004724B7" w:rsidRPr="00623A97" w14:paraId="3D3F5DDE" w14:textId="77777777" w:rsidTr="00401C89">
        <w:trPr>
          <w:trHeight w:val="170"/>
        </w:trPr>
        <w:tc>
          <w:tcPr>
            <w:tcW w:w="9990" w:type="dxa"/>
          </w:tcPr>
          <w:p w14:paraId="4719A0EC" w14:textId="77777777" w:rsidR="004724B7" w:rsidRPr="00623A97" w:rsidRDefault="004724B7" w:rsidP="000C7FBA">
            <w:pPr>
              <w:jc w:val="both"/>
              <w:rPr>
                <w:rFonts w:ascii="Joost" w:hAnsi="Joost" w:hint="eastAsia"/>
                <w:lang w:val="lt-LT"/>
              </w:rPr>
            </w:pPr>
            <w:r w:rsidRPr="00623A97">
              <w:rPr>
                <w:rFonts w:ascii="Joost" w:hAnsi="Joost"/>
                <w:b/>
                <w:bCs/>
                <w:lang w:val="lt-LT"/>
              </w:rPr>
              <w:t>Atsakymas</w:t>
            </w:r>
          </w:p>
        </w:tc>
      </w:tr>
      <w:tr w:rsidR="004724B7" w:rsidRPr="00623A97" w14:paraId="14FF951C" w14:textId="77777777" w:rsidTr="0036075B">
        <w:trPr>
          <w:trHeight w:val="400"/>
        </w:trPr>
        <w:tc>
          <w:tcPr>
            <w:tcW w:w="9990" w:type="dxa"/>
          </w:tcPr>
          <w:p w14:paraId="4300E936" w14:textId="30330959" w:rsidR="00DA0901" w:rsidRPr="00623A97" w:rsidRDefault="00811008" w:rsidP="002B4360">
            <w:pPr>
              <w:tabs>
                <w:tab w:val="left" w:pos="567"/>
                <w:tab w:val="left" w:pos="851"/>
                <w:tab w:val="left" w:pos="992"/>
                <w:tab w:val="left" w:pos="1134"/>
              </w:tabs>
              <w:jc w:val="both"/>
              <w:textAlignment w:val="center"/>
              <w:rPr>
                <w:rFonts w:ascii="Joost" w:hAnsi="Joost" w:hint="eastAsia"/>
                <w:lang w:val="lt-LT"/>
              </w:rPr>
            </w:pPr>
            <w:r w:rsidRPr="00623A97">
              <w:rPr>
                <w:rFonts w:ascii="Joost" w:hAnsi="Joost"/>
                <w:lang w:val="lt-LT"/>
              </w:rPr>
              <w:t xml:space="preserve">Dėkojame už Jūsų klausimą. </w:t>
            </w:r>
            <w:r w:rsidR="002B4360" w:rsidRPr="00623A97">
              <w:rPr>
                <w:rFonts w:ascii="Joost" w:hAnsi="Joost"/>
                <w:lang w:val="lt-LT"/>
              </w:rPr>
              <w:t>Taip, už el. pasirašymo tinklinių paslaugų integravimo į VIISP darbus atsakingas Užsakovas. Paslaugos teikėjas turi pateikti visą sąsajų naudojimo dokumentaciją, esant poreikiui neatlygintinai suteikti konsultacijas, reikalingas integracinių sąsajų ir įskiepių integravimui į VIISP. El. pasirašymo tinklinių paslaugų integravimo į VIISP tikslius terminus galėsime įvardinti tik gavus nugalėtojo pateiktą dokumentaciją, tačiau tikslas būtų paslaugas naudotojams pradėti teikti kaip įmanoma greičiau.</w:t>
            </w:r>
          </w:p>
        </w:tc>
      </w:tr>
      <w:tr w:rsidR="003C36F0" w:rsidRPr="00623A97" w14:paraId="21D01FDE" w14:textId="77777777" w:rsidTr="00401C89">
        <w:trPr>
          <w:trHeight w:val="206"/>
        </w:trPr>
        <w:tc>
          <w:tcPr>
            <w:tcW w:w="9990" w:type="dxa"/>
            <w:shd w:val="clear" w:color="auto" w:fill="DAE9F7" w:themeFill="text2" w:themeFillTint="1A"/>
          </w:tcPr>
          <w:p w14:paraId="79E00296" w14:textId="706561A3" w:rsidR="003C36F0" w:rsidRPr="00623A97" w:rsidRDefault="003C36F0" w:rsidP="000C7FBA">
            <w:pPr>
              <w:tabs>
                <w:tab w:val="left" w:pos="567"/>
                <w:tab w:val="left" w:pos="851"/>
                <w:tab w:val="left" w:pos="992"/>
                <w:tab w:val="left" w:pos="1134"/>
              </w:tabs>
              <w:jc w:val="both"/>
              <w:textAlignment w:val="center"/>
              <w:rPr>
                <w:rFonts w:ascii="Joost" w:hAnsi="Joost" w:hint="eastAsia"/>
                <w:lang w:val="lt-LT"/>
              </w:rPr>
            </w:pPr>
            <w:r w:rsidRPr="00623A97">
              <w:rPr>
                <w:rFonts w:ascii="Joost" w:hAnsi="Joost"/>
                <w:b/>
                <w:bCs/>
                <w:lang w:val="lt-LT"/>
              </w:rPr>
              <w:t xml:space="preserve">Klausimas 2 </w:t>
            </w:r>
            <w:r w:rsidRPr="00623A97">
              <w:rPr>
                <w:rFonts w:ascii="Joost" w:hAnsi="Joost"/>
                <w:lang w:val="lt-LT"/>
              </w:rPr>
              <w:t>(klausimo tekstas netaisytas)</w:t>
            </w:r>
          </w:p>
        </w:tc>
      </w:tr>
      <w:tr w:rsidR="003C36F0" w:rsidRPr="00623A97" w14:paraId="17B05FB0" w14:textId="77777777" w:rsidTr="0036075B">
        <w:trPr>
          <w:trHeight w:val="400"/>
        </w:trPr>
        <w:tc>
          <w:tcPr>
            <w:tcW w:w="9990" w:type="dxa"/>
          </w:tcPr>
          <w:p w14:paraId="5DA44B2D" w14:textId="2FECC6E3" w:rsidR="00F0696E" w:rsidRPr="00623A97" w:rsidRDefault="00F0696E" w:rsidP="000C7FBA">
            <w:pPr>
              <w:jc w:val="both"/>
              <w:rPr>
                <w:rFonts w:ascii="Joost" w:hAnsi="Joost" w:hint="eastAsia"/>
                <w:lang w:val="lt-LT"/>
              </w:rPr>
            </w:pPr>
            <w:r w:rsidRPr="00623A97">
              <w:rPr>
                <w:rFonts w:ascii="Joost" w:hAnsi="Joost"/>
                <w:lang w:val="lt-LT"/>
              </w:rPr>
              <w:t>TS 2.14 punkte numatyta:</w:t>
            </w:r>
            <w:r w:rsidR="00401C89" w:rsidRPr="00623A97">
              <w:rPr>
                <w:rFonts w:ascii="Joost" w:hAnsi="Joost"/>
                <w:lang w:val="lt-LT"/>
              </w:rPr>
              <w:t xml:space="preserve"> </w:t>
            </w:r>
            <w:r w:rsidRPr="00623A97">
              <w:rPr>
                <w:rFonts w:ascii="Joost" w:hAnsi="Joost"/>
                <w:lang w:val="lt-LT"/>
              </w:rPr>
              <w:t>Į parašo sudarymo transakcijos kainą turi būti įtrauktos visos su parašo formavimu susijusios išlaidos t. y. dokumento sudarymo naudojant el. parašą paslaugos teikimas, priežiūra ir aptarnavimas, įskiepio gamyba ir konsultacijos integravimo VIISP klausimais, parašo sudarymo, sertifikatų galiojimo tikrinimo ir visi kiti su paslaugos teikimu susiję kaštai (taip pat OCSP tikrinimas, institucijos tikrinimas, laiko žymos tikrinimas, parašo formavimas ir pan.).</w:t>
            </w:r>
          </w:p>
          <w:p w14:paraId="7FDE8C11" w14:textId="24B643F7" w:rsidR="003C36F0" w:rsidRPr="00623A97" w:rsidRDefault="00F0696E" w:rsidP="00401C89">
            <w:pPr>
              <w:jc w:val="both"/>
              <w:rPr>
                <w:rFonts w:ascii="Joost" w:hAnsi="Joost" w:hint="eastAsia"/>
                <w:lang w:val="lt-LT"/>
              </w:rPr>
            </w:pPr>
            <w:r w:rsidRPr="00623A97">
              <w:rPr>
                <w:rFonts w:ascii="Joost" w:hAnsi="Joost"/>
                <w:lang w:val="lt-LT"/>
              </w:rPr>
              <w:t>Klausimas: Ar į parašo transakcijos kainą turi būti įtrauktas ir laiko žymos dėjimas? Jei taip, iki kokio lygio turi būti keliamas parašas kiekvienam iš pagal TS numatytų formatų - (ADOC, PDF-LT, ASIC)</w:t>
            </w:r>
          </w:p>
        </w:tc>
      </w:tr>
      <w:tr w:rsidR="003C36F0" w:rsidRPr="00623A97" w14:paraId="6F0A9413" w14:textId="77777777" w:rsidTr="00401C89">
        <w:trPr>
          <w:trHeight w:val="197"/>
        </w:trPr>
        <w:tc>
          <w:tcPr>
            <w:tcW w:w="9990" w:type="dxa"/>
          </w:tcPr>
          <w:p w14:paraId="547A3330" w14:textId="35C9F029" w:rsidR="003C36F0" w:rsidRPr="00623A97" w:rsidRDefault="003C36F0" w:rsidP="000C7FBA">
            <w:pPr>
              <w:tabs>
                <w:tab w:val="left" w:pos="567"/>
                <w:tab w:val="left" w:pos="851"/>
                <w:tab w:val="left" w:pos="992"/>
                <w:tab w:val="left" w:pos="1134"/>
              </w:tabs>
              <w:jc w:val="both"/>
              <w:textAlignment w:val="center"/>
              <w:rPr>
                <w:rFonts w:ascii="Joost" w:hAnsi="Joost" w:hint="eastAsia"/>
                <w:lang w:val="lt-LT"/>
              </w:rPr>
            </w:pPr>
            <w:r w:rsidRPr="00623A97">
              <w:rPr>
                <w:rFonts w:ascii="Joost" w:hAnsi="Joost"/>
                <w:b/>
                <w:bCs/>
                <w:lang w:val="lt-LT"/>
              </w:rPr>
              <w:t>Atsakymas</w:t>
            </w:r>
          </w:p>
        </w:tc>
      </w:tr>
      <w:tr w:rsidR="003C36F0" w:rsidRPr="00623A97" w14:paraId="3359457C" w14:textId="77777777" w:rsidTr="0036075B">
        <w:trPr>
          <w:trHeight w:val="400"/>
        </w:trPr>
        <w:tc>
          <w:tcPr>
            <w:tcW w:w="9990" w:type="dxa"/>
          </w:tcPr>
          <w:p w14:paraId="7C5065AB" w14:textId="44F9EF5D" w:rsidR="003C36F0" w:rsidRPr="00623A97" w:rsidRDefault="00E474E3" w:rsidP="000C7FBA">
            <w:pPr>
              <w:tabs>
                <w:tab w:val="left" w:pos="567"/>
                <w:tab w:val="left" w:pos="851"/>
                <w:tab w:val="left" w:pos="992"/>
                <w:tab w:val="left" w:pos="1134"/>
              </w:tabs>
              <w:jc w:val="both"/>
              <w:textAlignment w:val="center"/>
              <w:rPr>
                <w:rFonts w:ascii="Joost" w:hAnsi="Joost" w:hint="eastAsia"/>
                <w:lang w:val="lt-LT"/>
              </w:rPr>
            </w:pPr>
            <w:r w:rsidRPr="00E474E3">
              <w:rPr>
                <w:rFonts w:ascii="Joost" w:hAnsi="Joost"/>
                <w:lang w:val="lt-LT"/>
              </w:rPr>
              <w:lastRenderedPageBreak/>
              <w:t>Taip, į prašo transakciją turi būti įtrauktas laiko žymos dėjimas. ADOC, PDF-LT, ASIC formatų parašas turi būti keliams iki 1 (pirmo) saugumo lygio.</w:t>
            </w:r>
          </w:p>
        </w:tc>
      </w:tr>
      <w:tr w:rsidR="003C36F0" w:rsidRPr="00623A97" w14:paraId="7CB2B527" w14:textId="77777777" w:rsidTr="00401C89">
        <w:trPr>
          <w:trHeight w:val="233"/>
        </w:trPr>
        <w:tc>
          <w:tcPr>
            <w:tcW w:w="9990" w:type="dxa"/>
            <w:shd w:val="clear" w:color="auto" w:fill="DAE9F7" w:themeFill="text2" w:themeFillTint="1A"/>
          </w:tcPr>
          <w:p w14:paraId="62193929" w14:textId="41BC1B5E" w:rsidR="003C36F0" w:rsidRPr="00623A97" w:rsidRDefault="003C36F0" w:rsidP="000C7FBA">
            <w:pPr>
              <w:tabs>
                <w:tab w:val="left" w:pos="567"/>
                <w:tab w:val="left" w:pos="851"/>
                <w:tab w:val="left" w:pos="992"/>
                <w:tab w:val="left" w:pos="1134"/>
              </w:tabs>
              <w:jc w:val="both"/>
              <w:textAlignment w:val="center"/>
              <w:rPr>
                <w:rFonts w:ascii="Joost" w:hAnsi="Joost" w:hint="eastAsia"/>
                <w:lang w:val="lt-LT"/>
              </w:rPr>
            </w:pPr>
            <w:r w:rsidRPr="00623A97">
              <w:rPr>
                <w:rFonts w:ascii="Joost" w:hAnsi="Joost"/>
                <w:b/>
                <w:bCs/>
                <w:lang w:val="lt-LT"/>
              </w:rPr>
              <w:t xml:space="preserve">Klausimas 3 </w:t>
            </w:r>
            <w:r w:rsidRPr="00623A97">
              <w:rPr>
                <w:rFonts w:ascii="Joost" w:hAnsi="Joost"/>
                <w:lang w:val="lt-LT"/>
              </w:rPr>
              <w:t>(klausimo tekstas netaisytas)</w:t>
            </w:r>
          </w:p>
        </w:tc>
      </w:tr>
      <w:tr w:rsidR="003C36F0" w:rsidRPr="00623A97" w14:paraId="6D5CE0DD" w14:textId="77777777" w:rsidTr="0036075B">
        <w:trPr>
          <w:trHeight w:val="400"/>
        </w:trPr>
        <w:tc>
          <w:tcPr>
            <w:tcW w:w="9990" w:type="dxa"/>
          </w:tcPr>
          <w:p w14:paraId="3ECB4A04" w14:textId="79ACADA2" w:rsidR="009E46A3" w:rsidRPr="00623A97" w:rsidRDefault="009E46A3" w:rsidP="00401C89">
            <w:pPr>
              <w:tabs>
                <w:tab w:val="left" w:pos="1260"/>
              </w:tabs>
              <w:jc w:val="both"/>
              <w:rPr>
                <w:rFonts w:ascii="Joost" w:hAnsi="Joost" w:hint="eastAsia"/>
                <w:lang w:val="lt-LT"/>
              </w:rPr>
            </w:pPr>
            <w:r w:rsidRPr="00623A97">
              <w:rPr>
                <w:rFonts w:ascii="Joost" w:hAnsi="Joost"/>
                <w:lang w:val="lt-LT"/>
              </w:rPr>
              <w:t>TS 3.3.2 numatyta:</w:t>
            </w:r>
            <w:r w:rsidR="00401C89" w:rsidRPr="00623A97">
              <w:rPr>
                <w:rFonts w:ascii="Joost" w:hAnsi="Joost"/>
                <w:lang w:val="lt-LT"/>
              </w:rPr>
              <w:t xml:space="preserve"> </w:t>
            </w:r>
            <w:r w:rsidRPr="00623A97">
              <w:rPr>
                <w:rFonts w:ascii="Joost" w:hAnsi="Joost"/>
                <w:lang w:val="lt-LT"/>
              </w:rPr>
              <w:t>JavaApplet įskiepiu, skirtu senesnių versijų naršyklėms;</w:t>
            </w:r>
          </w:p>
          <w:p w14:paraId="52F71E93" w14:textId="2C0345D3" w:rsidR="003C36F0" w:rsidRPr="00623A97" w:rsidRDefault="009E46A3" w:rsidP="00E00E3E">
            <w:pPr>
              <w:tabs>
                <w:tab w:val="left" w:pos="1260"/>
              </w:tabs>
              <w:jc w:val="both"/>
              <w:rPr>
                <w:rFonts w:ascii="Joost" w:hAnsi="Joost" w:hint="eastAsia"/>
                <w:lang w:val="lt-LT"/>
              </w:rPr>
            </w:pPr>
            <w:r w:rsidRPr="00623A97">
              <w:rPr>
                <w:rFonts w:ascii="Joost" w:hAnsi="Joost"/>
                <w:lang w:val="lt-LT"/>
              </w:rPr>
              <w:t>Klausimas: Naršyklės kurioms reikalingas JavaApplet paremtas pasirašymo duomenų nuskaitymas iš pasirašymo įrenginio mūsų žiniomis yra Internet explorer. Ši naršyklė yra jau nebelaikoma gamintojo, todėl jos naudojimas yra nesaugus. Atsižvelgiant į tai prašome šio reikalavimo atsisakyti.</w:t>
            </w:r>
          </w:p>
        </w:tc>
      </w:tr>
      <w:tr w:rsidR="003C36F0" w:rsidRPr="00623A97" w14:paraId="1ECF5CC6" w14:textId="77777777" w:rsidTr="00E00E3E">
        <w:trPr>
          <w:trHeight w:val="197"/>
        </w:trPr>
        <w:tc>
          <w:tcPr>
            <w:tcW w:w="9990" w:type="dxa"/>
          </w:tcPr>
          <w:p w14:paraId="0A66A4DD" w14:textId="6FADF813" w:rsidR="003C36F0" w:rsidRPr="00623A97" w:rsidRDefault="003C36F0" w:rsidP="000C7FBA">
            <w:pPr>
              <w:tabs>
                <w:tab w:val="left" w:pos="567"/>
                <w:tab w:val="left" w:pos="851"/>
                <w:tab w:val="left" w:pos="992"/>
                <w:tab w:val="left" w:pos="1134"/>
              </w:tabs>
              <w:jc w:val="both"/>
              <w:textAlignment w:val="center"/>
              <w:rPr>
                <w:rFonts w:ascii="Joost" w:hAnsi="Joost" w:hint="eastAsia"/>
                <w:lang w:val="lt-LT"/>
              </w:rPr>
            </w:pPr>
            <w:r w:rsidRPr="00623A97">
              <w:rPr>
                <w:rFonts w:ascii="Joost" w:hAnsi="Joost"/>
                <w:b/>
                <w:bCs/>
                <w:lang w:val="lt-LT"/>
              </w:rPr>
              <w:t>Atsakymas</w:t>
            </w:r>
          </w:p>
        </w:tc>
      </w:tr>
      <w:tr w:rsidR="003C36F0" w:rsidRPr="00623A97" w14:paraId="74D07EE0" w14:textId="77777777" w:rsidTr="0036075B">
        <w:trPr>
          <w:trHeight w:val="400"/>
        </w:trPr>
        <w:tc>
          <w:tcPr>
            <w:tcW w:w="9990" w:type="dxa"/>
          </w:tcPr>
          <w:p w14:paraId="1540DFA5" w14:textId="77F45DAE" w:rsidR="003C36F0" w:rsidRPr="00623A97" w:rsidRDefault="00A6359B" w:rsidP="000C7FBA">
            <w:pPr>
              <w:tabs>
                <w:tab w:val="left" w:pos="567"/>
                <w:tab w:val="left" w:pos="851"/>
                <w:tab w:val="left" w:pos="992"/>
                <w:tab w:val="left" w:pos="1134"/>
              </w:tabs>
              <w:jc w:val="both"/>
              <w:textAlignment w:val="center"/>
              <w:rPr>
                <w:rFonts w:ascii="Joost" w:hAnsi="Joost" w:hint="eastAsia"/>
                <w:lang w:val="lt-LT"/>
              </w:rPr>
            </w:pPr>
            <w:r w:rsidRPr="00A6359B">
              <w:rPr>
                <w:rFonts w:ascii="Joost" w:hAnsi="Joost"/>
                <w:lang w:val="lt-LT"/>
              </w:rPr>
              <w:t xml:space="preserve">Šis reikalavimas nustatytas atsižvelgiant į tai, kad </w:t>
            </w:r>
            <w:r w:rsidR="00A63639" w:rsidRPr="00623A97">
              <w:rPr>
                <w:rFonts w:ascii="Joost" w:hAnsi="Joost"/>
                <w:lang w:val="lt-LT"/>
              </w:rPr>
              <w:t>nors ir retai, bet vis dar pasitaiko naudotojų, kurie naudoja senesnius sprendimus nei šiuo metu siūlo rinka.</w:t>
            </w:r>
          </w:p>
        </w:tc>
      </w:tr>
      <w:tr w:rsidR="003C36F0" w:rsidRPr="00623A97" w14:paraId="74A4E717" w14:textId="77777777" w:rsidTr="00FD0586">
        <w:trPr>
          <w:trHeight w:val="224"/>
        </w:trPr>
        <w:tc>
          <w:tcPr>
            <w:tcW w:w="9990" w:type="dxa"/>
            <w:shd w:val="clear" w:color="auto" w:fill="DAE9F7" w:themeFill="text2" w:themeFillTint="1A"/>
          </w:tcPr>
          <w:p w14:paraId="63F2CCBA" w14:textId="50315B6D" w:rsidR="003C36F0" w:rsidRPr="00623A97" w:rsidRDefault="003C36F0" w:rsidP="000C7FBA">
            <w:pPr>
              <w:shd w:val="clear" w:color="auto" w:fill="DAE9F7" w:themeFill="text2" w:themeFillTint="1A"/>
              <w:tabs>
                <w:tab w:val="left" w:pos="567"/>
                <w:tab w:val="left" w:pos="851"/>
                <w:tab w:val="left" w:pos="992"/>
                <w:tab w:val="left" w:pos="1134"/>
              </w:tabs>
              <w:jc w:val="both"/>
              <w:textAlignment w:val="center"/>
              <w:rPr>
                <w:rFonts w:ascii="Joost" w:hAnsi="Joost" w:hint="eastAsia"/>
                <w:lang w:val="lt-LT"/>
              </w:rPr>
            </w:pPr>
            <w:r w:rsidRPr="00623A97">
              <w:rPr>
                <w:rFonts w:ascii="Joost" w:hAnsi="Joost"/>
                <w:b/>
                <w:bCs/>
                <w:lang w:val="lt-LT"/>
              </w:rPr>
              <w:t xml:space="preserve">Klausimas 4 </w:t>
            </w:r>
            <w:r w:rsidRPr="00623A97">
              <w:rPr>
                <w:rFonts w:ascii="Joost" w:hAnsi="Joost"/>
                <w:lang w:val="lt-LT"/>
              </w:rPr>
              <w:t>(klausimo tekstas netaisytas)</w:t>
            </w:r>
          </w:p>
        </w:tc>
      </w:tr>
      <w:tr w:rsidR="003C36F0" w:rsidRPr="00623A97" w14:paraId="415A35A0" w14:textId="77777777" w:rsidTr="0036075B">
        <w:trPr>
          <w:trHeight w:val="400"/>
        </w:trPr>
        <w:tc>
          <w:tcPr>
            <w:tcW w:w="9990" w:type="dxa"/>
          </w:tcPr>
          <w:p w14:paraId="2962170A" w14:textId="2D8C3CCB" w:rsidR="00BE45FA" w:rsidRPr="00623A97" w:rsidRDefault="00BE45FA" w:rsidP="000C7FBA">
            <w:pPr>
              <w:tabs>
                <w:tab w:val="left" w:pos="1260"/>
              </w:tabs>
              <w:jc w:val="both"/>
              <w:rPr>
                <w:rFonts w:ascii="Joost" w:hAnsi="Joost" w:hint="eastAsia"/>
                <w:lang w:val="lt-LT"/>
              </w:rPr>
            </w:pPr>
            <w:r w:rsidRPr="00623A97">
              <w:rPr>
                <w:rFonts w:ascii="Joost" w:hAnsi="Joost"/>
                <w:lang w:val="lt-LT"/>
              </w:rPr>
              <w:t>TS 3.5 numatyta:</w:t>
            </w:r>
            <w:r w:rsidR="00E00E3E" w:rsidRPr="00623A97">
              <w:rPr>
                <w:rFonts w:ascii="Joost" w:hAnsi="Joost"/>
                <w:lang w:val="lt-LT"/>
              </w:rPr>
              <w:t xml:space="preserve"> </w:t>
            </w:r>
            <w:r w:rsidRPr="00623A97">
              <w:rPr>
                <w:rFonts w:ascii="Joost" w:hAnsi="Joost"/>
                <w:lang w:val="lt-LT"/>
              </w:rPr>
              <w:t>Tiekėjas turi užtikrinti reikalingų priemonių sertifikatų skaitymui bei kvalifikuoto el. parašo sudarymui suteikimą visam sutarties vykdymo laikotarpiui.</w:t>
            </w:r>
          </w:p>
          <w:p w14:paraId="6FB301D5" w14:textId="6B74289B" w:rsidR="003C36F0" w:rsidRPr="00623A97" w:rsidRDefault="00BE45FA" w:rsidP="000C7FBA">
            <w:pPr>
              <w:tabs>
                <w:tab w:val="left" w:pos="1260"/>
              </w:tabs>
              <w:jc w:val="both"/>
              <w:rPr>
                <w:rFonts w:ascii="Joost" w:hAnsi="Joost" w:hint="eastAsia"/>
                <w:lang w:val="lt-LT"/>
              </w:rPr>
            </w:pPr>
            <w:r w:rsidRPr="00623A97">
              <w:rPr>
                <w:rFonts w:ascii="Joost" w:hAnsi="Joost"/>
                <w:lang w:val="lt-LT"/>
              </w:rPr>
              <w:t>Klausimas: Ar teisingai suprantame, kad Tiekėjas atsakingas už pasirašymui reikiamų naršyklių įskiepių ir su tuo susijusios programinės įrangos pateikimą, bet nėra atsakingas už el. pasirašymui naudojamas darbo vietos tvarkykles, mobilias programėles, techninę įrangą?</w:t>
            </w:r>
          </w:p>
        </w:tc>
      </w:tr>
      <w:tr w:rsidR="003C36F0" w:rsidRPr="00623A97" w14:paraId="7A7A2EF6" w14:textId="77777777" w:rsidTr="0040595F">
        <w:trPr>
          <w:trHeight w:val="179"/>
        </w:trPr>
        <w:tc>
          <w:tcPr>
            <w:tcW w:w="9990" w:type="dxa"/>
          </w:tcPr>
          <w:p w14:paraId="18B1DD0E" w14:textId="3B995563" w:rsidR="003C36F0" w:rsidRPr="00623A97" w:rsidRDefault="003C36F0" w:rsidP="000C7FBA">
            <w:pPr>
              <w:tabs>
                <w:tab w:val="left" w:pos="567"/>
                <w:tab w:val="left" w:pos="851"/>
                <w:tab w:val="left" w:pos="992"/>
                <w:tab w:val="left" w:pos="1134"/>
              </w:tabs>
              <w:jc w:val="both"/>
              <w:textAlignment w:val="center"/>
              <w:rPr>
                <w:rFonts w:ascii="Joost" w:hAnsi="Joost" w:hint="eastAsia"/>
                <w:lang w:val="lt-LT"/>
              </w:rPr>
            </w:pPr>
            <w:r w:rsidRPr="00623A97">
              <w:rPr>
                <w:rFonts w:ascii="Joost" w:hAnsi="Joost"/>
                <w:b/>
                <w:bCs/>
                <w:lang w:val="lt-LT"/>
              </w:rPr>
              <w:t>Atsakymas</w:t>
            </w:r>
          </w:p>
        </w:tc>
      </w:tr>
      <w:tr w:rsidR="003C36F0" w:rsidRPr="00623A97" w14:paraId="7F293C05" w14:textId="77777777" w:rsidTr="0036075B">
        <w:trPr>
          <w:trHeight w:val="400"/>
        </w:trPr>
        <w:tc>
          <w:tcPr>
            <w:tcW w:w="9990" w:type="dxa"/>
          </w:tcPr>
          <w:p w14:paraId="0F4903F3" w14:textId="08938CE3" w:rsidR="003C36F0" w:rsidRPr="00623A97" w:rsidRDefault="00040453" w:rsidP="000C7FBA">
            <w:pPr>
              <w:tabs>
                <w:tab w:val="left" w:pos="567"/>
                <w:tab w:val="left" w:pos="851"/>
                <w:tab w:val="left" w:pos="992"/>
                <w:tab w:val="left" w:pos="1134"/>
              </w:tabs>
              <w:jc w:val="both"/>
              <w:textAlignment w:val="center"/>
              <w:rPr>
                <w:rFonts w:ascii="Joost" w:hAnsi="Joost" w:hint="eastAsia"/>
                <w:lang w:val="lt-LT"/>
              </w:rPr>
            </w:pPr>
            <w:r w:rsidRPr="00040453">
              <w:rPr>
                <w:rFonts w:ascii="Joost" w:hAnsi="Joost"/>
                <w:lang w:val="lt-LT"/>
              </w:rPr>
              <w:t>Suprantama teisingai. Tiekėjas atsakingas už pasirašymui reikiamų naršyklių įskiepių ir su tuo susijusios programinės įrangos pateikimą, bet nėra atsakingas už el. pasirašymui naudojamas darbo vietos tvarkykles, mobilias programėles, techninę įrangą.</w:t>
            </w:r>
          </w:p>
        </w:tc>
      </w:tr>
      <w:tr w:rsidR="003C36F0" w:rsidRPr="00623A97" w14:paraId="41E70893" w14:textId="77777777" w:rsidTr="0040595F">
        <w:trPr>
          <w:trHeight w:val="224"/>
        </w:trPr>
        <w:tc>
          <w:tcPr>
            <w:tcW w:w="9990" w:type="dxa"/>
            <w:shd w:val="clear" w:color="auto" w:fill="DAE9F7" w:themeFill="text2" w:themeFillTint="1A"/>
          </w:tcPr>
          <w:p w14:paraId="647399FA" w14:textId="493E4D44" w:rsidR="003C36F0" w:rsidRPr="00623A97" w:rsidRDefault="003C36F0" w:rsidP="000C7FBA">
            <w:pPr>
              <w:tabs>
                <w:tab w:val="left" w:pos="567"/>
                <w:tab w:val="left" w:pos="851"/>
                <w:tab w:val="left" w:pos="992"/>
                <w:tab w:val="left" w:pos="1134"/>
              </w:tabs>
              <w:jc w:val="both"/>
              <w:textAlignment w:val="center"/>
              <w:rPr>
                <w:rFonts w:ascii="Joost" w:hAnsi="Joost" w:hint="eastAsia"/>
                <w:lang w:val="lt-LT"/>
              </w:rPr>
            </w:pPr>
            <w:r w:rsidRPr="00623A97">
              <w:rPr>
                <w:rFonts w:ascii="Joost" w:hAnsi="Joost"/>
                <w:b/>
                <w:bCs/>
                <w:lang w:val="lt-LT"/>
              </w:rPr>
              <w:t xml:space="preserve">Klausimas 5 </w:t>
            </w:r>
            <w:r w:rsidRPr="00623A97">
              <w:rPr>
                <w:rFonts w:ascii="Joost" w:hAnsi="Joost"/>
                <w:lang w:val="lt-LT"/>
              </w:rPr>
              <w:t>(klausimo tekstas netaisytas)</w:t>
            </w:r>
          </w:p>
        </w:tc>
      </w:tr>
      <w:tr w:rsidR="003C36F0" w:rsidRPr="00623A97" w14:paraId="3D63511B" w14:textId="77777777" w:rsidTr="0036075B">
        <w:trPr>
          <w:trHeight w:val="400"/>
        </w:trPr>
        <w:tc>
          <w:tcPr>
            <w:tcW w:w="9990" w:type="dxa"/>
          </w:tcPr>
          <w:p w14:paraId="2943DED6" w14:textId="77777777" w:rsidR="0040595F" w:rsidRPr="00623A97" w:rsidRDefault="004E3AB8" w:rsidP="0040595F">
            <w:pPr>
              <w:tabs>
                <w:tab w:val="left" w:pos="1260"/>
              </w:tabs>
              <w:jc w:val="both"/>
              <w:rPr>
                <w:rFonts w:ascii="Joost" w:hAnsi="Joost" w:hint="eastAsia"/>
                <w:lang w:val="lt-LT"/>
              </w:rPr>
            </w:pPr>
            <w:r w:rsidRPr="00623A97">
              <w:rPr>
                <w:rFonts w:ascii="Joost" w:hAnsi="Joost"/>
                <w:lang w:val="lt-LT"/>
              </w:rPr>
              <w:t>TS 3.10.1 ir 3.10.2 numatyta:</w:t>
            </w:r>
          </w:p>
          <w:p w14:paraId="0148D795" w14:textId="5E13662E" w:rsidR="004E3AB8" w:rsidRPr="00623A97" w:rsidRDefault="004E3AB8" w:rsidP="0040595F">
            <w:pPr>
              <w:tabs>
                <w:tab w:val="left" w:pos="1260"/>
              </w:tabs>
              <w:jc w:val="both"/>
              <w:rPr>
                <w:rFonts w:ascii="Joost" w:hAnsi="Joost" w:hint="eastAsia"/>
                <w:lang w:val="lt-LT"/>
              </w:rPr>
            </w:pPr>
            <w:r w:rsidRPr="00623A97">
              <w:rPr>
                <w:rFonts w:ascii="Joost" w:hAnsi="Joost"/>
                <w:lang w:val="lt-LT"/>
              </w:rPr>
              <w:t>Programinė įranga turi gebėti suformuoti, pasirašyti bei patikrinti elektroninius dokumentus mažiausiai šiais nurodytais formatais: ADOC, PDF-LT, ASIC;</w:t>
            </w:r>
          </w:p>
          <w:p w14:paraId="62832719" w14:textId="77777777" w:rsidR="004E3AB8" w:rsidRPr="00623A97" w:rsidRDefault="004E3AB8" w:rsidP="0040595F">
            <w:pPr>
              <w:pStyle w:val="ListParagraph"/>
              <w:tabs>
                <w:tab w:val="left" w:pos="1134"/>
                <w:tab w:val="left" w:pos="1456"/>
              </w:tabs>
              <w:spacing w:after="0" w:line="240" w:lineRule="auto"/>
              <w:ind w:left="0"/>
              <w:jc w:val="both"/>
              <w:rPr>
                <w:rFonts w:ascii="Joost" w:hAnsi="Joost" w:cs="Times New Roman"/>
                <w:sz w:val="24"/>
                <w:szCs w:val="24"/>
                <w:lang w:val="lt-LT"/>
              </w:rPr>
            </w:pPr>
            <w:r w:rsidRPr="00623A97">
              <w:rPr>
                <w:rFonts w:ascii="Joost" w:hAnsi="Joost" w:cs="Times New Roman"/>
                <w:sz w:val="24"/>
                <w:szCs w:val="24"/>
                <w:lang w:val="lt-LT"/>
              </w:rPr>
              <w:t>Programinė įranga turi gebėti atlikti elektroninių dokumentų (ADOC, PDF-LT, ASIC formato) nuorašų formavimą;</w:t>
            </w:r>
          </w:p>
          <w:p w14:paraId="7B531541" w14:textId="7541D3D3" w:rsidR="003C36F0" w:rsidRPr="00623A97" w:rsidRDefault="004E3AB8" w:rsidP="0040595F">
            <w:pPr>
              <w:tabs>
                <w:tab w:val="left" w:pos="1260"/>
              </w:tabs>
              <w:jc w:val="both"/>
              <w:rPr>
                <w:rFonts w:ascii="Joost" w:hAnsi="Joost" w:hint="eastAsia"/>
                <w:lang w:val="lt-LT"/>
              </w:rPr>
            </w:pPr>
            <w:r w:rsidRPr="00623A97">
              <w:rPr>
                <w:rFonts w:ascii="Joost" w:hAnsi="Joost"/>
                <w:lang w:val="lt-LT"/>
              </w:rPr>
              <w:t xml:space="preserve">Klausimas: Kadangi </w:t>
            </w:r>
            <w:r w:rsidRPr="00623A97">
              <w:rPr>
                <w:rFonts w:ascii="Joost" w:hAnsi="Joost"/>
                <w:color w:val="000000"/>
                <w:lang w:val="lt-LT"/>
              </w:rPr>
              <w:t>Lietuvos vyriausiojo archyvaro 2014 m. rugpjūčio 29 d. įsakymas  Nr. VE(1.3 E)-42 „Dėl Elektroninio dokumento specifikacijos PDF-LT-V1.0 patvirtinimo“ nuo 2025-06-04 yra pripažintas netekusiu galios o 2025 m. balandžio 28 d. įsakyme Nr. VE-14 „Dėl elektroninių dokumentų specifikacijų taikymo“ numatytas PDF (Pades) naudojimas, siūlome pagal tai patikslinti TS.</w:t>
            </w:r>
          </w:p>
        </w:tc>
      </w:tr>
      <w:tr w:rsidR="003C36F0" w:rsidRPr="00623A97" w14:paraId="1E8E00EA" w14:textId="77777777" w:rsidTr="00291D3C">
        <w:trPr>
          <w:trHeight w:val="242"/>
        </w:trPr>
        <w:tc>
          <w:tcPr>
            <w:tcW w:w="9990" w:type="dxa"/>
          </w:tcPr>
          <w:p w14:paraId="50A329F8" w14:textId="5F11C053" w:rsidR="003C36F0" w:rsidRPr="00623A97" w:rsidRDefault="003C36F0" w:rsidP="000C7FBA">
            <w:pPr>
              <w:tabs>
                <w:tab w:val="left" w:pos="567"/>
                <w:tab w:val="left" w:pos="851"/>
                <w:tab w:val="left" w:pos="992"/>
                <w:tab w:val="left" w:pos="1134"/>
              </w:tabs>
              <w:jc w:val="both"/>
              <w:textAlignment w:val="center"/>
              <w:rPr>
                <w:rFonts w:ascii="Joost" w:hAnsi="Joost" w:hint="eastAsia"/>
                <w:lang w:val="lt-LT"/>
              </w:rPr>
            </w:pPr>
            <w:r w:rsidRPr="00623A97">
              <w:rPr>
                <w:rFonts w:ascii="Joost" w:hAnsi="Joost"/>
                <w:b/>
                <w:bCs/>
                <w:lang w:val="lt-LT"/>
              </w:rPr>
              <w:t>Atsakymas</w:t>
            </w:r>
          </w:p>
        </w:tc>
      </w:tr>
      <w:tr w:rsidR="003C36F0" w:rsidRPr="00623A97" w14:paraId="1D4EC128" w14:textId="77777777" w:rsidTr="0036075B">
        <w:trPr>
          <w:trHeight w:val="400"/>
        </w:trPr>
        <w:tc>
          <w:tcPr>
            <w:tcW w:w="9990" w:type="dxa"/>
          </w:tcPr>
          <w:p w14:paraId="658E4089" w14:textId="4464730E" w:rsidR="003C36F0" w:rsidRPr="00623A97" w:rsidRDefault="002F6034" w:rsidP="000C7FBA">
            <w:pPr>
              <w:tabs>
                <w:tab w:val="left" w:pos="567"/>
                <w:tab w:val="left" w:pos="851"/>
                <w:tab w:val="left" w:pos="992"/>
                <w:tab w:val="left" w:pos="1134"/>
              </w:tabs>
              <w:jc w:val="both"/>
              <w:textAlignment w:val="center"/>
              <w:rPr>
                <w:rFonts w:ascii="Joost" w:hAnsi="Joost" w:hint="eastAsia"/>
                <w:lang w:val="lt-LT"/>
              </w:rPr>
            </w:pPr>
            <w:r w:rsidRPr="002F6034">
              <w:rPr>
                <w:rFonts w:ascii="Joost" w:hAnsi="Joost"/>
                <w:lang w:val="lt-LT"/>
              </w:rPr>
              <w:t>Kol kas naudotojams planuojame leisti el. dokumentus pasirašyti, patikrinti bei jų nuorašus formuoti ADOC ir ASIC formatais. Kadangi PDF-LT buvo plačiai naudojamas ir kai kas dar ir dabar jį naudoja sudarant el. dokumentą, buvo nuspręsta dar kurį laiką turėti tokias galimybes, jei pasikeitus aplinkybėms šis el. parašo formatas taptų vėl aktualus.</w:t>
            </w:r>
          </w:p>
        </w:tc>
      </w:tr>
      <w:tr w:rsidR="003C36F0" w:rsidRPr="00623A97" w14:paraId="1E96FDD2" w14:textId="77777777" w:rsidTr="00291D3C">
        <w:trPr>
          <w:trHeight w:val="188"/>
        </w:trPr>
        <w:tc>
          <w:tcPr>
            <w:tcW w:w="9990" w:type="dxa"/>
            <w:shd w:val="clear" w:color="auto" w:fill="DAE9F7" w:themeFill="text2" w:themeFillTint="1A"/>
          </w:tcPr>
          <w:p w14:paraId="3893F126" w14:textId="22502093" w:rsidR="003C36F0" w:rsidRPr="00623A97" w:rsidRDefault="003C36F0" w:rsidP="000C7FBA">
            <w:pPr>
              <w:tabs>
                <w:tab w:val="left" w:pos="567"/>
                <w:tab w:val="left" w:pos="851"/>
                <w:tab w:val="left" w:pos="992"/>
                <w:tab w:val="left" w:pos="1134"/>
              </w:tabs>
              <w:jc w:val="both"/>
              <w:textAlignment w:val="center"/>
              <w:rPr>
                <w:rFonts w:ascii="Joost" w:hAnsi="Joost" w:hint="eastAsia"/>
                <w:lang w:val="lt-LT"/>
              </w:rPr>
            </w:pPr>
            <w:r w:rsidRPr="00623A97">
              <w:rPr>
                <w:rFonts w:ascii="Joost" w:hAnsi="Joost"/>
                <w:b/>
                <w:bCs/>
                <w:lang w:val="lt-LT"/>
              </w:rPr>
              <w:t xml:space="preserve">Klausimas 6 </w:t>
            </w:r>
            <w:r w:rsidRPr="00623A97">
              <w:rPr>
                <w:rFonts w:ascii="Joost" w:hAnsi="Joost"/>
                <w:lang w:val="lt-LT"/>
              </w:rPr>
              <w:t>(klausimo tekstas netaisytas)</w:t>
            </w:r>
          </w:p>
        </w:tc>
      </w:tr>
      <w:tr w:rsidR="003C36F0" w:rsidRPr="00623A97" w14:paraId="69A8763B" w14:textId="77777777" w:rsidTr="0036075B">
        <w:trPr>
          <w:trHeight w:val="400"/>
        </w:trPr>
        <w:tc>
          <w:tcPr>
            <w:tcW w:w="9990" w:type="dxa"/>
          </w:tcPr>
          <w:p w14:paraId="03288F55" w14:textId="77777777" w:rsidR="00815D68" w:rsidRPr="00623A97" w:rsidRDefault="00815D68" w:rsidP="000C7FBA">
            <w:pPr>
              <w:tabs>
                <w:tab w:val="left" w:pos="1260"/>
              </w:tabs>
              <w:jc w:val="both"/>
              <w:rPr>
                <w:rFonts w:ascii="Joost" w:hAnsi="Joost" w:hint="eastAsia"/>
                <w:lang w:val="lt-LT"/>
              </w:rPr>
            </w:pPr>
            <w:r w:rsidRPr="00623A97">
              <w:rPr>
                <w:rFonts w:ascii="Joost" w:hAnsi="Joost"/>
                <w:lang w:val="lt-LT"/>
              </w:rPr>
              <w:t>Pirkimo sąlygų 3 priede pateiktos Pasiūlymo formos 2 lentelės 1 eilutėje nurodyta:</w:t>
            </w:r>
          </w:p>
          <w:p w14:paraId="460F539F" w14:textId="77777777" w:rsidR="00815D68" w:rsidRPr="00623A97" w:rsidRDefault="00815D68" w:rsidP="000C7FBA">
            <w:pPr>
              <w:pStyle w:val="ListParagraph"/>
              <w:tabs>
                <w:tab w:val="left" w:pos="1260"/>
              </w:tabs>
              <w:spacing w:after="0" w:line="240" w:lineRule="auto"/>
              <w:ind w:left="0"/>
              <w:jc w:val="both"/>
              <w:rPr>
                <w:rFonts w:ascii="Joost" w:hAnsi="Joost" w:cs="Times New Roman"/>
                <w:sz w:val="24"/>
                <w:szCs w:val="24"/>
                <w:lang w:val="lt-LT"/>
              </w:rPr>
            </w:pPr>
            <w:r w:rsidRPr="00623A97">
              <w:rPr>
                <w:rFonts w:ascii="Joost" w:hAnsi="Joost"/>
                <w:sz w:val="24"/>
                <w:szCs w:val="24"/>
                <w:lang w:val="lt-LT"/>
              </w:rPr>
              <w:t>„</w:t>
            </w:r>
            <w:r w:rsidRPr="00623A97">
              <w:rPr>
                <w:rFonts w:ascii="Joost" w:hAnsi="Joost" w:cs="Times New Roman"/>
                <w:sz w:val="24"/>
                <w:szCs w:val="24"/>
                <w:lang w:val="lt-LT"/>
              </w:rPr>
              <w:t>Kvalifikuoto</w:t>
            </w:r>
            <w:r w:rsidRPr="00623A97" w:rsidDel="00313B6D">
              <w:rPr>
                <w:rFonts w:ascii="Joost" w:hAnsi="Joost" w:cs="Times New Roman"/>
                <w:sz w:val="24"/>
                <w:szCs w:val="24"/>
                <w:lang w:val="lt-LT"/>
              </w:rPr>
              <w:t xml:space="preserve"> </w:t>
            </w:r>
            <w:r w:rsidRPr="00623A97">
              <w:rPr>
                <w:rFonts w:ascii="Joost" w:hAnsi="Joost" w:cs="Times New Roman"/>
                <w:sz w:val="24"/>
                <w:szCs w:val="24"/>
                <w:lang w:val="lt-LT"/>
              </w:rPr>
              <w:t xml:space="preserve">elektroninio parašo sudarymo transakcija, naudojant mobilias pasirašymo priemones (viena transakcija lygi vienam pilnai suformuotam elektroniniam parašui) (žr. Techninės specifikacijos 1.4.1 p.)“ tuo tarpu TS 1.4.1 punkte numatyta, kad Preliminarūs perkamų Paslaugų kiekiai </w:t>
            </w:r>
            <w:r w:rsidRPr="00623A97">
              <w:rPr>
                <w:rFonts w:ascii="Joost" w:hAnsi="Joost" w:cs="Times New Roman"/>
                <w:b/>
                <w:bCs/>
                <w:sz w:val="24"/>
                <w:szCs w:val="24"/>
                <w:lang w:val="lt-LT"/>
              </w:rPr>
              <w:t>36 mėn</w:t>
            </w:r>
            <w:r w:rsidRPr="00623A97">
              <w:rPr>
                <w:rFonts w:ascii="Joost" w:hAnsi="Joost" w:cs="Times New Roman"/>
                <w:sz w:val="24"/>
                <w:szCs w:val="24"/>
                <w:lang w:val="lt-LT"/>
              </w:rPr>
              <w:t xml:space="preserve">. laikotarpiui „Kvalifikuoto elektroninio parašo sudarymo transakcijų naudojant mobilias pasirašymo priemones (viena transakcija lygi vienam pilnai suformuotam elektroniniam parašui) - </w:t>
            </w:r>
            <w:r w:rsidRPr="00623A97">
              <w:rPr>
                <w:rFonts w:ascii="Joost" w:hAnsi="Joost" w:cs="Times New Roman"/>
                <w:b/>
                <w:bCs/>
                <w:sz w:val="24"/>
                <w:szCs w:val="24"/>
                <w:lang w:val="lt-LT"/>
              </w:rPr>
              <w:t xml:space="preserve">553 000 </w:t>
            </w:r>
            <w:r w:rsidRPr="00623A97">
              <w:rPr>
                <w:rFonts w:ascii="Joost" w:hAnsi="Joost" w:cs="Times New Roman"/>
                <w:sz w:val="24"/>
                <w:szCs w:val="24"/>
                <w:lang w:val="lt-LT"/>
              </w:rPr>
              <w:t>vnt.;“</w:t>
            </w:r>
          </w:p>
          <w:p w14:paraId="4D4BA291" w14:textId="08E9AC0C" w:rsidR="003C36F0" w:rsidRPr="00623A97" w:rsidRDefault="00815D68" w:rsidP="000C7FBA">
            <w:pPr>
              <w:tabs>
                <w:tab w:val="left" w:pos="1260"/>
              </w:tabs>
              <w:jc w:val="both"/>
              <w:rPr>
                <w:rFonts w:ascii="Joost" w:hAnsi="Joost" w:hint="eastAsia"/>
                <w:lang w:val="lt-LT"/>
              </w:rPr>
            </w:pPr>
            <w:r w:rsidRPr="00623A97">
              <w:rPr>
                <w:rFonts w:ascii="Joost" w:hAnsi="Joost"/>
                <w:lang w:val="lt-LT"/>
              </w:rPr>
              <w:t>Klausimas: TS nėra apibrėžta kas turi būti laikoma mobiliojo pasirašymo priemonėmis, todėl nėra aišku kokių el. pasirašymo paslaugų kainą skaičiuoti. Taip pat jei po šiomis paslaugomis patektų skirtingų paslaugų teikėjų teikiamos paslaugos, atsižvelgiant į tai kad jie taiko skirtingą kainodarą, prašome išskirti šių paslaugų įkainių pateikimą į atskiras eilutes.</w:t>
            </w:r>
          </w:p>
        </w:tc>
      </w:tr>
      <w:tr w:rsidR="003C36F0" w:rsidRPr="00623A97" w14:paraId="337C1AB1" w14:textId="77777777" w:rsidTr="00291D3C">
        <w:trPr>
          <w:trHeight w:val="125"/>
        </w:trPr>
        <w:tc>
          <w:tcPr>
            <w:tcW w:w="9990" w:type="dxa"/>
          </w:tcPr>
          <w:p w14:paraId="182A8D51" w14:textId="0E582050" w:rsidR="003C36F0" w:rsidRPr="00623A97" w:rsidRDefault="003C36F0" w:rsidP="000C7FBA">
            <w:pPr>
              <w:tabs>
                <w:tab w:val="left" w:pos="567"/>
                <w:tab w:val="left" w:pos="851"/>
                <w:tab w:val="left" w:pos="992"/>
                <w:tab w:val="left" w:pos="1134"/>
              </w:tabs>
              <w:jc w:val="both"/>
              <w:textAlignment w:val="center"/>
              <w:rPr>
                <w:rFonts w:ascii="Joost" w:hAnsi="Joost" w:hint="eastAsia"/>
                <w:lang w:val="lt-LT"/>
              </w:rPr>
            </w:pPr>
            <w:r w:rsidRPr="00623A97">
              <w:rPr>
                <w:rFonts w:ascii="Joost" w:hAnsi="Joost"/>
                <w:b/>
                <w:bCs/>
                <w:lang w:val="lt-LT"/>
              </w:rPr>
              <w:t>Atsakymas</w:t>
            </w:r>
          </w:p>
        </w:tc>
      </w:tr>
      <w:tr w:rsidR="00853E7A" w:rsidRPr="00623A97" w14:paraId="0EFE39C6" w14:textId="77777777" w:rsidTr="0036075B">
        <w:trPr>
          <w:trHeight w:val="400"/>
        </w:trPr>
        <w:tc>
          <w:tcPr>
            <w:tcW w:w="9990" w:type="dxa"/>
          </w:tcPr>
          <w:p w14:paraId="32129C2D" w14:textId="0A311BBD" w:rsidR="00853E7A" w:rsidRPr="002D6382" w:rsidRDefault="00623A97" w:rsidP="000C7FBA">
            <w:pPr>
              <w:tabs>
                <w:tab w:val="left" w:pos="567"/>
                <w:tab w:val="left" w:pos="851"/>
                <w:tab w:val="left" w:pos="992"/>
                <w:tab w:val="left" w:pos="1134"/>
              </w:tabs>
              <w:jc w:val="both"/>
              <w:textAlignment w:val="center"/>
              <w:rPr>
                <w:rFonts w:ascii="Joost" w:hAnsi="Joost" w:hint="eastAsia"/>
                <w:lang w:val="lt-LT"/>
              </w:rPr>
            </w:pPr>
            <w:r w:rsidRPr="00623A97">
              <w:rPr>
                <w:rFonts w:ascii="Joost" w:hAnsi="Joost"/>
                <w:lang w:val="lt-LT"/>
              </w:rPr>
              <w:lastRenderedPageBreak/>
              <w:t>Pa</w:t>
            </w:r>
            <w:r w:rsidR="009B45EF">
              <w:rPr>
                <w:rFonts w:ascii="Joost" w:hAnsi="Joost"/>
                <w:lang w:val="lt-LT"/>
              </w:rPr>
              <w:t>aiškiname, kad Pirkimo dokumentuose vartojama sąvoka</w:t>
            </w:r>
            <w:r w:rsidRPr="00623A97">
              <w:rPr>
                <w:rFonts w:ascii="Joost" w:hAnsi="Joost"/>
                <w:lang w:val="lt-LT"/>
              </w:rPr>
              <w:t xml:space="preserve"> </w:t>
            </w:r>
            <w:r w:rsidR="009B45EF">
              <w:rPr>
                <w:rFonts w:ascii="Joost" w:hAnsi="Joost"/>
                <w:lang w:val="lt-LT"/>
              </w:rPr>
              <w:t>„</w:t>
            </w:r>
            <w:r w:rsidR="002D6382" w:rsidRPr="002D6382">
              <w:rPr>
                <w:rFonts w:ascii="Joost" w:hAnsi="Joost"/>
                <w:lang w:val="lt-LT"/>
              </w:rPr>
              <w:t>Mobilio</w:t>
            </w:r>
            <w:r w:rsidR="009B45EF">
              <w:rPr>
                <w:rFonts w:ascii="Joost" w:hAnsi="Joost"/>
                <w:lang w:val="lt-LT"/>
              </w:rPr>
              <w:t>s</w:t>
            </w:r>
            <w:r w:rsidR="002D6382" w:rsidRPr="002D6382">
              <w:rPr>
                <w:rFonts w:ascii="Joost" w:hAnsi="Joost"/>
                <w:lang w:val="lt-LT"/>
              </w:rPr>
              <w:t xml:space="preserve"> pasirašymo priemonės</w:t>
            </w:r>
            <w:r w:rsidR="009B45EF">
              <w:rPr>
                <w:rFonts w:ascii="Joost" w:hAnsi="Joost"/>
                <w:lang w:val="lt-LT"/>
              </w:rPr>
              <w:t>“</w:t>
            </w:r>
            <w:r w:rsidR="002D6382" w:rsidRPr="002D6382">
              <w:rPr>
                <w:rFonts w:ascii="Joost" w:hAnsi="Joost"/>
                <w:lang w:val="lt-LT"/>
              </w:rPr>
              <w:t xml:space="preserve"> </w:t>
            </w:r>
            <w:r w:rsidR="009B45EF">
              <w:rPr>
                <w:rFonts w:ascii="Joost" w:hAnsi="Joost"/>
                <w:lang w:val="lt-LT"/>
              </w:rPr>
              <w:t>apima</w:t>
            </w:r>
            <w:r w:rsidR="002D6382" w:rsidRPr="002D6382">
              <w:rPr>
                <w:rFonts w:ascii="Joost" w:hAnsi="Joost"/>
                <w:lang w:val="lt-LT"/>
              </w:rPr>
              <w:t xml:space="preserve"> priemon</w:t>
            </w:r>
            <w:r w:rsidR="009B45EF">
              <w:rPr>
                <w:rFonts w:ascii="Joost" w:hAnsi="Joost"/>
                <w:lang w:val="lt-LT"/>
              </w:rPr>
              <w:t>e</w:t>
            </w:r>
            <w:r w:rsidR="002D6382" w:rsidRPr="002D6382">
              <w:rPr>
                <w:rFonts w:ascii="Joost" w:hAnsi="Joost"/>
                <w:lang w:val="lt-LT"/>
              </w:rPr>
              <w:t>s, nurodyt</w:t>
            </w:r>
            <w:r w:rsidR="009B45EF">
              <w:rPr>
                <w:rFonts w:ascii="Joost" w:hAnsi="Joost"/>
                <w:lang w:val="lt-LT"/>
              </w:rPr>
              <w:t>a</w:t>
            </w:r>
            <w:r w:rsidR="002D6382" w:rsidRPr="002D6382">
              <w:rPr>
                <w:rFonts w:ascii="Joost" w:hAnsi="Joost"/>
                <w:lang w:val="lt-LT"/>
              </w:rPr>
              <w:t>s TS 3.1.1, 3.1.2 ir 3.1.3 p. Pasiūlymo formoje yra nurodyti atskiri paslaugų kiekiai</w:t>
            </w:r>
            <w:r w:rsidR="00867530">
              <w:rPr>
                <w:rFonts w:ascii="Joost" w:hAnsi="Joost"/>
                <w:lang w:val="lt-LT"/>
              </w:rPr>
              <w:t>,</w:t>
            </w:r>
            <w:r w:rsidR="00867530" w:rsidRPr="002D6382">
              <w:rPr>
                <w:rFonts w:ascii="Joost" w:hAnsi="Joost"/>
                <w:lang w:val="lt-LT"/>
              </w:rPr>
              <w:t xml:space="preserve"> </w:t>
            </w:r>
            <w:r w:rsidR="00867530">
              <w:rPr>
                <w:rFonts w:ascii="Joost" w:hAnsi="Joost"/>
                <w:lang w:val="lt-LT"/>
              </w:rPr>
              <w:t>a</w:t>
            </w:r>
            <w:r w:rsidR="00867530" w:rsidRPr="002D6382">
              <w:rPr>
                <w:rFonts w:ascii="Joost" w:hAnsi="Joost"/>
                <w:lang w:val="lt-LT"/>
              </w:rPr>
              <w:t>tsižvelgiant į pasirašymo priemonių rūšį</w:t>
            </w:r>
            <w:r w:rsidR="002D6382" w:rsidRPr="002D6382">
              <w:rPr>
                <w:rFonts w:ascii="Joost" w:hAnsi="Joost"/>
                <w:lang w:val="lt-LT"/>
              </w:rPr>
              <w:t>.</w:t>
            </w:r>
            <w:r w:rsidR="00AF5C8E" w:rsidRPr="00AF5C8E">
              <w:rPr>
                <w:rFonts w:ascii="Joost" w:hAnsi="Joost"/>
                <w:bdr w:val="none" w:sz="0" w:space="0" w:color="auto" w:frame="1"/>
                <w:lang w:val="lt-LT"/>
              </w:rPr>
              <w:t xml:space="preserve"> </w:t>
            </w:r>
            <w:r w:rsidR="000401F7" w:rsidRPr="00AF5C8E">
              <w:rPr>
                <w:rFonts w:ascii="Joost" w:hAnsi="Joost"/>
                <w:lang w:val="lt-LT"/>
              </w:rPr>
              <w:t>Pasiūlymo forma n</w:t>
            </w:r>
            <w:r w:rsidR="00110B1B">
              <w:rPr>
                <w:rFonts w:ascii="Joost" w:hAnsi="Joost"/>
                <w:lang w:val="lt-LT"/>
              </w:rPr>
              <w:t>ebus</w:t>
            </w:r>
            <w:r w:rsidR="000401F7" w:rsidRPr="00AF5C8E">
              <w:rPr>
                <w:rFonts w:ascii="Joost" w:hAnsi="Joost"/>
                <w:lang w:val="lt-LT"/>
              </w:rPr>
              <w:t xml:space="preserve"> </w:t>
            </w:r>
            <w:r w:rsidR="00110B1B">
              <w:rPr>
                <w:rFonts w:ascii="Joost" w:hAnsi="Joost"/>
                <w:lang w:val="lt-LT"/>
              </w:rPr>
              <w:t>išskiriama</w:t>
            </w:r>
            <w:r w:rsidR="000401F7" w:rsidRPr="00AF5C8E">
              <w:rPr>
                <w:rFonts w:ascii="Joost" w:hAnsi="Joost"/>
                <w:lang w:val="lt-LT"/>
              </w:rPr>
              <w:t xml:space="preserve"> į atskiras eilutes ir nebus keičiama</w:t>
            </w:r>
            <w:r w:rsidR="000401F7">
              <w:rPr>
                <w:rFonts w:ascii="Joost" w:hAnsi="Joost"/>
                <w:lang w:val="lt-LT"/>
              </w:rPr>
              <w:t xml:space="preserve">, </w:t>
            </w:r>
            <w:r w:rsidR="00AF5C8E" w:rsidRPr="00AF5C8E">
              <w:rPr>
                <w:rFonts w:ascii="Joost" w:hAnsi="Joost"/>
                <w:lang w:val="lt-LT"/>
              </w:rPr>
              <w:t>nepriklausomai nuo konkretaus paslaugos teikėjo taikomos kainodaros</w:t>
            </w:r>
            <w:r w:rsidR="000401F7">
              <w:rPr>
                <w:rFonts w:ascii="Joost" w:hAnsi="Joost"/>
                <w:lang w:val="lt-LT"/>
              </w:rPr>
              <w:t>.</w:t>
            </w:r>
          </w:p>
        </w:tc>
      </w:tr>
    </w:tbl>
    <w:p w14:paraId="2C081A81" w14:textId="77777777" w:rsidR="004724B7" w:rsidRPr="004340FC" w:rsidRDefault="004724B7" w:rsidP="004724B7">
      <w:pPr>
        <w:tabs>
          <w:tab w:val="left" w:pos="1605"/>
        </w:tabs>
        <w:rPr>
          <w:rFonts w:ascii="Joost" w:hAnsi="Joost" w:hint="eastAsia"/>
        </w:rPr>
      </w:pPr>
    </w:p>
    <w:p w14:paraId="36822B6B" w14:textId="0828B36C" w:rsidR="004C601C" w:rsidRPr="004340FC" w:rsidRDefault="004C601C" w:rsidP="004C601C">
      <w:pPr>
        <w:tabs>
          <w:tab w:val="left" w:pos="1605"/>
        </w:tabs>
        <w:ind w:firstLine="720"/>
        <w:rPr>
          <w:rFonts w:ascii="Joost" w:hAnsi="Joost" w:hint="eastAsia"/>
        </w:rPr>
      </w:pPr>
      <w:r w:rsidRPr="004340FC">
        <w:rPr>
          <w:rFonts w:ascii="Joost" w:hAnsi="Joost"/>
        </w:rPr>
        <w:t>Pasiūlymų pate</w:t>
      </w:r>
      <w:r w:rsidR="00265D54" w:rsidRPr="004340FC">
        <w:rPr>
          <w:rFonts w:ascii="Joost" w:hAnsi="Joost"/>
        </w:rPr>
        <w:t>i</w:t>
      </w:r>
      <w:r w:rsidRPr="004340FC">
        <w:rPr>
          <w:rFonts w:ascii="Joost" w:hAnsi="Joost"/>
        </w:rPr>
        <w:t>kimo terminas nėra nukeliamas.</w:t>
      </w:r>
    </w:p>
    <w:p w14:paraId="4DED9DB4" w14:textId="77777777" w:rsidR="004724B7" w:rsidRPr="004340FC" w:rsidRDefault="004724B7" w:rsidP="004724B7">
      <w:pPr>
        <w:tabs>
          <w:tab w:val="left" w:pos="1605"/>
        </w:tabs>
        <w:spacing w:line="288" w:lineRule="auto"/>
        <w:jc w:val="both"/>
        <w:rPr>
          <w:rFonts w:ascii="Joost" w:eastAsia="Times New Roman" w:hAnsi="Joost"/>
          <w:color w:val="000000"/>
        </w:rPr>
      </w:pPr>
    </w:p>
    <w:p w14:paraId="2FC7F03D" w14:textId="20D198AA" w:rsidR="004724B7" w:rsidRPr="004340FC" w:rsidRDefault="004724B7" w:rsidP="004724B7">
      <w:pPr>
        <w:tabs>
          <w:tab w:val="left" w:pos="1605"/>
        </w:tabs>
        <w:spacing w:line="288" w:lineRule="auto"/>
        <w:jc w:val="both"/>
        <w:rPr>
          <w:rFonts w:ascii="Joost" w:eastAsia="Times New Roman" w:hAnsi="Joost"/>
          <w:color w:val="000000"/>
        </w:rPr>
      </w:pPr>
      <w:r w:rsidRPr="004340FC">
        <w:rPr>
          <w:rFonts w:ascii="Joost" w:eastAsia="Times New Roman" w:hAnsi="Joost"/>
          <w:color w:val="000000"/>
        </w:rPr>
        <w:t>Pagarbiai</w:t>
      </w:r>
    </w:p>
    <w:p w14:paraId="24581294" w14:textId="77777777" w:rsidR="004724B7" w:rsidRPr="004340FC" w:rsidRDefault="004724B7" w:rsidP="004724B7">
      <w:pPr>
        <w:tabs>
          <w:tab w:val="left" w:pos="1605"/>
        </w:tabs>
        <w:jc w:val="both"/>
        <w:rPr>
          <w:rFonts w:ascii="Joost" w:eastAsia="Times New Roman" w:hAnsi="Joost"/>
          <w:color w:val="000000"/>
        </w:rPr>
      </w:pPr>
    </w:p>
    <w:p w14:paraId="7478A476" w14:textId="081681EA" w:rsidR="00E4040A" w:rsidRPr="004340FC" w:rsidRDefault="004724B7" w:rsidP="000A535B">
      <w:pPr>
        <w:tabs>
          <w:tab w:val="left" w:pos="1605"/>
        </w:tabs>
        <w:spacing w:line="288" w:lineRule="auto"/>
        <w:jc w:val="both"/>
        <w:rPr>
          <w:rFonts w:ascii="Joost" w:hAnsi="Joost" w:hint="eastAsia"/>
        </w:rPr>
      </w:pPr>
      <w:r w:rsidRPr="004340FC">
        <w:rPr>
          <w:rFonts w:ascii="Joost" w:eastAsia="Times New Roman" w:hAnsi="Joost"/>
          <w:color w:val="000000"/>
        </w:rPr>
        <w:t>Komisija</w:t>
      </w:r>
    </w:p>
    <w:sectPr w:rsidR="00E4040A" w:rsidRPr="004340FC" w:rsidSect="005644F6">
      <w:headerReference w:type="default" r:id="rId8"/>
      <w:footerReference w:type="default" r:id="rId9"/>
      <w:headerReference w:type="first" r:id="rId10"/>
      <w:pgSz w:w="11900" w:h="16840"/>
      <w:pgMar w:top="1152" w:right="576" w:bottom="1152" w:left="158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B5245" w14:textId="77777777" w:rsidR="00B6175A" w:rsidRDefault="00B6175A" w:rsidP="000F17D6">
      <w:r>
        <w:separator/>
      </w:r>
    </w:p>
  </w:endnote>
  <w:endnote w:type="continuationSeparator" w:id="0">
    <w:p w14:paraId="38197EA9" w14:textId="77777777" w:rsidR="00B6175A" w:rsidRDefault="00B6175A" w:rsidP="000F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Helvetica Neue Medium">
    <w:altName w:val="Arial"/>
    <w:charset w:val="00"/>
    <w:family w:val="swiss"/>
    <w:pitch w:val="variable"/>
    <w:sig w:usb0="A00002FF" w:usb1="5000205B" w:usb2="00000002" w:usb3="00000000" w:csb0="0000009B" w:csb1="00000000"/>
  </w:font>
  <w:font w:name="Helvetica Neue">
    <w:altName w:val="Sylfaen"/>
    <w:charset w:val="00"/>
    <w:family w:val="auto"/>
    <w:pitch w:val="variable"/>
    <w:sig w:usb0="E50002FF" w:usb1="500079DB" w:usb2="00000010" w:usb3="00000000" w:csb0="00000001" w:csb1="00000000"/>
  </w:font>
  <w:font w:name="Joos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Jost">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A88E1" w14:textId="77777777" w:rsidR="000F17D6" w:rsidRDefault="000F17D6">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65635" w14:textId="77777777" w:rsidR="00B6175A" w:rsidRDefault="00B6175A" w:rsidP="000F17D6">
      <w:r>
        <w:separator/>
      </w:r>
    </w:p>
  </w:footnote>
  <w:footnote w:type="continuationSeparator" w:id="0">
    <w:p w14:paraId="309650F6" w14:textId="77777777" w:rsidR="00B6175A" w:rsidRDefault="00B6175A" w:rsidP="000F1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211346"/>
      <w:docPartObj>
        <w:docPartGallery w:val="Page Numbers (Top of Page)"/>
        <w:docPartUnique/>
      </w:docPartObj>
    </w:sdtPr>
    <w:sdtEndPr>
      <w:rPr>
        <w:rFonts w:ascii="Jost" w:hAnsi="Jost"/>
        <w:sz w:val="22"/>
        <w:szCs w:val="22"/>
      </w:rPr>
    </w:sdtEndPr>
    <w:sdtContent>
      <w:p w14:paraId="0FDB96D6" w14:textId="77777777" w:rsidR="000F17D6" w:rsidRPr="000623F7" w:rsidRDefault="000F17D6">
        <w:pPr>
          <w:pStyle w:val="Header"/>
          <w:jc w:val="center"/>
          <w:rPr>
            <w:rFonts w:ascii="Jost" w:hAnsi="Jost" w:hint="eastAsia"/>
            <w:sz w:val="22"/>
            <w:szCs w:val="22"/>
          </w:rPr>
        </w:pPr>
        <w:r w:rsidRPr="000623F7">
          <w:rPr>
            <w:rFonts w:ascii="Jost" w:hAnsi="Jost"/>
            <w:sz w:val="22"/>
            <w:szCs w:val="22"/>
          </w:rPr>
          <w:fldChar w:fldCharType="begin"/>
        </w:r>
        <w:r w:rsidRPr="000623F7">
          <w:rPr>
            <w:rFonts w:ascii="Jost" w:hAnsi="Jost"/>
            <w:sz w:val="22"/>
            <w:szCs w:val="22"/>
          </w:rPr>
          <w:instrText>PAGE   \* MERGEFORMAT</w:instrText>
        </w:r>
        <w:r w:rsidRPr="000623F7">
          <w:rPr>
            <w:rFonts w:ascii="Jost" w:hAnsi="Jost"/>
            <w:sz w:val="22"/>
            <w:szCs w:val="22"/>
          </w:rPr>
          <w:fldChar w:fldCharType="separate"/>
        </w:r>
        <w:r w:rsidRPr="000623F7">
          <w:rPr>
            <w:rFonts w:ascii="Jost" w:hAnsi="Jost"/>
            <w:noProof/>
            <w:sz w:val="22"/>
            <w:szCs w:val="22"/>
          </w:rPr>
          <w:t>2</w:t>
        </w:r>
        <w:r w:rsidRPr="000623F7">
          <w:rPr>
            <w:rFonts w:ascii="Jost" w:hAnsi="Jost"/>
            <w:sz w:val="22"/>
            <w:szCs w:val="22"/>
          </w:rPr>
          <w:fldChar w:fldCharType="end"/>
        </w:r>
      </w:p>
    </w:sdtContent>
  </w:sdt>
  <w:p w14:paraId="763652F3" w14:textId="77777777" w:rsidR="000F17D6" w:rsidRDefault="000F17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D62E8" w14:textId="77777777" w:rsidR="000F17D6" w:rsidRDefault="000F17D6" w:rsidP="000F17D6">
    <w:pPr>
      <w:pStyle w:val="Header"/>
    </w:pPr>
    <w:r w:rsidRPr="00352C13">
      <w:rPr>
        <w:noProof/>
      </w:rPr>
      <w:drawing>
        <wp:inline distT="0" distB="0" distL="0" distR="0" wp14:anchorId="50DAB926" wp14:editId="71FDD2EC">
          <wp:extent cx="1260000" cy="522000"/>
          <wp:effectExtent l="0" t="0" r="0" b="0"/>
          <wp:docPr id="93008491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C6119"/>
    <w:multiLevelType w:val="multilevel"/>
    <w:tmpl w:val="8EA4B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123F8"/>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bCs/>
        <w:strike w:val="0"/>
      </w:rPr>
    </w:lvl>
    <w:lvl w:ilvl="2">
      <w:start w:val="1"/>
      <w:numFmt w:val="lowerRoman"/>
      <w:lvlText w:val="%3)"/>
      <w:lvlJc w:val="left"/>
      <w:pPr>
        <w:ind w:left="1080" w:hanging="360"/>
      </w:pPr>
      <w:rPr>
        <w:rFonts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8CF7C5D"/>
    <w:multiLevelType w:val="multilevel"/>
    <w:tmpl w:val="C120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404577"/>
    <w:multiLevelType w:val="multilevel"/>
    <w:tmpl w:val="5E846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9164AD"/>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bCs/>
        <w:strike w:val="0"/>
      </w:rPr>
    </w:lvl>
    <w:lvl w:ilvl="2">
      <w:start w:val="1"/>
      <w:numFmt w:val="lowerRoman"/>
      <w:lvlText w:val="%3)"/>
      <w:lvlJc w:val="left"/>
      <w:pPr>
        <w:ind w:left="1080" w:hanging="360"/>
      </w:pPr>
      <w:rPr>
        <w:rFonts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47930672">
    <w:abstractNumId w:val="0"/>
  </w:num>
  <w:num w:numId="2" w16cid:durableId="934439856">
    <w:abstractNumId w:val="3"/>
  </w:num>
  <w:num w:numId="3" w16cid:durableId="2111776423">
    <w:abstractNumId w:val="2"/>
  </w:num>
  <w:num w:numId="4" w16cid:durableId="1682773947">
    <w:abstractNumId w:val="4"/>
  </w:num>
  <w:num w:numId="5" w16cid:durableId="605624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D6"/>
    <w:rsid w:val="00021AAF"/>
    <w:rsid w:val="0003099E"/>
    <w:rsid w:val="000401F7"/>
    <w:rsid w:val="00040453"/>
    <w:rsid w:val="00051BE0"/>
    <w:rsid w:val="000673B7"/>
    <w:rsid w:val="000841CC"/>
    <w:rsid w:val="00095D5F"/>
    <w:rsid w:val="000A535B"/>
    <w:rsid w:val="000B64AE"/>
    <w:rsid w:val="000C7FBA"/>
    <w:rsid w:val="000E0930"/>
    <w:rsid w:val="000F17D6"/>
    <w:rsid w:val="000F3B8C"/>
    <w:rsid w:val="00110B1B"/>
    <w:rsid w:val="00126391"/>
    <w:rsid w:val="001276CB"/>
    <w:rsid w:val="001330B6"/>
    <w:rsid w:val="00140269"/>
    <w:rsid w:val="001424B9"/>
    <w:rsid w:val="001558F6"/>
    <w:rsid w:val="00180221"/>
    <w:rsid w:val="001954C2"/>
    <w:rsid w:val="001C257D"/>
    <w:rsid w:val="0023122B"/>
    <w:rsid w:val="00240BAB"/>
    <w:rsid w:val="00265D54"/>
    <w:rsid w:val="0027706E"/>
    <w:rsid w:val="00283410"/>
    <w:rsid w:val="00291D3C"/>
    <w:rsid w:val="002B4360"/>
    <w:rsid w:val="002D6382"/>
    <w:rsid w:val="002E0DBC"/>
    <w:rsid w:val="002F6034"/>
    <w:rsid w:val="00300312"/>
    <w:rsid w:val="00322AFC"/>
    <w:rsid w:val="0032721B"/>
    <w:rsid w:val="0036075B"/>
    <w:rsid w:val="00362939"/>
    <w:rsid w:val="00376B34"/>
    <w:rsid w:val="003B217B"/>
    <w:rsid w:val="003B610D"/>
    <w:rsid w:val="003B6880"/>
    <w:rsid w:val="003C36F0"/>
    <w:rsid w:val="003C6C5D"/>
    <w:rsid w:val="003D08CE"/>
    <w:rsid w:val="003E1BFD"/>
    <w:rsid w:val="003E6BB5"/>
    <w:rsid w:val="00401C89"/>
    <w:rsid w:val="0040595F"/>
    <w:rsid w:val="004230F7"/>
    <w:rsid w:val="004340FC"/>
    <w:rsid w:val="00445645"/>
    <w:rsid w:val="004657AE"/>
    <w:rsid w:val="004724B7"/>
    <w:rsid w:val="0048126B"/>
    <w:rsid w:val="004841E0"/>
    <w:rsid w:val="00490A3C"/>
    <w:rsid w:val="00494710"/>
    <w:rsid w:val="00494CBC"/>
    <w:rsid w:val="004A5103"/>
    <w:rsid w:val="004B4774"/>
    <w:rsid w:val="004B73A5"/>
    <w:rsid w:val="004C601C"/>
    <w:rsid w:val="004D1F07"/>
    <w:rsid w:val="004E3AB8"/>
    <w:rsid w:val="004F6AD6"/>
    <w:rsid w:val="00512F79"/>
    <w:rsid w:val="0051460F"/>
    <w:rsid w:val="00524B8D"/>
    <w:rsid w:val="00526B97"/>
    <w:rsid w:val="005642C6"/>
    <w:rsid w:val="005644F6"/>
    <w:rsid w:val="005718E6"/>
    <w:rsid w:val="005B2B66"/>
    <w:rsid w:val="005B4238"/>
    <w:rsid w:val="005D01EA"/>
    <w:rsid w:val="00623A97"/>
    <w:rsid w:val="006810B3"/>
    <w:rsid w:val="006862E0"/>
    <w:rsid w:val="006908B5"/>
    <w:rsid w:val="006A333C"/>
    <w:rsid w:val="006A3975"/>
    <w:rsid w:val="006F5CF6"/>
    <w:rsid w:val="007150FC"/>
    <w:rsid w:val="00717D5C"/>
    <w:rsid w:val="007254B9"/>
    <w:rsid w:val="007271E9"/>
    <w:rsid w:val="00774325"/>
    <w:rsid w:val="007772DB"/>
    <w:rsid w:val="0078244E"/>
    <w:rsid w:val="007C49C9"/>
    <w:rsid w:val="007C7652"/>
    <w:rsid w:val="007F0445"/>
    <w:rsid w:val="007F072F"/>
    <w:rsid w:val="00801512"/>
    <w:rsid w:val="00801E82"/>
    <w:rsid w:val="0080337D"/>
    <w:rsid w:val="0080655C"/>
    <w:rsid w:val="00811008"/>
    <w:rsid w:val="0081367D"/>
    <w:rsid w:val="00815D68"/>
    <w:rsid w:val="00853E7A"/>
    <w:rsid w:val="00860FEB"/>
    <w:rsid w:val="00867530"/>
    <w:rsid w:val="00876804"/>
    <w:rsid w:val="00876EDD"/>
    <w:rsid w:val="008814A7"/>
    <w:rsid w:val="0088508D"/>
    <w:rsid w:val="00892698"/>
    <w:rsid w:val="008B59AC"/>
    <w:rsid w:val="008D5736"/>
    <w:rsid w:val="008D7719"/>
    <w:rsid w:val="008E62D4"/>
    <w:rsid w:val="00901F52"/>
    <w:rsid w:val="00913764"/>
    <w:rsid w:val="009300FE"/>
    <w:rsid w:val="00935834"/>
    <w:rsid w:val="00940C42"/>
    <w:rsid w:val="00940E74"/>
    <w:rsid w:val="00943813"/>
    <w:rsid w:val="00992541"/>
    <w:rsid w:val="009A6FF3"/>
    <w:rsid w:val="009A7E52"/>
    <w:rsid w:val="009B45EF"/>
    <w:rsid w:val="009C6D53"/>
    <w:rsid w:val="009E46A3"/>
    <w:rsid w:val="009E5672"/>
    <w:rsid w:val="009F3B08"/>
    <w:rsid w:val="00A0048D"/>
    <w:rsid w:val="00A1363C"/>
    <w:rsid w:val="00A25314"/>
    <w:rsid w:val="00A54493"/>
    <w:rsid w:val="00A6359B"/>
    <w:rsid w:val="00A63639"/>
    <w:rsid w:val="00A67D15"/>
    <w:rsid w:val="00A71CBF"/>
    <w:rsid w:val="00A7668B"/>
    <w:rsid w:val="00A84892"/>
    <w:rsid w:val="00AB476D"/>
    <w:rsid w:val="00AB7038"/>
    <w:rsid w:val="00AC0DC4"/>
    <w:rsid w:val="00AD0C9D"/>
    <w:rsid w:val="00AF5C8E"/>
    <w:rsid w:val="00B54EE8"/>
    <w:rsid w:val="00B6175A"/>
    <w:rsid w:val="00B62F87"/>
    <w:rsid w:val="00B635A5"/>
    <w:rsid w:val="00B77E46"/>
    <w:rsid w:val="00B83BD1"/>
    <w:rsid w:val="00B97D3C"/>
    <w:rsid w:val="00BC4BBB"/>
    <w:rsid w:val="00BD075A"/>
    <w:rsid w:val="00BD3FF5"/>
    <w:rsid w:val="00BD61F3"/>
    <w:rsid w:val="00BE45FA"/>
    <w:rsid w:val="00C0001C"/>
    <w:rsid w:val="00C04902"/>
    <w:rsid w:val="00C36859"/>
    <w:rsid w:val="00C52425"/>
    <w:rsid w:val="00C628F6"/>
    <w:rsid w:val="00C802B5"/>
    <w:rsid w:val="00C918C4"/>
    <w:rsid w:val="00CB6EAD"/>
    <w:rsid w:val="00CC5F6C"/>
    <w:rsid w:val="00CD1404"/>
    <w:rsid w:val="00CE0EA3"/>
    <w:rsid w:val="00D163F3"/>
    <w:rsid w:val="00D66B6A"/>
    <w:rsid w:val="00D803EE"/>
    <w:rsid w:val="00DA0901"/>
    <w:rsid w:val="00DB5547"/>
    <w:rsid w:val="00DC41B6"/>
    <w:rsid w:val="00DD3F9D"/>
    <w:rsid w:val="00DD4DA4"/>
    <w:rsid w:val="00DE0558"/>
    <w:rsid w:val="00DE0A01"/>
    <w:rsid w:val="00DF3CE3"/>
    <w:rsid w:val="00DF403B"/>
    <w:rsid w:val="00E00E3E"/>
    <w:rsid w:val="00E04159"/>
    <w:rsid w:val="00E27A21"/>
    <w:rsid w:val="00E4040A"/>
    <w:rsid w:val="00E474E3"/>
    <w:rsid w:val="00E51C3B"/>
    <w:rsid w:val="00E62888"/>
    <w:rsid w:val="00E65F29"/>
    <w:rsid w:val="00E806E2"/>
    <w:rsid w:val="00E9653F"/>
    <w:rsid w:val="00EA3DE5"/>
    <w:rsid w:val="00ED5612"/>
    <w:rsid w:val="00EE5266"/>
    <w:rsid w:val="00F0696E"/>
    <w:rsid w:val="00F36B90"/>
    <w:rsid w:val="00F37442"/>
    <w:rsid w:val="00F52AEA"/>
    <w:rsid w:val="00F67EB9"/>
    <w:rsid w:val="00F71DC1"/>
    <w:rsid w:val="00F91071"/>
    <w:rsid w:val="00F9235A"/>
    <w:rsid w:val="00F93255"/>
    <w:rsid w:val="00FC6BEF"/>
    <w:rsid w:val="00FD0586"/>
    <w:rsid w:val="00FF16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12B15"/>
  <w15:chartTrackingRefBased/>
  <w15:docId w15:val="{ED25A365-CF9D-4CA5-B4AF-A21BB861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7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14:ligatures w14:val="none"/>
    </w:rPr>
  </w:style>
  <w:style w:type="paragraph" w:styleId="Heading1">
    <w:name w:val="heading 1"/>
    <w:basedOn w:val="Normal"/>
    <w:next w:val="Normal"/>
    <w:link w:val="Heading1Char"/>
    <w:uiPriority w:val="9"/>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sz w:val="40"/>
      <w:szCs w:val="40"/>
      <w:bdr w:val="none" w:sz="0" w:space="0" w:color="auto"/>
      <w14:ligatures w14:val="standardContextual"/>
    </w:rPr>
  </w:style>
  <w:style w:type="paragraph" w:styleId="Heading2">
    <w:name w:val="heading 2"/>
    <w:basedOn w:val="Normal"/>
    <w:next w:val="Normal"/>
    <w:link w:val="Heading2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sz w:val="32"/>
      <w:szCs w:val="32"/>
      <w:bdr w:val="none" w:sz="0" w:space="0" w:color="auto"/>
      <w14:ligatures w14:val="standardContextual"/>
    </w:rPr>
  </w:style>
  <w:style w:type="paragraph" w:styleId="Heading3">
    <w:name w:val="heading 3"/>
    <w:basedOn w:val="Normal"/>
    <w:next w:val="Normal"/>
    <w:link w:val="Heading3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sz w:val="28"/>
      <w:szCs w:val="28"/>
      <w:bdr w:val="none" w:sz="0" w:space="0" w:color="auto"/>
      <w14:ligatures w14:val="standardContextual"/>
    </w:rPr>
  </w:style>
  <w:style w:type="paragraph" w:styleId="Heading4">
    <w:name w:val="heading 4"/>
    <w:basedOn w:val="Normal"/>
    <w:next w:val="Normal"/>
    <w:link w:val="Heading4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sz w:val="22"/>
      <w:szCs w:val="22"/>
      <w:bdr w:val="none" w:sz="0" w:space="0" w:color="auto"/>
      <w14:ligatures w14:val="standardContextual"/>
    </w:rPr>
  </w:style>
  <w:style w:type="paragraph" w:styleId="Heading5">
    <w:name w:val="heading 5"/>
    <w:basedOn w:val="Normal"/>
    <w:next w:val="Normal"/>
    <w:link w:val="Heading5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sz w:val="22"/>
      <w:szCs w:val="22"/>
      <w:bdr w:val="none" w:sz="0" w:space="0" w:color="auto"/>
      <w14:ligatures w14:val="standardContextual"/>
    </w:rPr>
  </w:style>
  <w:style w:type="paragraph" w:styleId="Heading6">
    <w:name w:val="heading 6"/>
    <w:basedOn w:val="Normal"/>
    <w:next w:val="Normal"/>
    <w:link w:val="Heading6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sz w:val="22"/>
      <w:szCs w:val="22"/>
      <w:bdr w:val="none" w:sz="0" w:space="0" w:color="auto"/>
      <w14:ligatures w14:val="standardContextual"/>
    </w:rPr>
  </w:style>
  <w:style w:type="paragraph" w:styleId="Heading7">
    <w:name w:val="heading 7"/>
    <w:basedOn w:val="Normal"/>
    <w:next w:val="Normal"/>
    <w:link w:val="Heading7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sz w:val="22"/>
      <w:szCs w:val="22"/>
      <w:bdr w:val="none" w:sz="0" w:space="0" w:color="auto"/>
      <w14:ligatures w14:val="standardContextual"/>
    </w:rPr>
  </w:style>
  <w:style w:type="paragraph" w:styleId="Heading8">
    <w:name w:val="heading 8"/>
    <w:basedOn w:val="Normal"/>
    <w:next w:val="Normal"/>
    <w:link w:val="Heading8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sz w:val="22"/>
      <w:szCs w:val="22"/>
      <w:bdr w:val="none" w:sz="0" w:space="0" w:color="auto"/>
      <w14:ligatures w14:val="standardContextual"/>
    </w:rPr>
  </w:style>
  <w:style w:type="paragraph" w:styleId="Heading9">
    <w:name w:val="heading 9"/>
    <w:basedOn w:val="Normal"/>
    <w:next w:val="Normal"/>
    <w:link w:val="Heading9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sz w:val="22"/>
      <w:szCs w:val="22"/>
      <w:bdr w:val="none" w:sz="0" w:space="0" w:color="auto"/>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7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17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17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7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7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7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7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7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7D6"/>
    <w:rPr>
      <w:rFonts w:eastAsiaTheme="majorEastAsia" w:cstheme="majorBidi"/>
      <w:color w:val="272727" w:themeColor="text1" w:themeTint="D8"/>
    </w:rPr>
  </w:style>
  <w:style w:type="paragraph" w:styleId="Title">
    <w:name w:val="Title"/>
    <w:basedOn w:val="Normal"/>
    <w:next w:val="Normal"/>
    <w:link w:val="TitleChar"/>
    <w:uiPriority w:val="10"/>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TitleChar">
    <w:name w:val="Title Char"/>
    <w:basedOn w:val="DefaultParagraphFont"/>
    <w:link w:val="Title"/>
    <w:uiPriority w:val="10"/>
    <w:rsid w:val="000F17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7D6"/>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sz w:val="28"/>
      <w:szCs w:val="28"/>
      <w:bdr w:val="none" w:sz="0" w:space="0" w:color="auto"/>
      <w14:ligatures w14:val="standardContextual"/>
    </w:rPr>
  </w:style>
  <w:style w:type="character" w:customStyle="1" w:styleId="SubtitleChar">
    <w:name w:val="Subtitle Char"/>
    <w:basedOn w:val="DefaultParagraphFont"/>
    <w:link w:val="Subtitle"/>
    <w:uiPriority w:val="11"/>
    <w:rsid w:val="000F17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sz w:val="22"/>
      <w:szCs w:val="22"/>
      <w:bdr w:val="none" w:sz="0" w:space="0" w:color="auto"/>
      <w14:ligatures w14:val="standardContextual"/>
    </w:rPr>
  </w:style>
  <w:style w:type="character" w:customStyle="1" w:styleId="QuoteChar">
    <w:name w:val="Quote Char"/>
    <w:basedOn w:val="DefaultParagraphFont"/>
    <w:link w:val="Quote"/>
    <w:uiPriority w:val="29"/>
    <w:rsid w:val="000F17D6"/>
    <w:rPr>
      <w:i/>
      <w:iCs/>
      <w:color w:val="404040" w:themeColor="text1" w:themeTint="BF"/>
    </w:rPr>
  </w:style>
  <w:style w:type="paragraph" w:styleId="ListParagraph">
    <w:name w:val="List Paragraph"/>
    <w:aliases w:val="ERP-List Paragraph,List Paragraph1,List Paragraph11,Numbering,List Paragraph Red,Bullet EY,List Paragraph2,List Paragraph21,Lentele,Table of contents numbered,List Paragraph111,List not in Table,punktai,List Paragraph22,lp1,Paragraph"/>
    <w:basedOn w:val="Normal"/>
    <w:link w:val="ListParagraphChar"/>
    <w:uiPriority w:val="34"/>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14:ligatures w14:val="standardContextual"/>
    </w:rPr>
  </w:style>
  <w:style w:type="character" w:styleId="IntenseEmphasis">
    <w:name w:val="Intense Emphasis"/>
    <w:basedOn w:val="DefaultParagraphFont"/>
    <w:uiPriority w:val="21"/>
    <w:qFormat/>
    <w:rsid w:val="000F17D6"/>
    <w:rPr>
      <w:i/>
      <w:iCs/>
      <w:color w:val="0F4761" w:themeColor="accent1" w:themeShade="BF"/>
    </w:rPr>
  </w:style>
  <w:style w:type="paragraph" w:styleId="IntenseQuote">
    <w:name w:val="Intense Quote"/>
    <w:basedOn w:val="Normal"/>
    <w:next w:val="Normal"/>
    <w:link w:val="IntenseQuoteChar"/>
    <w:uiPriority w:val="30"/>
    <w:qFormat/>
    <w:rsid w:val="000F17D6"/>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bdr w:val="none" w:sz="0" w:space="0" w:color="auto"/>
      <w14:ligatures w14:val="standardContextual"/>
    </w:rPr>
  </w:style>
  <w:style w:type="character" w:customStyle="1" w:styleId="IntenseQuoteChar">
    <w:name w:val="Intense Quote Char"/>
    <w:basedOn w:val="DefaultParagraphFont"/>
    <w:link w:val="IntenseQuote"/>
    <w:uiPriority w:val="30"/>
    <w:rsid w:val="000F17D6"/>
    <w:rPr>
      <w:i/>
      <w:iCs/>
      <w:color w:val="0F4761" w:themeColor="accent1" w:themeShade="BF"/>
    </w:rPr>
  </w:style>
  <w:style w:type="character" w:styleId="IntenseReference">
    <w:name w:val="Intense Reference"/>
    <w:basedOn w:val="DefaultParagraphFont"/>
    <w:uiPriority w:val="32"/>
    <w:qFormat/>
    <w:rsid w:val="000F17D6"/>
    <w:rPr>
      <w:b/>
      <w:bCs/>
      <w:smallCaps/>
      <w:color w:val="0F4761" w:themeColor="accent1" w:themeShade="BF"/>
      <w:spacing w:val="5"/>
    </w:rPr>
  </w:style>
  <w:style w:type="paragraph" w:customStyle="1" w:styleId="HeaderFooter">
    <w:name w:val="Header &amp; Footer"/>
    <w:rsid w:val="000F17D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14:ligatures w14:val="none"/>
    </w:rPr>
  </w:style>
  <w:style w:type="paragraph" w:customStyle="1" w:styleId="FreeForm">
    <w:name w:val="Free Form"/>
    <w:rsid w:val="000F17D6"/>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14:ligatures w14:val="none"/>
    </w:rPr>
  </w:style>
  <w:style w:type="paragraph" w:styleId="Header">
    <w:name w:val="header"/>
    <w:basedOn w:val="Normal"/>
    <w:link w:val="HeaderChar"/>
    <w:uiPriority w:val="99"/>
    <w:unhideWhenUsed/>
    <w:rsid w:val="000F17D6"/>
    <w:pPr>
      <w:tabs>
        <w:tab w:val="center" w:pos="4680"/>
        <w:tab w:val="right" w:pos="9360"/>
      </w:tabs>
    </w:pPr>
  </w:style>
  <w:style w:type="character" w:customStyle="1" w:styleId="HeaderChar">
    <w:name w:val="Header Char"/>
    <w:basedOn w:val="DefaultParagraphFont"/>
    <w:link w:val="Header"/>
    <w:uiPriority w:val="99"/>
    <w:rsid w:val="000F17D6"/>
    <w:rPr>
      <w:rFonts w:ascii="Times New Roman" w:eastAsia="Arial Unicode MS" w:hAnsi="Times New Roman" w:cs="Times New Roman"/>
      <w:sz w:val="24"/>
      <w:szCs w:val="24"/>
      <w:bdr w:val="nil"/>
      <w14:ligatures w14:val="none"/>
    </w:rPr>
  </w:style>
  <w:style w:type="table" w:styleId="TableGrid">
    <w:name w:val="Table Grid"/>
    <w:basedOn w:val="TableNormal"/>
    <w:rsid w:val="000F17D6"/>
    <w:pPr>
      <w:spacing w:after="0" w:line="240" w:lineRule="auto"/>
    </w:pPr>
    <w:rPr>
      <w:rFonts w:ascii="Times New Roman" w:eastAsia="Times New Roman" w:hAnsi="Times New Roman" w:cs="Times New Roman"/>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F17D6"/>
    <w:pPr>
      <w:tabs>
        <w:tab w:val="center" w:pos="4513"/>
        <w:tab w:val="right" w:pos="9026"/>
      </w:tabs>
    </w:pPr>
  </w:style>
  <w:style w:type="character" w:customStyle="1" w:styleId="FooterChar">
    <w:name w:val="Footer Char"/>
    <w:basedOn w:val="DefaultParagraphFont"/>
    <w:link w:val="Footer"/>
    <w:uiPriority w:val="99"/>
    <w:rsid w:val="000F17D6"/>
    <w:rPr>
      <w:rFonts w:ascii="Times New Roman" w:eastAsia="Arial Unicode MS" w:hAnsi="Times New Roman" w:cs="Times New Roman"/>
      <w:sz w:val="24"/>
      <w:szCs w:val="24"/>
      <w:bdr w:val="nil"/>
      <w14:ligatures w14:val="none"/>
    </w:rPr>
  </w:style>
  <w:style w:type="paragraph" w:styleId="FootnoteText">
    <w:name w:val="footnote text"/>
    <w:aliases w:val=" Char,Footnote,Footnote Text Char Char,Fußnotentextf, Diagrama1,Diagrama1"/>
    <w:basedOn w:val="Normal"/>
    <w:link w:val="FootnoteTextChar"/>
    <w:uiPriority w:val="99"/>
    <w:unhideWhenUsed/>
    <w:rsid w:val="00940E7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FootnoteTextChar">
    <w:name w:val="Footnote Text Char"/>
    <w:aliases w:val=" Char Char,Footnote Char,Footnote Text Char Char Char,Fußnotentextf Char, Diagrama1 Char,Diagrama1 Char"/>
    <w:basedOn w:val="DefaultParagraphFont"/>
    <w:link w:val="FootnoteText"/>
    <w:uiPriority w:val="99"/>
    <w:rsid w:val="00940E74"/>
    <w:rPr>
      <w:rFonts w:ascii="Times New Roman" w:eastAsia="Times New Roman" w:hAnsi="Times New Roman" w:cs="Times New Roman"/>
      <w:sz w:val="20"/>
      <w:szCs w:val="20"/>
      <w14:ligatures w14:val="none"/>
    </w:rPr>
  </w:style>
  <w:style w:type="character" w:styleId="FootnoteReference">
    <w:name w:val="footnote reference"/>
    <w:aliases w:val="fr"/>
    <w:basedOn w:val="DefaultParagraphFont"/>
    <w:uiPriority w:val="99"/>
    <w:unhideWhenUsed/>
    <w:rsid w:val="00940E74"/>
    <w:rPr>
      <w:vertAlign w:val="superscript"/>
    </w:rPr>
  </w:style>
  <w:style w:type="character" w:customStyle="1" w:styleId="normaltextrun">
    <w:name w:val="normaltextrun"/>
    <w:basedOn w:val="DefaultParagraphFont"/>
    <w:rsid w:val="007271E9"/>
  </w:style>
  <w:style w:type="paragraph" w:styleId="Revision">
    <w:name w:val="Revision"/>
    <w:hidden/>
    <w:uiPriority w:val="99"/>
    <w:semiHidden/>
    <w:rsid w:val="00A71CBF"/>
    <w:pPr>
      <w:spacing w:after="0" w:line="240" w:lineRule="auto"/>
    </w:pPr>
    <w:rPr>
      <w:rFonts w:ascii="Times New Roman" w:eastAsia="Arial Unicode MS" w:hAnsi="Times New Roman" w:cs="Times New Roman"/>
      <w:sz w:val="24"/>
      <w:szCs w:val="24"/>
      <w:bdr w:val="nil"/>
      <w14:ligatures w14:val="none"/>
    </w:rPr>
  </w:style>
  <w:style w:type="character" w:customStyle="1" w:styleId="ListParagraphChar">
    <w:name w:val="List Paragraph Char"/>
    <w:aliases w:val="ERP-List Paragraph Char,List Paragraph1 Char,List Paragraph11 Char,Numbering Char,List Paragraph Red Char,Bullet EY Char,List Paragraph2 Char,List Paragraph21 Char,Lentele Char,Table of contents numbered Char,List Paragraph111 Char"/>
    <w:link w:val="ListParagraph"/>
    <w:uiPriority w:val="34"/>
    <w:locked/>
    <w:rsid w:val="003C3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68326">
      <w:bodyDiv w:val="1"/>
      <w:marLeft w:val="0"/>
      <w:marRight w:val="0"/>
      <w:marTop w:val="0"/>
      <w:marBottom w:val="0"/>
      <w:divBdr>
        <w:top w:val="none" w:sz="0" w:space="0" w:color="auto"/>
        <w:left w:val="none" w:sz="0" w:space="0" w:color="auto"/>
        <w:bottom w:val="none" w:sz="0" w:space="0" w:color="auto"/>
        <w:right w:val="none" w:sz="0" w:space="0" w:color="auto"/>
      </w:divBdr>
    </w:div>
    <w:div w:id="209535202">
      <w:bodyDiv w:val="1"/>
      <w:marLeft w:val="0"/>
      <w:marRight w:val="0"/>
      <w:marTop w:val="0"/>
      <w:marBottom w:val="0"/>
      <w:divBdr>
        <w:top w:val="none" w:sz="0" w:space="0" w:color="auto"/>
        <w:left w:val="none" w:sz="0" w:space="0" w:color="auto"/>
        <w:bottom w:val="none" w:sz="0" w:space="0" w:color="auto"/>
        <w:right w:val="none" w:sz="0" w:space="0" w:color="auto"/>
      </w:divBdr>
    </w:div>
    <w:div w:id="846558830">
      <w:bodyDiv w:val="1"/>
      <w:marLeft w:val="0"/>
      <w:marRight w:val="0"/>
      <w:marTop w:val="0"/>
      <w:marBottom w:val="0"/>
      <w:divBdr>
        <w:top w:val="none" w:sz="0" w:space="0" w:color="auto"/>
        <w:left w:val="none" w:sz="0" w:space="0" w:color="auto"/>
        <w:bottom w:val="none" w:sz="0" w:space="0" w:color="auto"/>
        <w:right w:val="none" w:sz="0" w:space="0" w:color="auto"/>
      </w:divBdr>
    </w:div>
    <w:div w:id="1357198739">
      <w:bodyDiv w:val="1"/>
      <w:marLeft w:val="0"/>
      <w:marRight w:val="0"/>
      <w:marTop w:val="0"/>
      <w:marBottom w:val="0"/>
      <w:divBdr>
        <w:top w:val="none" w:sz="0" w:space="0" w:color="auto"/>
        <w:left w:val="none" w:sz="0" w:space="0" w:color="auto"/>
        <w:bottom w:val="none" w:sz="0" w:space="0" w:color="auto"/>
        <w:right w:val="none" w:sz="0" w:space="0" w:color="auto"/>
      </w:divBdr>
    </w:div>
    <w:div w:id="1619723952">
      <w:bodyDiv w:val="1"/>
      <w:marLeft w:val="0"/>
      <w:marRight w:val="0"/>
      <w:marTop w:val="0"/>
      <w:marBottom w:val="0"/>
      <w:divBdr>
        <w:top w:val="none" w:sz="0" w:space="0" w:color="auto"/>
        <w:left w:val="none" w:sz="0" w:space="0" w:color="auto"/>
        <w:bottom w:val="none" w:sz="0" w:space="0" w:color="auto"/>
        <w:right w:val="none" w:sz="0" w:space="0" w:color="auto"/>
      </w:divBdr>
    </w:div>
    <w:div w:id="213517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4C669-32ED-4407-8C87-A2078827E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1045</Words>
  <Characters>5961</Characters>
  <Application>Microsoft Office Word</Application>
  <DocSecurity>0</DocSecurity>
  <Lines>49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Starinskaja</dc:creator>
  <cp:keywords/>
  <dc:description/>
  <cp:lastModifiedBy>Valerija Korolenko</cp:lastModifiedBy>
  <cp:revision>64</cp:revision>
  <dcterms:created xsi:type="dcterms:W3CDTF">2025-02-26T05:39:00Z</dcterms:created>
  <dcterms:modified xsi:type="dcterms:W3CDTF">2026-01-26T14:31:00Z</dcterms:modified>
</cp:coreProperties>
</file>