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121FA384" w:rsidR="009F7497" w:rsidRPr="009F7497" w:rsidRDefault="002C7584" w:rsidP="009F7497">
          <w:pPr>
            <w:spacing w:after="0" w:line="20" w:lineRule="atLeast"/>
            <w:ind w:left="5245"/>
            <w:contextualSpacing/>
            <w:jc w:val="both"/>
            <w:rPr>
              <w:rFonts w:ascii="Trebuchet MS" w:hAnsi="Trebuchet MS" w:cstheme="minorHAnsi"/>
              <w:sz w:val="22"/>
              <w:szCs w:val="22"/>
            </w:rPr>
          </w:pPr>
          <w:bookmarkStart w:id="0" w:name="_Hlk204090232"/>
          <w:r>
            <w:rPr>
              <w:rFonts w:ascii="Trebuchet MS" w:eastAsia="Calibri" w:hAnsi="Trebuchet MS" w:cs="Calibri"/>
              <w:bCs/>
              <w:sz w:val="22"/>
              <w:szCs w:val="22"/>
            </w:rPr>
            <w:t>M</w:t>
          </w:r>
          <w:r w:rsidRPr="002C7584">
            <w:rPr>
              <w:rFonts w:ascii="Trebuchet MS" w:eastAsia="Calibri" w:hAnsi="Trebuchet MS" w:cs="Calibri"/>
              <w:bCs/>
              <w:sz w:val="22"/>
              <w:szCs w:val="22"/>
            </w:rPr>
            <w:t>okesčių informacijos informacinės sistemos (MIIS) kontaktų centro įrangos gamintojo genesys palaikymo ir priežiūros paslaugų</w:t>
          </w:r>
          <w:r w:rsidR="009F7497" w:rsidRPr="009F7497">
            <w:rPr>
              <w:rFonts w:ascii="Trebuchet MS" w:eastAsia="Calibri" w:hAnsi="Trebuchet MS" w:cs="Calibri"/>
              <w:sz w:val="22"/>
              <w:szCs w:val="22"/>
            </w:rPr>
            <w:t xml:space="preserve"> </w:t>
          </w:r>
          <w:r w:rsidR="009F7497" w:rsidRPr="009F7497">
            <w:rPr>
              <w:rFonts w:ascii="Trebuchet MS" w:hAnsi="Trebuchet MS"/>
              <w:sz w:val="22"/>
              <w:szCs w:val="22"/>
            </w:rPr>
            <w:t xml:space="preserve">viešojo pirkimo </w:t>
          </w:r>
          <w:bookmarkEnd w:id="0"/>
          <w:r w:rsidR="009F7497" w:rsidRPr="009F7497">
            <w:rPr>
              <w:rFonts w:ascii="Trebuchet MS" w:hAnsi="Trebuchet MS"/>
              <w:sz w:val="22"/>
              <w:szCs w:val="22"/>
            </w:rPr>
            <w:t>komisijos 202</w:t>
          </w:r>
          <w:r>
            <w:rPr>
              <w:rFonts w:ascii="Trebuchet MS" w:hAnsi="Trebuchet MS"/>
              <w:sz w:val="22"/>
              <w:szCs w:val="22"/>
            </w:rPr>
            <w:t>6</w:t>
          </w:r>
          <w:r w:rsidR="009F7497" w:rsidRPr="009F7497">
            <w:rPr>
              <w:rFonts w:ascii="Trebuchet MS" w:hAnsi="Trebuchet MS"/>
              <w:sz w:val="22"/>
              <w:szCs w:val="22"/>
            </w:rPr>
            <w:t xml:space="preserve"> m. </w:t>
          </w:r>
          <w:r w:rsidRPr="004C0CFA">
            <w:rPr>
              <w:rFonts w:ascii="Trebuchet MS" w:hAnsi="Trebuchet MS"/>
              <w:sz w:val="22"/>
              <w:szCs w:val="22"/>
            </w:rPr>
            <w:t xml:space="preserve">sausio </w:t>
          </w:r>
          <w:r w:rsidR="004C0CFA" w:rsidRPr="004C0CFA">
            <w:rPr>
              <w:rFonts w:ascii="Trebuchet MS" w:hAnsi="Trebuchet MS"/>
              <w:sz w:val="22"/>
              <w:szCs w:val="22"/>
            </w:rPr>
            <w:t>27</w:t>
          </w:r>
          <w:r w:rsidR="009F7497" w:rsidRPr="00BD46BB">
            <w:rPr>
              <w:rFonts w:ascii="Trebuchet MS" w:hAnsi="Trebuchet MS"/>
              <w:sz w:val="22"/>
              <w:szCs w:val="22"/>
            </w:rPr>
            <w:t xml:space="preserve"> d. protokolu Nr. </w:t>
          </w:r>
          <w:r w:rsidR="00BD46BB" w:rsidRPr="007D0B93">
            <w:rPr>
              <w:rFonts w:ascii="Trebuchet MS" w:hAnsi="Trebuchet MS"/>
              <w:bCs/>
              <w:sz w:val="22"/>
              <w:szCs w:val="22"/>
            </w:rPr>
            <w:t>57-</w:t>
          </w:r>
          <w:r w:rsidR="007D0B93" w:rsidRPr="007D0B93">
            <w:rPr>
              <w:rFonts w:ascii="Trebuchet MS" w:hAnsi="Trebuchet MS"/>
              <w:bCs/>
              <w:sz w:val="22"/>
              <w:szCs w:val="22"/>
            </w:rPr>
            <w:t>23</w:t>
          </w:r>
          <w:bookmarkStart w:id="1" w:name="_GoBack"/>
          <w:bookmarkEnd w:id="1"/>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F2F6287" w:rsidR="00D526C8" w:rsidRPr="00372A4B" w:rsidRDefault="007A130B" w:rsidP="002C7584">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 xml:space="preserve">TARPTAUTINIO </w:t>
          </w:r>
          <w:r w:rsidR="00D526C8" w:rsidRPr="00372A4B">
            <w:rPr>
              <w:rFonts w:ascii="Trebuchet MS" w:hAnsi="Trebuchet MS" w:cstheme="minorHAnsi"/>
              <w:b/>
              <w:bCs/>
              <w:sz w:val="22"/>
              <w:szCs w:val="22"/>
            </w:rPr>
            <w:t>VIEŠOJO PIRKIMO „</w:t>
          </w:r>
          <w:r w:rsidR="002C7584" w:rsidRPr="002C7584">
            <w:rPr>
              <w:rFonts w:ascii="Trebuchet MS" w:hAnsi="Trebuchet MS" w:cstheme="minorHAnsi"/>
              <w:b/>
              <w:bCs/>
              <w:sz w:val="22"/>
              <w:szCs w:val="22"/>
            </w:rPr>
            <w:t xml:space="preserve">MOKESČIŲ INFORMACIJOS INFORMACINĖS SISTEMOS (MIIS) KONTAKTŲ CENTRO ĮRANGOS GAMINTOJO GENESYS PALAIKYMO IR PRIEŽIŪROS PASLAUGŲ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7CDB1833" w14:textId="77777777" w:rsidR="00DC3192" w:rsidRPr="00372A4B" w:rsidRDefault="00DC3192" w:rsidP="004E4612">
          <w:pPr>
            <w:spacing w:after="120" w:line="20" w:lineRule="atLeast"/>
            <w:contextualSpacing/>
            <w:jc w:val="center"/>
            <w:rPr>
              <w:rFonts w:ascii="Trebuchet MS" w:hAnsi="Trebuchet MS" w:cstheme="minorHAnsi"/>
              <w:b/>
              <w:bCs/>
              <w:sz w:val="22"/>
              <w:szCs w:val="22"/>
            </w:rPr>
          </w:pP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7D0B93"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7D0B93"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7D0B93"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7D0B93"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7D0B93"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7D0B93"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7D0B93"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7D0B93"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7D0B93"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p>
            <w:p w14:paraId="6F746C76" w14:textId="47FABFC0"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00584D">
                <w:rPr>
                  <w:rFonts w:ascii="Trebuchet MS" w:hAnsi="Trebuchet MS"/>
                  <w:sz w:val="22"/>
                  <w:szCs w:val="22"/>
                </w:rPr>
                <w:t xml:space="preserve"> </w:t>
              </w:r>
              <w:r w:rsidR="002C7584">
                <w:rPr>
                  <w:rFonts w:ascii="Trebuchet MS" w:hAnsi="Trebuchet MS"/>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2" w:name="_Hlk204172592"/>
              <w:r w:rsidR="00DD017D" w:rsidRPr="00372A4B">
                <w:rPr>
                  <w:rFonts w:ascii="Trebuchet MS" w:hAnsi="Trebuchet MS"/>
                  <w:sz w:val="22"/>
                  <w:szCs w:val="22"/>
                </w:rPr>
                <w:t>Tiekėjo deklaracija dėl atitikties Reglamento nuostatoms juridiniam asmeniui</w:t>
              </w:r>
              <w:bookmarkEnd w:id="2"/>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3"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3"/>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4" w:name="_Toc126333928"/>
      <w:bookmarkStart w:id="5" w:name="_Toc335201954"/>
      <w:bookmarkStart w:id="6" w:name="_Toc147739116"/>
      <w:r w:rsidRPr="00A25475">
        <w:rPr>
          <w:rFonts w:ascii="Trebuchet MS" w:hAnsi="Trebuchet MS" w:cstheme="minorHAnsi"/>
          <w:sz w:val="36"/>
          <w:szCs w:val="36"/>
        </w:rPr>
        <w:lastRenderedPageBreak/>
        <w:t>Bendra informacija</w:t>
      </w:r>
      <w:bookmarkEnd w:id="4"/>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99836D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7" w:name="_Hlk204093977"/>
    </w:p>
    <w:bookmarkEnd w:id="7"/>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8" w:name="_Ref39426332"/>
      <w:bookmarkStart w:id="9" w:name="_Ref39426338"/>
      <w:bookmarkStart w:id="10" w:name="_Toc126333929"/>
      <w:bookmarkEnd w:id="5"/>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8"/>
      <w:bookmarkEnd w:id="9"/>
      <w:bookmarkEnd w:id="10"/>
    </w:p>
    <w:p w14:paraId="0B7B0A50" w14:textId="57C0811D" w:rsidR="00B41C66" w:rsidRPr="00C507F2"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bookmarkStart w:id="11" w:name="_Hlk220330244"/>
      <w:r w:rsidR="00B42581" w:rsidRPr="00C507F2">
        <w:rPr>
          <w:rFonts w:ascii="Trebuchet MS" w:eastAsia="Calibri" w:hAnsi="Trebuchet MS"/>
          <w:sz w:val="22"/>
          <w:szCs w:val="22"/>
        </w:rPr>
        <w:t>Mokesčių informacijos informacinės sistemos (toliau – MIIS)</w:t>
      </w:r>
      <w:bookmarkEnd w:id="11"/>
      <w:r w:rsidR="00B42581" w:rsidRPr="00C507F2">
        <w:rPr>
          <w:rFonts w:ascii="Trebuchet MS" w:eastAsia="Calibri" w:hAnsi="Trebuchet MS"/>
          <w:sz w:val="22"/>
          <w:szCs w:val="22"/>
        </w:rPr>
        <w:t xml:space="preserve"> kontaktų centro įrangos gamintojo Genesys palaikymo ir priežiūros paslaugas</w:t>
      </w:r>
      <w:r w:rsidRPr="00C507F2">
        <w:rPr>
          <w:rFonts w:ascii="Trebuchet MS" w:eastAsia="Calibri" w:hAnsi="Trebuchet MS"/>
          <w:sz w:val="22"/>
          <w:szCs w:val="22"/>
        </w:rPr>
        <w:t>.</w:t>
      </w:r>
      <w:r w:rsidRPr="00C507F2">
        <w:rPr>
          <w:rFonts w:ascii="Trebuchet MS" w:hAnsi="Trebuchet MS" w:cstheme="minorHAnsi"/>
          <w:sz w:val="22"/>
          <w:szCs w:val="22"/>
        </w:rPr>
        <w:t xml:space="preserve"> Reikalavimai pirkimo objektui nustatyti </w:t>
      </w:r>
      <w:r w:rsidR="00B42581" w:rsidRPr="00C507F2">
        <w:rPr>
          <w:rFonts w:ascii="Trebuchet MS" w:hAnsi="Trebuchet MS" w:cstheme="minorHAnsi"/>
          <w:sz w:val="22"/>
          <w:szCs w:val="22"/>
        </w:rPr>
        <w:t xml:space="preserve">specialiosiose pirkimo sąlygose bei </w:t>
      </w:r>
      <w:r w:rsidR="00704310" w:rsidRPr="00C507F2">
        <w:rPr>
          <w:rFonts w:ascii="Trebuchet MS" w:hAnsi="Trebuchet MS" w:cstheme="minorHAnsi"/>
          <w:sz w:val="22"/>
          <w:szCs w:val="22"/>
        </w:rPr>
        <w:t>s</w:t>
      </w:r>
      <w:r w:rsidR="00444CAF" w:rsidRPr="00C507F2">
        <w:rPr>
          <w:rFonts w:ascii="Trebuchet MS" w:hAnsi="Trebuchet MS" w:cstheme="minorHAnsi"/>
          <w:sz w:val="22"/>
          <w:szCs w:val="22"/>
        </w:rPr>
        <w:t xml:space="preserve">pecialiųjų </w:t>
      </w:r>
      <w:r w:rsidR="00CE7209" w:rsidRPr="00C507F2">
        <w:rPr>
          <w:rFonts w:ascii="Trebuchet MS" w:hAnsi="Trebuchet MS" w:cstheme="minorHAnsi"/>
          <w:sz w:val="22"/>
          <w:szCs w:val="22"/>
        </w:rPr>
        <w:t xml:space="preserve">pirkimo </w:t>
      </w:r>
      <w:r w:rsidR="00444CAF" w:rsidRPr="00C507F2">
        <w:rPr>
          <w:rFonts w:ascii="Trebuchet MS" w:hAnsi="Trebuchet MS" w:cstheme="minorHAnsi"/>
          <w:sz w:val="22"/>
          <w:szCs w:val="22"/>
        </w:rPr>
        <w:t xml:space="preserve">sąlygų </w:t>
      </w:r>
      <w:r w:rsidR="005B198A" w:rsidRPr="00C507F2">
        <w:rPr>
          <w:rFonts w:ascii="Trebuchet MS" w:hAnsi="Trebuchet MS" w:cstheme="minorHAnsi"/>
          <w:sz w:val="22"/>
          <w:szCs w:val="22"/>
        </w:rPr>
        <w:t>2</w:t>
      </w:r>
      <w:r w:rsidR="00FA7D78" w:rsidRPr="00C507F2">
        <w:rPr>
          <w:rFonts w:ascii="Trebuchet MS" w:hAnsi="Trebuchet MS" w:cs="Arial"/>
          <w:sz w:val="22"/>
          <w:szCs w:val="22"/>
        </w:rPr>
        <w:t xml:space="preserve"> </w:t>
      </w:r>
      <w:r w:rsidR="00444CAF" w:rsidRPr="00C507F2">
        <w:rPr>
          <w:rFonts w:ascii="Trebuchet MS" w:hAnsi="Trebuchet MS" w:cstheme="minorHAnsi"/>
          <w:sz w:val="22"/>
          <w:szCs w:val="22"/>
        </w:rPr>
        <w:t>priede</w:t>
      </w:r>
      <w:r w:rsidR="005B198A" w:rsidRPr="00C507F2">
        <w:rPr>
          <w:rFonts w:ascii="Trebuchet MS" w:hAnsi="Trebuchet MS" w:cstheme="minorHAnsi"/>
          <w:sz w:val="22"/>
          <w:szCs w:val="22"/>
        </w:rPr>
        <w:t xml:space="preserve"> „Techninė specifikacija“</w:t>
      </w:r>
      <w:r w:rsidRPr="00C507F2">
        <w:rPr>
          <w:rFonts w:ascii="Trebuchet MS" w:hAnsi="Trebuchet MS" w:cstheme="minorHAnsi"/>
          <w:sz w:val="22"/>
          <w:szCs w:val="22"/>
        </w:rPr>
        <w:t>.</w:t>
      </w:r>
    </w:p>
    <w:p w14:paraId="5B9DEE0F" w14:textId="77777777" w:rsidR="00911CF1" w:rsidRPr="00911CF1" w:rsidRDefault="00507DC9" w:rsidP="00911CF1">
      <w:pPr>
        <w:spacing w:after="0" w:line="240" w:lineRule="auto"/>
        <w:ind w:firstLine="567"/>
        <w:jc w:val="both"/>
        <w:rPr>
          <w:rFonts w:ascii="Trebuchet MS" w:hAnsi="Trebuchet MS" w:cstheme="minorHAnsi"/>
          <w:sz w:val="22"/>
          <w:szCs w:val="22"/>
        </w:rPr>
      </w:pPr>
      <w:r w:rsidRPr="00C507F2">
        <w:rPr>
          <w:rFonts w:ascii="Trebuchet MS" w:hAnsi="Trebuchet MS" w:cstheme="minorHAnsi"/>
          <w:sz w:val="22"/>
          <w:szCs w:val="22"/>
        </w:rPr>
        <w:t>2.2</w:t>
      </w:r>
      <w:r w:rsidR="001D5338" w:rsidRPr="00C507F2">
        <w:rPr>
          <w:rFonts w:ascii="Trebuchet MS" w:hAnsi="Trebuchet MS" w:cstheme="minorHAnsi"/>
          <w:sz w:val="22"/>
          <w:szCs w:val="22"/>
        </w:rPr>
        <w:t xml:space="preserve">. </w:t>
      </w:r>
      <w:r w:rsidR="00B41C66" w:rsidRPr="00C507F2">
        <w:rPr>
          <w:rFonts w:ascii="Trebuchet MS" w:hAnsi="Trebuchet MS" w:cstheme="minorHAnsi"/>
          <w:sz w:val="22"/>
          <w:szCs w:val="22"/>
        </w:rPr>
        <w:t>Pirkimo objektas į dalis neskaidomas.</w:t>
      </w:r>
      <w:r w:rsidR="00C507F2" w:rsidRPr="00C507F2">
        <w:rPr>
          <w:rFonts w:ascii="Trebuchet MS" w:eastAsia="Times New Roman" w:hAnsi="Trebuchet MS" w:cs="Times New Roman"/>
          <w:color w:val="000000"/>
          <w:sz w:val="22"/>
          <w:szCs w:val="22"/>
          <w:lang w:eastAsia="en-US"/>
        </w:rPr>
        <w:t xml:space="preserve"> </w:t>
      </w:r>
      <w:r w:rsidR="00C507F2" w:rsidRPr="00C507F2">
        <w:rPr>
          <w:rFonts w:ascii="Trebuchet MS" w:hAnsi="Trebuchet MS" w:cstheme="minorHAnsi"/>
          <w:sz w:val="22"/>
          <w:szCs w:val="22"/>
        </w:rPr>
        <w:t>Pirkimo apimtys, reikalavimai ir techninė specifikacija apibrėžti specialiosiose pirkimo sąlygose bei specialiųjų pirkimo sąlygų 2 priede Techninėje specifikacijoje.</w:t>
      </w:r>
      <w:r w:rsidR="00C507F2" w:rsidRPr="00C507F2">
        <w:rPr>
          <w:rFonts w:ascii="Trebuchet MS" w:hAnsi="Trebuchet MS" w:cstheme="minorHAnsi"/>
          <w:color w:val="00B050"/>
          <w:sz w:val="22"/>
          <w:szCs w:val="22"/>
        </w:rPr>
        <w:t xml:space="preserve"> </w:t>
      </w:r>
      <w:r w:rsidR="00911CF1" w:rsidRPr="00911CF1">
        <w:rPr>
          <w:rFonts w:ascii="Trebuchet MS" w:hAnsi="Trebuchet MS" w:cstheme="minorHAnsi"/>
          <w:sz w:val="22"/>
          <w:szCs w:val="22"/>
        </w:rPr>
        <w:t>Pirkimo objektas į dalis neskaidomas, nes perkamos Mokesčių informacijos informacinės sistemos (MIIS) kontaktų centro įrangos gamintojo „Genesys“ palaikymo ir priežiūros paslaugos, kurios pagal gamintojo palaikymo modelį turi būti teikiamos kaip vientisa paslauga vienam kontaktų centro sprendimui.</w:t>
      </w:r>
    </w:p>
    <w:p w14:paraId="54C296DB" w14:textId="77777777" w:rsidR="00911CF1" w:rsidRPr="00911CF1" w:rsidRDefault="00911CF1" w:rsidP="00911CF1">
      <w:pPr>
        <w:spacing w:after="0" w:line="240" w:lineRule="auto"/>
        <w:ind w:firstLine="567"/>
        <w:jc w:val="both"/>
        <w:rPr>
          <w:rFonts w:ascii="Trebuchet MS" w:hAnsi="Trebuchet MS" w:cstheme="minorHAnsi"/>
          <w:sz w:val="22"/>
          <w:szCs w:val="22"/>
        </w:rPr>
      </w:pPr>
      <w:r w:rsidRPr="00911CF1">
        <w:rPr>
          <w:rFonts w:ascii="Trebuchet MS" w:hAnsi="Trebuchet MS" w:cstheme="minorHAnsi"/>
          <w:sz w:val="22"/>
          <w:szCs w:val="22"/>
        </w:rPr>
        <w:t>Genesys palaikymo paslaugos apima programinės įrangos atnaujinimus, incidentų registravimą ir sprendimą, prieigą prie gamintojo techninės pagalbos bei garantinių įsipareigojimų vykdymą, kurie yra tarpusavyje glaudžiai susiję ir negali būti atskirti be neigiamos įtakos paslaugų kokybei.</w:t>
      </w:r>
    </w:p>
    <w:p w14:paraId="48222E7E" w14:textId="77777777" w:rsidR="00911CF1" w:rsidRPr="00911CF1" w:rsidRDefault="00911CF1" w:rsidP="00911CF1">
      <w:pPr>
        <w:spacing w:after="0" w:line="240" w:lineRule="auto"/>
        <w:ind w:firstLine="567"/>
        <w:jc w:val="both"/>
        <w:rPr>
          <w:rFonts w:ascii="Trebuchet MS" w:hAnsi="Trebuchet MS" w:cstheme="minorHAnsi"/>
          <w:sz w:val="22"/>
          <w:szCs w:val="22"/>
        </w:rPr>
      </w:pPr>
      <w:r w:rsidRPr="00911CF1">
        <w:rPr>
          <w:rFonts w:ascii="Trebuchet MS" w:hAnsi="Trebuchet MS" w:cstheme="minorHAnsi"/>
          <w:sz w:val="22"/>
          <w:szCs w:val="22"/>
        </w:rPr>
        <w:t>Išskaidžius pirkimo objektą į dalis, atsirastų keli skirtingi palaikymo paslaugų teikėjai tam pačiam Genesys sprendimui, o tai apsunkintų incidentų sprendimą, atsakomybės ribų nustatymą ir neatitiktų gamintojo palaikymo teikimo sąlygų. Tokiu atveju kiltų rizika, kad gamintojas neprisiimtų atsakomybės už viso sprendimo veikimą.</w:t>
      </w:r>
    </w:p>
    <w:p w14:paraId="2D5DFAA8" w14:textId="48B3BB5C" w:rsidR="001D5338" w:rsidRPr="00911CF1" w:rsidRDefault="00911CF1" w:rsidP="00911CF1">
      <w:pPr>
        <w:spacing w:after="0" w:line="240" w:lineRule="auto"/>
        <w:ind w:firstLine="567"/>
        <w:jc w:val="both"/>
        <w:rPr>
          <w:rFonts w:ascii="Trebuchet MS" w:hAnsi="Trebuchet MS" w:cstheme="minorHAnsi"/>
          <w:sz w:val="22"/>
          <w:szCs w:val="22"/>
        </w:rPr>
      </w:pPr>
      <w:r w:rsidRPr="00911CF1">
        <w:rPr>
          <w:rFonts w:ascii="Trebuchet MS" w:hAnsi="Trebuchet MS" w:cstheme="minorHAnsi"/>
          <w:sz w:val="22"/>
          <w:szCs w:val="22"/>
        </w:rPr>
        <w:t>Atsižvelgiant į tai, pirkimo objekto skaidymas į dalis nėra techniškai įmanomas ir ekonomiškai pagrįstas, todėl tiekėjai privalo teikti pasiūlymą visai pirkimo objekto apimčiai</w:t>
      </w:r>
      <w:r w:rsidR="00C507F2" w:rsidRPr="00911CF1">
        <w:rPr>
          <w:rFonts w:ascii="Trebuchet MS" w:hAnsi="Trebuchet MS" w:cstheme="minorHAnsi"/>
          <w:sz w:val="22"/>
          <w:szCs w:val="22"/>
        </w:rPr>
        <w:t>.</w:t>
      </w:r>
      <w:r w:rsidR="00B41C66" w:rsidRPr="00911CF1">
        <w:rPr>
          <w:rFonts w:ascii="Trebuchet MS" w:hAnsi="Trebuchet MS" w:cstheme="minorHAnsi"/>
          <w:sz w:val="22"/>
          <w:szCs w:val="22"/>
        </w:rPr>
        <w:t xml:space="preserve"> </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lastRenderedPageBreak/>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50FBE942"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2C7584">
        <w:rPr>
          <w:rFonts w:ascii="Trebuchet MS" w:hAnsi="Trebuchet MS"/>
          <w:sz w:val="22"/>
          <w:szCs w:val="22"/>
        </w:rPr>
        <w:t xml:space="preserve"> K</w:t>
      </w:r>
      <w:r w:rsidR="00990E9B" w:rsidRPr="00D6292F">
        <w:rPr>
          <w:rFonts w:ascii="Trebuchet MS" w:hAnsi="Trebuchet MS"/>
          <w:sz w:val="22"/>
          <w:szCs w:val="22"/>
        </w:rPr>
        <w:t>valifikacijos reikalavimai</w:t>
      </w:r>
      <w:r w:rsidR="002C7584" w:rsidRPr="002C7584">
        <w:rPr>
          <w:rFonts w:ascii="Trebuchet MS" w:hAnsi="Trebuchet MS"/>
          <w:sz w:val="22"/>
          <w:szCs w:val="22"/>
        </w:rPr>
        <w:t xml:space="preserve"> nurodyti specialiųjų pirkimo sąlygų 3 priede</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2"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2"/>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3"/>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lastRenderedPageBreak/>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w:t>
      </w:r>
      <w:r w:rsidR="0038558E" w:rsidRPr="004C0CFA">
        <w:rPr>
          <w:rFonts w:ascii="Trebuchet MS" w:eastAsia="Times New Roman" w:hAnsi="Trebuchet MS" w:cs="Times New Roman"/>
          <w:b/>
          <w:bCs/>
          <w:sz w:val="22"/>
          <w:szCs w:val="22"/>
        </w:rPr>
        <w:t xml:space="preserve">Dokumentai, kuriuose nenurodytas jų galiojimo terminas, turės būti išduoti ar atspausdinti iš informacinės sistemos </w:t>
      </w:r>
      <w:r w:rsidR="0038558E" w:rsidRPr="004C0CFA">
        <w:rPr>
          <w:rFonts w:ascii="Trebuchet MS" w:eastAsia="Times New Roman" w:hAnsi="Trebuchet MS" w:cs="Times New Roman"/>
          <w:b/>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4C0CFA" w:rsidRDefault="00CC707A" w:rsidP="00CC707A">
      <w:pPr>
        <w:spacing w:after="0" w:line="240" w:lineRule="auto"/>
        <w:ind w:firstLine="567"/>
        <w:jc w:val="both"/>
        <w:rPr>
          <w:rFonts w:ascii="Trebuchet MS" w:hAnsi="Trebuchet MS"/>
          <w:b/>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4C0CFA">
        <w:rPr>
          <w:rFonts w:ascii="Trebuchet MS" w:eastAsia="Arial Unicode MS" w:hAnsi="Trebuchet MS" w:cs="Times New Roman"/>
          <w:b/>
          <w:bCs/>
          <w:color w:val="000000"/>
          <w:sz w:val="22"/>
          <w:szCs w:val="22"/>
          <w:u w:val="single"/>
          <w:bdr w:val="nil"/>
          <w:lang w:eastAsia="en-US"/>
        </w:rPr>
        <w:t>galimo Pirkimo laimėtojo reikalaus pateikti vieną ar kelis šiuos dokumentus</w:t>
      </w:r>
      <w:r w:rsidRPr="004C0CFA">
        <w:rPr>
          <w:rFonts w:ascii="Trebuchet MS" w:eastAsia="Arial Unicode MS" w:hAnsi="Trebuchet MS" w:cs="Times New Roman"/>
          <w:b/>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4C0CFA">
        <w:rPr>
          <w:rFonts w:ascii="Trebuchet MS" w:eastAsia="Arial Unicode MS" w:hAnsi="Trebuchet MS" w:cs="Times New Roman"/>
          <w:b/>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.3.</w:t>
      </w:r>
      <w:r w:rsidRPr="004C0CFA">
        <w:rPr>
          <w:rFonts w:ascii="Trebuchet MS" w:eastAsia="Arial Unicode MS" w:hAnsi="Trebuchet MS" w:cs="Times New Roman"/>
          <w:b/>
          <w:bCs/>
          <w:color w:val="000000"/>
          <w:sz w:val="22"/>
          <w:szCs w:val="22"/>
          <w:bdr w:val="nil"/>
          <w:lang w:eastAsia="en-US"/>
        </w:rPr>
        <w:t xml:space="preserve"> </w:t>
      </w:r>
      <w:r w:rsidR="00CC707A" w:rsidRPr="004C0CFA">
        <w:rPr>
          <w:rFonts w:ascii="Trebuchet MS" w:eastAsia="Arial Unicode MS" w:hAnsi="Trebuchet MS" w:cs="Times New Roman"/>
          <w:b/>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3BF0CF4D"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lastRenderedPageBreak/>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1ABFA268"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Pr="00DC442A">
        <w:rPr>
          <w:rFonts w:ascii="Trebuchet MS" w:hAnsi="Trebuchet MS" w:cstheme="minorHAnsi"/>
          <w:color w:val="00B050"/>
          <w:sz w:val="22"/>
          <w:szCs w:val="22"/>
        </w:rPr>
        <w:t xml:space="preserve">[įrašyti priedą]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2DDC9354" w:rsidR="007C1C57" w:rsidRPr="00FC414A" w:rsidRDefault="00B838FF" w:rsidP="00FC414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7837F8">
        <w:rPr>
          <w:rFonts w:ascii="Trebuchet MS" w:hAnsi="Trebuchet MS" w:cstheme="minorHAnsi"/>
          <w:sz w:val="22"/>
          <w:szCs w:val="22"/>
        </w:rPr>
        <w:t xml:space="preserve">Tiekėjas turi turėti teisę parduoti ir platinti </w:t>
      </w:r>
      <w:r w:rsidR="007837F8" w:rsidRPr="007837F8">
        <w:rPr>
          <w:rFonts w:ascii="Trebuchet MS" w:hAnsi="Trebuchet MS" w:cstheme="minorHAnsi"/>
          <w:sz w:val="22"/>
          <w:szCs w:val="22"/>
        </w:rPr>
        <w:t>Genesys programinės įrangos licencijas ir teikti jų techninį palaikymą.</w:t>
      </w:r>
      <w:r w:rsidRPr="007837F8">
        <w:rPr>
          <w:rFonts w:ascii="Trebuchet MS" w:eastAsia="Times New Roman" w:hAnsi="Trebuchet MS" w:cs="Calibri"/>
          <w:sz w:val="22"/>
          <w:szCs w:val="22"/>
          <w:lang w:eastAsia="en-GB"/>
        </w:rPr>
        <w:t xml:space="preserve"> </w:t>
      </w:r>
      <w:r w:rsidRPr="007837F8">
        <w:rPr>
          <w:rFonts w:ascii="Trebuchet MS" w:hAnsi="Trebuchet MS" w:cstheme="minorHAnsi"/>
          <w:b/>
          <w:sz w:val="22"/>
          <w:szCs w:val="22"/>
          <w:u w:val="single"/>
        </w:rPr>
        <w:t xml:space="preserve">Tiekėjas </w:t>
      </w:r>
      <w:r w:rsidR="007837F8" w:rsidRPr="007837F8">
        <w:rPr>
          <w:rFonts w:ascii="Trebuchet MS" w:hAnsi="Trebuchet MS" w:cstheme="minorHAnsi"/>
          <w:b/>
          <w:sz w:val="22"/>
          <w:szCs w:val="22"/>
          <w:u w:val="single"/>
        </w:rPr>
        <w:t xml:space="preserve">su pasiūlymu </w:t>
      </w:r>
      <w:r w:rsidRPr="007837F8">
        <w:rPr>
          <w:rFonts w:ascii="Trebuchet MS" w:hAnsi="Trebuchet MS" w:cstheme="minorHAnsi"/>
          <w:b/>
          <w:sz w:val="22"/>
          <w:szCs w:val="22"/>
          <w:u w:val="single"/>
        </w:rPr>
        <w:t xml:space="preserve">turi pateikti </w:t>
      </w:r>
      <w:r w:rsidR="007837F8" w:rsidRPr="00FC414A">
        <w:rPr>
          <w:rFonts w:ascii="Trebuchet MS" w:hAnsi="Trebuchet MS" w:cstheme="minorHAnsi"/>
          <w:b/>
          <w:sz w:val="22"/>
          <w:szCs w:val="22"/>
          <w:u w:val="single"/>
        </w:rPr>
        <w:t>gamintojo ar jo atstovo išduotą galiojantį dokumentą arba sutartį (visam paslaugų teikimo terminui) su gamintojo įgaliotu ar lygiaverčiu partneriu ar kitus lygiaverčius dokumentus</w:t>
      </w:r>
      <w:r w:rsidRPr="00FC414A">
        <w:rPr>
          <w:rFonts w:ascii="Trebuchet MS" w:hAnsi="Trebuchet MS" w:cstheme="minorHAnsi"/>
          <w:b/>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2"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2"/>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4ACC0C5F" w:rsidR="001A25FD" w:rsidRPr="00DC442A" w:rsidRDefault="00A9488B" w:rsidP="00C5118D">
      <w:pPr>
        <w:pStyle w:val="Betarp"/>
        <w:numPr>
          <w:ilvl w:val="1"/>
          <w:numId w:val="23"/>
        </w:numPr>
        <w:tabs>
          <w:tab w:val="left" w:pos="851"/>
          <w:tab w:val="left" w:pos="1134"/>
        </w:tabs>
        <w:spacing w:line="20" w:lineRule="atLeast"/>
        <w:ind w:left="0" w:firstLine="567"/>
        <w:contextualSpacing/>
        <w:jc w:val="both"/>
        <w:rPr>
          <w:rFonts w:ascii="Trebuchet MS" w:eastAsiaTheme="minorHAnsi" w:hAnsi="Trebuchet MS" w:cstheme="minorHAnsi"/>
          <w:bCs/>
          <w:i/>
          <w:iCs/>
          <w:color w:val="7030A0"/>
          <w:sz w:val="22"/>
          <w:szCs w:val="22"/>
        </w:rPr>
      </w:pPr>
      <w:r w:rsidRPr="00DC442A">
        <w:rPr>
          <w:rStyle w:val="cf01"/>
          <w:rFonts w:ascii="Trebuchet MS" w:hAnsi="Trebuchet MS" w:cstheme="minorHAnsi"/>
          <w:sz w:val="22"/>
          <w:szCs w:val="22"/>
        </w:rPr>
        <w:lastRenderedPageBreak/>
        <w:t>Perkančioji organizacija atmes tiekėjo pasiūlymą, jei</w:t>
      </w:r>
      <w:r w:rsidR="00195572" w:rsidRPr="00DC442A">
        <w:rPr>
          <w:rStyle w:val="cf01"/>
          <w:rFonts w:ascii="Trebuchet MS" w:hAnsi="Trebuchet MS" w:cstheme="minorHAnsi"/>
          <w:sz w:val="22"/>
          <w:szCs w:val="22"/>
        </w:rPr>
        <w:t xml:space="preserve">gu kartu su pasiūlymu </w:t>
      </w:r>
      <w:r w:rsidR="00B2125E" w:rsidRPr="00DC442A">
        <w:rPr>
          <w:rStyle w:val="cf01"/>
          <w:rFonts w:ascii="Trebuchet MS" w:hAnsi="Trebuchet MS" w:cstheme="minorHAnsi"/>
          <w:sz w:val="22"/>
          <w:szCs w:val="22"/>
        </w:rPr>
        <w:t xml:space="preserve">nebus pateikti šie </w:t>
      </w:r>
      <w:r w:rsidR="00277634" w:rsidRPr="00DC442A">
        <w:rPr>
          <w:rStyle w:val="cf01"/>
          <w:rFonts w:ascii="Trebuchet MS" w:hAnsi="Trebuchet MS" w:cstheme="minorHAnsi"/>
          <w:sz w:val="22"/>
          <w:szCs w:val="22"/>
        </w:rPr>
        <w:t>p</w:t>
      </w:r>
      <w:r w:rsidR="00B2125E" w:rsidRPr="00DC442A">
        <w:rPr>
          <w:rStyle w:val="cf01"/>
          <w:rFonts w:ascii="Trebuchet MS" w:hAnsi="Trebuchet MS" w:cstheme="minorHAnsi"/>
          <w:sz w:val="22"/>
          <w:szCs w:val="22"/>
        </w:rPr>
        <w:t xml:space="preserve">irkimo sąlygose reikalaujami pateikti dokumentai: </w:t>
      </w:r>
      <w:r w:rsidR="00632F7B" w:rsidRPr="00DC442A">
        <w:rPr>
          <w:rFonts w:ascii="Trebuchet MS" w:hAnsi="Trebuchet MS" w:cstheme="minorHAnsi"/>
          <w:color w:val="00B050"/>
          <w:sz w:val="22"/>
          <w:szCs w:val="22"/>
        </w:rPr>
        <w:t xml:space="preserve">[nurodyti </w:t>
      </w:r>
      <w:r w:rsidR="00955109" w:rsidRPr="00DC442A">
        <w:rPr>
          <w:rFonts w:ascii="Trebuchet MS" w:hAnsi="Trebuchet MS" w:cstheme="minorHAnsi"/>
          <w:color w:val="00B050"/>
          <w:sz w:val="22"/>
          <w:szCs w:val="22"/>
        </w:rPr>
        <w:t>konkrečius dokumentus</w:t>
      </w:r>
      <w:r w:rsidR="00632F7B" w:rsidRPr="00DC442A">
        <w:rPr>
          <w:rFonts w:ascii="Trebuchet MS" w:hAnsi="Trebuchet MS" w:cstheme="minorHAnsi"/>
          <w:color w:val="00B050"/>
          <w:sz w:val="22"/>
          <w:szCs w:val="22"/>
        </w:rPr>
        <w:t>]</w:t>
      </w:r>
      <w:r w:rsidR="00075511" w:rsidRPr="00DC442A">
        <w:rPr>
          <w:rFonts w:ascii="Trebuchet MS" w:hAnsi="Trebuchet MS" w:cstheme="minorHAnsi"/>
          <w:color w:val="00B050"/>
          <w:sz w:val="22"/>
          <w:szCs w:val="22"/>
        </w:rPr>
        <w:t>.</w:t>
      </w:r>
      <w:r w:rsidR="00632F7B" w:rsidRPr="00DC442A">
        <w:rPr>
          <w:rFonts w:ascii="Trebuchet MS" w:hAnsi="Trebuchet MS" w:cstheme="minorHAnsi"/>
          <w:color w:val="00B050"/>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6" w:name="_Toc126333938"/>
      <w:bookmarkEnd w:id="6"/>
      <w:r w:rsidRPr="00A25475">
        <w:rPr>
          <w:rFonts w:ascii="Trebuchet MS" w:hAnsi="Trebuchet MS" w:cstheme="minorHAnsi"/>
          <w:sz w:val="36"/>
          <w:szCs w:val="36"/>
        </w:rPr>
        <w:t>Kitos sąlygos</w:t>
      </w:r>
      <w:bookmarkEnd w:id="46"/>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84"/>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FA"/>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7F8"/>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B93"/>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0B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1CF1"/>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5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7F2"/>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8E5"/>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14A"/>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4160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4332A5E-4E04-47B9-80BA-C6AA5AFC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11298</Words>
  <Characters>6440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2026-01-27T07:50:00Z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