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20751080"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67594C">
            <w:rPr>
              <w:rFonts w:ascii="Arial" w:hAnsi="Arial" w:cs="Arial"/>
              <w:b/>
              <w:bCs/>
              <w:color w:val="000000" w:themeColor="text1"/>
              <w:sz w:val="20"/>
              <w:szCs w:val="20"/>
            </w:rPr>
            <w:t>6</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7C2FFD">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3A5EA694" w:rsidR="00EC4548" w:rsidRPr="00651861" w:rsidRDefault="007C2FFD">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3BA7798F" w:rsidR="00EC4548" w:rsidRPr="00651861" w:rsidRDefault="007C2FFD">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093FAF59" w:rsidR="00EC4548" w:rsidRPr="00651861" w:rsidRDefault="007C2FFD">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70E34ECC" w:rsidR="00EC4548" w:rsidRPr="00651861" w:rsidRDefault="007C2FFD">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6</w:t>
            </w:r>
            <w:r w:rsidR="00EC4548" w:rsidRPr="00651861">
              <w:rPr>
                <w:rFonts w:ascii="Arial" w:hAnsi="Arial" w:cs="Arial"/>
                <w:webHidden/>
                <w:sz w:val="20"/>
                <w:szCs w:val="20"/>
              </w:rPr>
              <w:fldChar w:fldCharType="end"/>
            </w:r>
          </w:hyperlink>
        </w:p>
        <w:p w14:paraId="6D3CF0DA" w14:textId="54C2F7D7" w:rsidR="00EC4548" w:rsidRPr="00651861" w:rsidRDefault="007C2FFD">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6</w:t>
            </w:r>
            <w:r w:rsidR="00EC4548" w:rsidRPr="00651861">
              <w:rPr>
                <w:rFonts w:ascii="Arial" w:hAnsi="Arial" w:cs="Arial"/>
                <w:webHidden/>
                <w:sz w:val="20"/>
                <w:szCs w:val="20"/>
              </w:rPr>
              <w:fldChar w:fldCharType="end"/>
            </w:r>
          </w:hyperlink>
        </w:p>
        <w:p w14:paraId="55F0D720" w14:textId="1575E1FD" w:rsidR="00EC4548" w:rsidRPr="00651861" w:rsidRDefault="007C2FFD">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47041DEB" w:rsidR="00EC4548" w:rsidRPr="00651861" w:rsidRDefault="007C2FFD">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7</w:t>
            </w:r>
            <w:r w:rsidR="00EC4548" w:rsidRPr="00651861">
              <w:rPr>
                <w:rFonts w:ascii="Arial" w:hAnsi="Arial" w:cs="Arial"/>
                <w:webHidden/>
                <w:sz w:val="20"/>
                <w:szCs w:val="20"/>
              </w:rPr>
              <w:fldChar w:fldCharType="end"/>
            </w:r>
          </w:hyperlink>
        </w:p>
        <w:p w14:paraId="435D49EF" w14:textId="4C2EEDCB" w:rsidR="00EC4548" w:rsidRPr="00651861" w:rsidRDefault="007C2FFD">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7</w:t>
            </w:r>
            <w:r w:rsidR="00EC4548" w:rsidRPr="00651861">
              <w:rPr>
                <w:rFonts w:ascii="Arial" w:hAnsi="Arial" w:cs="Arial"/>
                <w:webHidden/>
                <w:sz w:val="20"/>
                <w:szCs w:val="20"/>
              </w:rPr>
              <w:fldChar w:fldCharType="end"/>
            </w:r>
          </w:hyperlink>
        </w:p>
        <w:p w14:paraId="6CEA2CD0" w14:textId="481BD22C" w:rsidR="00EC4548" w:rsidRPr="00651861" w:rsidRDefault="007C2FFD">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8</w:t>
            </w:r>
            <w:r w:rsidR="00EC4548" w:rsidRPr="00651861">
              <w:rPr>
                <w:rFonts w:ascii="Arial" w:hAnsi="Arial" w:cs="Arial"/>
                <w:webHidden/>
                <w:sz w:val="20"/>
                <w:szCs w:val="20"/>
              </w:rPr>
              <w:fldChar w:fldCharType="end"/>
            </w:r>
          </w:hyperlink>
        </w:p>
        <w:p w14:paraId="6EC62357" w14:textId="36E5913C" w:rsidR="00EC4548" w:rsidRPr="00651861" w:rsidRDefault="007C2FFD">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8</w:t>
            </w:r>
            <w:r w:rsidR="00EC4548" w:rsidRPr="00651861">
              <w:rPr>
                <w:rFonts w:ascii="Arial" w:hAnsi="Arial" w:cs="Arial"/>
                <w:webHidden/>
                <w:sz w:val="20"/>
                <w:szCs w:val="20"/>
              </w:rPr>
              <w:fldChar w:fldCharType="end"/>
            </w:r>
          </w:hyperlink>
        </w:p>
        <w:p w14:paraId="4246C381" w14:textId="6084A9AB" w:rsidR="00EC4548" w:rsidRPr="00651861" w:rsidRDefault="007C2FFD">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9</w:t>
            </w:r>
            <w:r w:rsidR="00EC4548" w:rsidRPr="00651861">
              <w:rPr>
                <w:rFonts w:ascii="Arial" w:hAnsi="Arial" w:cs="Arial"/>
                <w:webHidden/>
                <w:sz w:val="20"/>
                <w:szCs w:val="20"/>
              </w:rPr>
              <w:fldChar w:fldCharType="end"/>
            </w:r>
          </w:hyperlink>
        </w:p>
        <w:p w14:paraId="2FC7124B" w14:textId="364439EA" w:rsidR="00EC4548" w:rsidRPr="00651861" w:rsidRDefault="007C2FFD">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10</w:t>
            </w:r>
            <w:r w:rsidR="00EC4548" w:rsidRPr="00651861">
              <w:rPr>
                <w:rFonts w:ascii="Arial" w:hAnsi="Arial" w:cs="Arial"/>
                <w:webHidden/>
                <w:sz w:val="20"/>
                <w:szCs w:val="20"/>
              </w:rPr>
              <w:fldChar w:fldCharType="end"/>
            </w:r>
          </w:hyperlink>
        </w:p>
        <w:p w14:paraId="03158657" w14:textId="13397E08" w:rsidR="00EC4548" w:rsidRPr="00651861" w:rsidRDefault="007C2FFD">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10</w:t>
            </w:r>
            <w:r w:rsidR="00EC4548" w:rsidRPr="00651861">
              <w:rPr>
                <w:rFonts w:ascii="Arial" w:hAnsi="Arial" w:cs="Arial"/>
                <w:webHidden/>
                <w:sz w:val="20"/>
                <w:szCs w:val="20"/>
              </w:rPr>
              <w:fldChar w:fldCharType="end"/>
            </w:r>
          </w:hyperlink>
        </w:p>
        <w:p w14:paraId="6BCF68D5" w14:textId="69EF6ADD" w:rsidR="00EC4548" w:rsidRPr="00651861" w:rsidRDefault="007C2FFD">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10</w:t>
            </w:r>
            <w:r w:rsidR="00EC4548" w:rsidRPr="00651861">
              <w:rPr>
                <w:rFonts w:ascii="Arial" w:hAnsi="Arial" w:cs="Arial"/>
                <w:webHidden/>
                <w:sz w:val="20"/>
                <w:szCs w:val="20"/>
              </w:rPr>
              <w:fldChar w:fldCharType="end"/>
            </w:r>
          </w:hyperlink>
        </w:p>
        <w:p w14:paraId="0EF59A30" w14:textId="46CC9234" w:rsidR="00EC4548" w:rsidRPr="00651861" w:rsidRDefault="007C2FFD">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12</w:t>
            </w:r>
            <w:r w:rsidR="00EC4548" w:rsidRPr="00651861">
              <w:rPr>
                <w:rFonts w:ascii="Arial" w:hAnsi="Arial" w:cs="Arial"/>
                <w:webHidden/>
                <w:sz w:val="20"/>
                <w:szCs w:val="20"/>
              </w:rPr>
              <w:fldChar w:fldCharType="end"/>
            </w:r>
          </w:hyperlink>
        </w:p>
        <w:p w14:paraId="7F28CFB7" w14:textId="23EC1A9A" w:rsidR="00EC4548" w:rsidRPr="00651861" w:rsidRDefault="007C2FFD">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13</w:t>
            </w:r>
            <w:r w:rsidR="00EC4548" w:rsidRPr="00651861">
              <w:rPr>
                <w:rFonts w:ascii="Arial" w:hAnsi="Arial" w:cs="Arial"/>
                <w:webHidden/>
                <w:sz w:val="20"/>
                <w:szCs w:val="20"/>
              </w:rPr>
              <w:fldChar w:fldCharType="end"/>
            </w:r>
          </w:hyperlink>
        </w:p>
        <w:p w14:paraId="5BB5AD18" w14:textId="33CF3715" w:rsidR="00EC4548" w:rsidRPr="00651861" w:rsidRDefault="007C2FFD">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13</w:t>
            </w:r>
            <w:r w:rsidR="00EC4548" w:rsidRPr="00651861">
              <w:rPr>
                <w:rFonts w:ascii="Arial" w:hAnsi="Arial" w:cs="Arial"/>
                <w:webHidden/>
                <w:sz w:val="20"/>
                <w:szCs w:val="20"/>
              </w:rPr>
              <w:fldChar w:fldCharType="end"/>
            </w:r>
          </w:hyperlink>
        </w:p>
        <w:p w14:paraId="63BE573F" w14:textId="0EDD2213" w:rsidR="00EC4548" w:rsidRPr="00651861" w:rsidRDefault="007C2FFD">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14</w:t>
            </w:r>
            <w:r w:rsidR="00EC4548" w:rsidRPr="00651861">
              <w:rPr>
                <w:rFonts w:ascii="Arial" w:hAnsi="Arial" w:cs="Arial"/>
                <w:webHidden/>
                <w:sz w:val="20"/>
                <w:szCs w:val="20"/>
              </w:rPr>
              <w:fldChar w:fldCharType="end"/>
            </w:r>
          </w:hyperlink>
        </w:p>
        <w:p w14:paraId="1825EA73" w14:textId="08436408" w:rsidR="00EC4548" w:rsidRPr="00651861" w:rsidRDefault="007C2FFD">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14</w:t>
            </w:r>
            <w:r w:rsidR="00EC4548" w:rsidRPr="00651861">
              <w:rPr>
                <w:rFonts w:ascii="Arial" w:hAnsi="Arial" w:cs="Arial"/>
                <w:webHidden/>
                <w:sz w:val="20"/>
                <w:szCs w:val="20"/>
              </w:rPr>
              <w:fldChar w:fldCharType="end"/>
            </w:r>
          </w:hyperlink>
        </w:p>
        <w:p w14:paraId="019FFA19" w14:textId="6B498AA1" w:rsidR="00EC4548" w:rsidRPr="00651861" w:rsidRDefault="007C2FFD">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14</w:t>
            </w:r>
            <w:r w:rsidR="00EC4548" w:rsidRPr="00651861">
              <w:rPr>
                <w:rFonts w:ascii="Arial" w:hAnsi="Arial" w:cs="Arial"/>
                <w:webHidden/>
                <w:sz w:val="20"/>
                <w:szCs w:val="20"/>
              </w:rPr>
              <w:fldChar w:fldCharType="end"/>
            </w:r>
          </w:hyperlink>
        </w:p>
        <w:p w14:paraId="714A4D06" w14:textId="294779ED" w:rsidR="00EC4548" w:rsidRPr="00651861" w:rsidRDefault="007C2FFD">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15</w:t>
            </w:r>
            <w:r w:rsidR="00EC4548" w:rsidRPr="00651861">
              <w:rPr>
                <w:rFonts w:ascii="Arial" w:hAnsi="Arial" w:cs="Arial"/>
                <w:webHidden/>
                <w:sz w:val="20"/>
                <w:szCs w:val="20"/>
              </w:rPr>
              <w:fldChar w:fldCharType="end"/>
            </w:r>
          </w:hyperlink>
        </w:p>
        <w:p w14:paraId="4A79C502" w14:textId="3C20670C" w:rsidR="00EC4548" w:rsidRPr="00651861" w:rsidRDefault="007C2FFD">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16</w:t>
            </w:r>
            <w:r w:rsidR="00EC4548" w:rsidRPr="00651861">
              <w:rPr>
                <w:rFonts w:ascii="Arial" w:hAnsi="Arial" w:cs="Arial"/>
                <w:webHidden/>
                <w:sz w:val="20"/>
                <w:szCs w:val="20"/>
              </w:rPr>
              <w:fldChar w:fldCharType="end"/>
            </w:r>
          </w:hyperlink>
        </w:p>
        <w:p w14:paraId="3C87BD69" w14:textId="2EC1729E" w:rsidR="00EC4548" w:rsidRPr="00651861" w:rsidRDefault="007C2FFD">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16</w:t>
            </w:r>
            <w:r w:rsidR="00EC4548" w:rsidRPr="00651861">
              <w:rPr>
                <w:rFonts w:ascii="Arial" w:hAnsi="Arial" w:cs="Arial"/>
                <w:webHidden/>
                <w:sz w:val="20"/>
                <w:szCs w:val="20"/>
              </w:rPr>
              <w:fldChar w:fldCharType="end"/>
            </w:r>
          </w:hyperlink>
        </w:p>
        <w:p w14:paraId="3E7A3D43" w14:textId="08BF5E3C" w:rsidR="00EC4548" w:rsidRPr="00651861" w:rsidRDefault="007C2FFD">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17</w:t>
            </w:r>
            <w:r w:rsidR="00EC4548" w:rsidRPr="00651861">
              <w:rPr>
                <w:rFonts w:ascii="Arial" w:hAnsi="Arial" w:cs="Arial"/>
                <w:webHidden/>
                <w:sz w:val="20"/>
                <w:szCs w:val="20"/>
              </w:rPr>
              <w:fldChar w:fldCharType="end"/>
            </w:r>
          </w:hyperlink>
        </w:p>
        <w:p w14:paraId="728CFE31" w14:textId="48A3FB05" w:rsidR="00EC4548" w:rsidRPr="00651861" w:rsidRDefault="007C2FFD">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67594C">
              <w:rPr>
                <w:rFonts w:ascii="Arial" w:hAnsi="Arial" w:cs="Arial"/>
                <w:webHidden/>
                <w:sz w:val="20"/>
                <w:szCs w:val="20"/>
              </w:rPr>
              <w:t>17</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lastRenderedPageBreak/>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lastRenderedPageBreak/>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 xml:space="preserve">Atsižvelgiant į tai, tiekėjams siūloma rengti </w:t>
      </w:r>
      <w:r w:rsidRPr="00651861">
        <w:rPr>
          <w:rFonts w:ascii="Arial" w:eastAsia="Times New Roman" w:hAnsi="Arial" w:cs="Arial"/>
          <w:sz w:val="20"/>
          <w:szCs w:val="20"/>
        </w:rPr>
        <w:lastRenderedPageBreak/>
        <w:t>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w:t>
      </w:r>
      <w:r w:rsidRPr="00651861">
        <w:rPr>
          <w:rFonts w:ascii="Arial" w:eastAsia="Arial" w:hAnsi="Arial" w:cs="Arial"/>
          <w:color w:val="000000" w:themeColor="text1"/>
          <w:sz w:val="20"/>
          <w:szCs w:val="20"/>
        </w:rPr>
        <w:lastRenderedPageBreak/>
        <w:t xml:space="preserve">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w:t>
      </w:r>
      <w:r w:rsidRPr="00651861">
        <w:rPr>
          <w:rFonts w:ascii="Arial" w:hAnsi="Arial" w:cs="Arial"/>
          <w:color w:val="000000" w:themeColor="text1"/>
          <w:sz w:val="20"/>
          <w:szCs w:val="20"/>
        </w:rPr>
        <w:lastRenderedPageBreak/>
        <w:t xml:space="preserve">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lastRenderedPageBreak/>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651861">
        <w:rPr>
          <w:rFonts w:ascii="Arial" w:hAnsi="Arial" w:cs="Arial"/>
          <w:color w:val="000000" w:themeColor="text1"/>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lastRenderedPageBreak/>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E0663C">
      <w:pPr>
        <w:pStyle w:val="ListParagraph"/>
        <w:numPr>
          <w:ilvl w:val="1"/>
          <w:numId w:val="41"/>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E0663C">
      <w:pPr>
        <w:pStyle w:val="ListParagraph"/>
        <w:numPr>
          <w:ilvl w:val="1"/>
          <w:numId w:val="41"/>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E0663C">
      <w:pPr>
        <w:pStyle w:val="ListParagraph"/>
        <w:numPr>
          <w:ilvl w:val="2"/>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lastRenderedPageBreak/>
        <w:t>Pretenzijų, ieškinių teikimas ir pretenzijų nagrinėjimas</w:t>
      </w:r>
      <w:bookmarkEnd w:id="148"/>
      <w:bookmarkEnd w:id="149"/>
      <w:bookmarkEnd w:id="150"/>
    </w:p>
    <w:p w14:paraId="2571EA7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EB3B25">
      <w:pPr>
        <w:pStyle w:val="Heading1"/>
        <w:numPr>
          <w:ilvl w:val="0"/>
          <w:numId w:val="41"/>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E0663C">
      <w:pPr>
        <w:pStyle w:val="ListParagraph"/>
        <w:numPr>
          <w:ilvl w:val="1"/>
          <w:numId w:val="41"/>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DA63" w14:textId="77777777" w:rsidR="007C2FFD" w:rsidRDefault="007C2FFD" w:rsidP="00184B8C">
      <w:pPr>
        <w:spacing w:after="0" w:line="240" w:lineRule="auto"/>
      </w:pPr>
      <w:r>
        <w:separator/>
      </w:r>
    </w:p>
  </w:endnote>
  <w:endnote w:type="continuationSeparator" w:id="0">
    <w:p w14:paraId="60B9855C" w14:textId="77777777" w:rsidR="007C2FFD" w:rsidRDefault="007C2FFD" w:rsidP="00184B8C">
      <w:pPr>
        <w:spacing w:after="0" w:line="240" w:lineRule="auto"/>
      </w:pPr>
      <w:r>
        <w:continuationSeparator/>
      </w:r>
    </w:p>
  </w:endnote>
  <w:endnote w:type="continuationNotice" w:id="1">
    <w:p w14:paraId="0D155167" w14:textId="77777777" w:rsidR="007C2FFD" w:rsidRDefault="007C2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A873" w14:textId="77777777" w:rsidR="007C2FFD" w:rsidRDefault="007C2FFD" w:rsidP="00184B8C">
      <w:pPr>
        <w:spacing w:after="0" w:line="240" w:lineRule="auto"/>
      </w:pPr>
      <w:r>
        <w:separator/>
      </w:r>
    </w:p>
  </w:footnote>
  <w:footnote w:type="continuationSeparator" w:id="0">
    <w:p w14:paraId="0BF20804" w14:textId="77777777" w:rsidR="007C2FFD" w:rsidRDefault="007C2FFD" w:rsidP="00184B8C">
      <w:pPr>
        <w:spacing w:after="0" w:line="240" w:lineRule="auto"/>
      </w:pPr>
      <w:r>
        <w:continuationSeparator/>
      </w:r>
    </w:p>
  </w:footnote>
  <w:footnote w:type="continuationNotice" w:id="1">
    <w:p w14:paraId="743CDD9A" w14:textId="77777777" w:rsidR="007C2FFD" w:rsidRDefault="007C2FFD">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7EB"/>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594C"/>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2FFD"/>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771"/>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F09C12-9FCC-4759-911C-9722069C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47801</Words>
  <Characters>27247</Characters>
  <DocSecurity>0</DocSecurity>
  <Lines>227</Lines>
  <Paragraphs>149</Paragraphs>
  <ScaleCrop>false</ScaleCrop>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2026-01-26T13:43:00Z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