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7777777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ŠĮ RESPUBLIKINĖS ŠIAULIŲ LIGONINĖS PLANUOJAMAME</w:t>
      </w:r>
    </w:p>
    <w:p w14:paraId="20767D4A" w14:textId="170B997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9A6D71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BUITINĖ </w:t>
      </w:r>
      <w:proofErr w:type="gramStart"/>
      <w:r w:rsidR="009A6D71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TECHNIKA</w:t>
      </w:r>
      <w:r w:rsidR="004842B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”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 viešajame</w:t>
      </w:r>
      <w:proofErr w:type="gramEnd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1E03CBFC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B7637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9A6D71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vasario</w:t>
      </w:r>
      <w:proofErr w:type="spellEnd"/>
      <w:r w:rsidR="009A6D71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</w:t>
      </w:r>
      <w:r w:rsidR="000F138B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d. </w:t>
      </w:r>
      <w:r w:rsidR="00FE1EA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23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</w:t>
      </w:r>
      <w:r w:rsidR="00FE1EA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59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092A7550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9A6D71">
              <w:rPr>
                <w:rFonts w:ascii="Times New Roman" w:eastAsia="Calibri" w:hAnsi="Times New Roman" w:cs="Times New Roman"/>
                <w:sz w:val="20"/>
              </w:rPr>
              <w:t xml:space="preserve">20 </w:t>
            </w:r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d.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9A6D71">
              <w:rPr>
                <w:rFonts w:ascii="Times New Roman" w:eastAsia="Calibri" w:hAnsi="Times New Roman" w:cs="Times New Roman"/>
                <w:sz w:val="20"/>
              </w:rPr>
              <w:t>sutarties</w:t>
            </w:r>
            <w:proofErr w:type="spellEnd"/>
            <w:r w:rsidR="009A6D71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9A6D71">
              <w:rPr>
                <w:rFonts w:ascii="Times New Roman" w:eastAsia="Calibri" w:hAnsi="Times New Roman" w:cs="Times New Roman"/>
                <w:sz w:val="20"/>
              </w:rPr>
              <w:t>pasirašymo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1C267782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9A6D71">
              <w:rPr>
                <w:rFonts w:ascii="Times New Roman" w:eastAsia="Calibri" w:hAnsi="Times New Roman" w:cs="Times New Roman"/>
                <w:sz w:val="20"/>
              </w:rPr>
              <w:t xml:space="preserve">word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71C1E" w14:textId="77777777" w:rsidR="005515DE" w:rsidRDefault="005515DE" w:rsidP="002A6B08">
      <w:pPr>
        <w:spacing w:after="0" w:line="240" w:lineRule="auto"/>
      </w:pPr>
      <w:r>
        <w:separator/>
      </w:r>
    </w:p>
  </w:endnote>
  <w:endnote w:type="continuationSeparator" w:id="0">
    <w:p w14:paraId="401E0B12" w14:textId="77777777" w:rsidR="005515DE" w:rsidRDefault="005515DE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5BF26" w14:textId="77777777" w:rsidR="005515DE" w:rsidRDefault="005515DE" w:rsidP="002A6B08">
      <w:pPr>
        <w:spacing w:after="0" w:line="240" w:lineRule="auto"/>
      </w:pPr>
      <w:r>
        <w:separator/>
      </w:r>
    </w:p>
  </w:footnote>
  <w:footnote w:type="continuationSeparator" w:id="0">
    <w:p w14:paraId="13B1F517" w14:textId="77777777" w:rsidR="005515DE" w:rsidRDefault="005515DE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31D4A"/>
    <w:rsid w:val="00046CC1"/>
    <w:rsid w:val="00055067"/>
    <w:rsid w:val="00075583"/>
    <w:rsid w:val="000C0276"/>
    <w:rsid w:val="000E49F4"/>
    <w:rsid w:val="000F0AD6"/>
    <w:rsid w:val="000F138B"/>
    <w:rsid w:val="001451DA"/>
    <w:rsid w:val="001761D8"/>
    <w:rsid w:val="001B158F"/>
    <w:rsid w:val="001D5CA6"/>
    <w:rsid w:val="001F5F8D"/>
    <w:rsid w:val="00202DC2"/>
    <w:rsid w:val="00263959"/>
    <w:rsid w:val="00277E1F"/>
    <w:rsid w:val="002971FF"/>
    <w:rsid w:val="002A505E"/>
    <w:rsid w:val="002A6B08"/>
    <w:rsid w:val="002B108F"/>
    <w:rsid w:val="002C3622"/>
    <w:rsid w:val="003139C9"/>
    <w:rsid w:val="00322973"/>
    <w:rsid w:val="00366413"/>
    <w:rsid w:val="00383C7E"/>
    <w:rsid w:val="00396875"/>
    <w:rsid w:val="003A4D60"/>
    <w:rsid w:val="003F51AE"/>
    <w:rsid w:val="0043361E"/>
    <w:rsid w:val="0045224C"/>
    <w:rsid w:val="00476109"/>
    <w:rsid w:val="004842B2"/>
    <w:rsid w:val="004E17C3"/>
    <w:rsid w:val="005070DC"/>
    <w:rsid w:val="005515DE"/>
    <w:rsid w:val="005830D9"/>
    <w:rsid w:val="006339DF"/>
    <w:rsid w:val="00637E2E"/>
    <w:rsid w:val="00656B78"/>
    <w:rsid w:val="006B04DE"/>
    <w:rsid w:val="006B7729"/>
    <w:rsid w:val="006F267A"/>
    <w:rsid w:val="00734D83"/>
    <w:rsid w:val="007506C0"/>
    <w:rsid w:val="007970C5"/>
    <w:rsid w:val="007F4F7B"/>
    <w:rsid w:val="0080332B"/>
    <w:rsid w:val="00817624"/>
    <w:rsid w:val="00851446"/>
    <w:rsid w:val="00876B7A"/>
    <w:rsid w:val="008A083A"/>
    <w:rsid w:val="009049C6"/>
    <w:rsid w:val="0093645E"/>
    <w:rsid w:val="00941586"/>
    <w:rsid w:val="009818E8"/>
    <w:rsid w:val="009929E4"/>
    <w:rsid w:val="009A6D71"/>
    <w:rsid w:val="009B34A4"/>
    <w:rsid w:val="009B6CAE"/>
    <w:rsid w:val="009E651F"/>
    <w:rsid w:val="00AB149B"/>
    <w:rsid w:val="00AB48CA"/>
    <w:rsid w:val="00AD3C92"/>
    <w:rsid w:val="00AF23E6"/>
    <w:rsid w:val="00B24387"/>
    <w:rsid w:val="00B429BD"/>
    <w:rsid w:val="00B76376"/>
    <w:rsid w:val="00C32DC4"/>
    <w:rsid w:val="00C72DE0"/>
    <w:rsid w:val="00C83EC2"/>
    <w:rsid w:val="00C91473"/>
    <w:rsid w:val="00C917E1"/>
    <w:rsid w:val="00CA069C"/>
    <w:rsid w:val="00CD40AC"/>
    <w:rsid w:val="00D0121A"/>
    <w:rsid w:val="00D22604"/>
    <w:rsid w:val="00D53FA8"/>
    <w:rsid w:val="00D6070E"/>
    <w:rsid w:val="00D912F9"/>
    <w:rsid w:val="00D95307"/>
    <w:rsid w:val="00E318E6"/>
    <w:rsid w:val="00E6171E"/>
    <w:rsid w:val="00E635CF"/>
    <w:rsid w:val="00F1063B"/>
    <w:rsid w:val="00F645D5"/>
    <w:rsid w:val="00F65410"/>
    <w:rsid w:val="00FB30FB"/>
    <w:rsid w:val="00FC4DEB"/>
    <w:rsid w:val="00FE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1885</Characters>
  <Application>Microsoft Office Word</Application>
  <DocSecurity>0</DocSecurity>
  <Lines>78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Konsultacijos tikslas:	</vt:lpstr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4</cp:revision>
  <dcterms:created xsi:type="dcterms:W3CDTF">2026-01-27T14:00:00Z</dcterms:created>
  <dcterms:modified xsi:type="dcterms:W3CDTF">2026-01-27T14:02:00Z</dcterms:modified>
</cp:coreProperties>
</file>