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7CF86792"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BE1C5F" w:rsidRPr="00BE1C5F">
        <w:rPr>
          <w:rFonts w:ascii="Times New Roman" w:hAnsi="Times New Roman" w:cs="Times New Roman"/>
          <w:b/>
          <w:caps w:val="0"/>
          <w:color w:val="auto"/>
          <w:spacing w:val="0"/>
          <w:sz w:val="22"/>
          <w:szCs w:val="22"/>
          <w:lang w:val="pl-PL"/>
        </w:rPr>
        <w:t>SANDĖLIO VALYMO PASLAUGŲ</w:t>
      </w:r>
      <w:r w:rsidR="00BE1C5F">
        <w:rPr>
          <w:rFonts w:ascii="Times New Roman" w:hAnsi="Times New Roman" w:cs="Times New Roman"/>
          <w:b/>
          <w:color w:val="auto"/>
          <w:sz w:val="22"/>
          <w:szCs w:val="22"/>
          <w:lang w:val="pl-PL"/>
        </w:rPr>
        <w:t xml:space="preserve">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000000"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000000"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21676F39"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w:t>
      </w:r>
      <w:r w:rsidR="00104363">
        <w:rPr>
          <w:rFonts w:ascii="Times New Roman" w:hAnsi="Times New Roman" w:cs="Times New Roman"/>
          <w:sz w:val="22"/>
          <w:szCs w:val="22"/>
        </w:rPr>
        <w:t>aslaugų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1843"/>
        <w:gridCol w:w="1559"/>
        <w:gridCol w:w="1701"/>
        <w:gridCol w:w="1417"/>
      </w:tblGrid>
      <w:tr w:rsidR="003B568D" w:rsidRPr="00F4305D" w14:paraId="11DB8603" w14:textId="77777777" w:rsidTr="005704E1">
        <w:trPr>
          <w:tblHeader/>
        </w:trPr>
        <w:tc>
          <w:tcPr>
            <w:tcW w:w="2972" w:type="dxa"/>
            <w:shd w:val="clear" w:color="auto" w:fill="F2F2F2" w:themeFill="background1" w:themeFillShade="F2"/>
            <w:vAlign w:val="center"/>
          </w:tcPr>
          <w:p w14:paraId="3106DFF6" w14:textId="77777777" w:rsidR="003B568D" w:rsidRPr="00F4305D" w:rsidRDefault="003B568D"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1843" w:type="dxa"/>
            <w:shd w:val="clear" w:color="auto" w:fill="F2F2F2" w:themeFill="background1" w:themeFillShade="F2"/>
            <w:vAlign w:val="center"/>
          </w:tcPr>
          <w:p w14:paraId="287D8354" w14:textId="77777777" w:rsidR="003B568D" w:rsidRPr="00F4305D" w:rsidRDefault="003B568D"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1559" w:type="dxa"/>
            <w:shd w:val="clear" w:color="auto" w:fill="F2F2F2" w:themeFill="background1" w:themeFillShade="F2"/>
            <w:vAlign w:val="center"/>
          </w:tcPr>
          <w:p w14:paraId="7223E81B" w14:textId="4546A11B" w:rsidR="003B568D" w:rsidRPr="00F4305D" w:rsidRDefault="003B568D"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Preliminarus k</w:t>
            </w:r>
            <w:r w:rsidRPr="00F4305D">
              <w:rPr>
                <w:rFonts w:ascii="Times New Roman" w:hAnsi="Times New Roman" w:cs="Times New Roman"/>
                <w:b/>
                <w:bCs/>
                <w:iCs/>
                <w:color w:val="000000" w:themeColor="text1"/>
                <w:sz w:val="22"/>
                <w:szCs w:val="22"/>
              </w:rPr>
              <w:t>iekis</w:t>
            </w:r>
          </w:p>
        </w:tc>
        <w:tc>
          <w:tcPr>
            <w:tcW w:w="1701" w:type="dxa"/>
            <w:shd w:val="clear" w:color="auto" w:fill="F2F2F2" w:themeFill="background1" w:themeFillShade="F2"/>
            <w:vAlign w:val="center"/>
          </w:tcPr>
          <w:p w14:paraId="668C55A8" w14:textId="4D72FCE9" w:rsidR="003B568D" w:rsidRPr="00F4305D" w:rsidRDefault="003B568D"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Pr="00F4305D">
              <w:rPr>
                <w:rFonts w:ascii="Times New Roman" w:hAnsi="Times New Roman" w:cs="Times New Roman"/>
                <w:b/>
                <w:sz w:val="22"/>
                <w:szCs w:val="22"/>
              </w:rPr>
              <w:t>ien</w:t>
            </w:r>
            <w:r w:rsidR="00AB0A5E">
              <w:rPr>
                <w:rFonts w:ascii="Times New Roman" w:hAnsi="Times New Roman" w:cs="Times New Roman"/>
                <w:b/>
                <w:sz w:val="22"/>
                <w:szCs w:val="22"/>
              </w:rPr>
              <w:t>os dienos įkainis</w:t>
            </w:r>
            <w:r w:rsidRPr="00F4305D">
              <w:rPr>
                <w:rFonts w:ascii="Times New Roman" w:hAnsi="Times New Roman" w:cs="Times New Roman"/>
                <w:b/>
                <w:sz w:val="22"/>
                <w:szCs w:val="22"/>
              </w:rPr>
              <w:t xml:space="preserve"> EUR be PVM</w:t>
            </w:r>
          </w:p>
        </w:tc>
        <w:tc>
          <w:tcPr>
            <w:tcW w:w="1417" w:type="dxa"/>
            <w:shd w:val="clear" w:color="auto" w:fill="F2F2F2" w:themeFill="background1" w:themeFillShade="F2"/>
            <w:vAlign w:val="center"/>
          </w:tcPr>
          <w:p w14:paraId="30BF05FE" w14:textId="77777777" w:rsidR="003B568D" w:rsidRPr="00F4305D" w:rsidRDefault="003B568D" w:rsidP="00FB3DF7">
            <w:pPr>
              <w:spacing w:after="0" w:line="240" w:lineRule="auto"/>
              <w:jc w:val="center"/>
              <w:rPr>
                <w:rFonts w:ascii="Times New Roman" w:hAnsi="Times New Roman" w:cs="Times New Roman"/>
                <w:b/>
                <w:sz w:val="22"/>
                <w:szCs w:val="22"/>
              </w:rPr>
            </w:pPr>
            <w:r w:rsidRPr="00F4305D">
              <w:rPr>
                <w:rFonts w:ascii="Times New Roman" w:hAnsi="Times New Roman" w:cs="Times New Roman"/>
                <w:b/>
                <w:sz w:val="22"/>
                <w:szCs w:val="22"/>
              </w:rPr>
              <w:t>Pasiūlymo kaina EUR</w:t>
            </w:r>
            <w:r w:rsidRPr="00F4305D">
              <w:rPr>
                <w:rFonts w:ascii="Times New Roman" w:hAnsi="Times New Roman" w:cs="Times New Roman"/>
                <w:b/>
                <w:color w:val="FF0000"/>
                <w:sz w:val="22"/>
                <w:szCs w:val="22"/>
              </w:rPr>
              <w:t xml:space="preserve"> </w:t>
            </w:r>
            <w:r w:rsidRPr="00F4305D">
              <w:rPr>
                <w:rFonts w:ascii="Times New Roman" w:hAnsi="Times New Roman" w:cs="Times New Roman"/>
                <w:b/>
                <w:sz w:val="22"/>
                <w:szCs w:val="22"/>
              </w:rPr>
              <w:t>be PVM</w:t>
            </w:r>
          </w:p>
          <w:p w14:paraId="2B55B3B2" w14:textId="77777777" w:rsidR="003B568D" w:rsidRPr="00F4305D" w:rsidRDefault="003B568D" w:rsidP="00FB3DF7">
            <w:pPr>
              <w:spacing w:after="0" w:line="240" w:lineRule="auto"/>
              <w:jc w:val="center"/>
              <w:rPr>
                <w:rFonts w:ascii="Times New Roman" w:hAnsi="Times New Roman" w:cs="Times New Roman"/>
                <w:i/>
                <w:sz w:val="22"/>
                <w:szCs w:val="22"/>
              </w:rPr>
            </w:pPr>
          </w:p>
        </w:tc>
      </w:tr>
      <w:tr w:rsidR="003B568D" w:rsidRPr="00F4305D" w14:paraId="119FAA8E" w14:textId="77777777" w:rsidTr="005704E1">
        <w:tc>
          <w:tcPr>
            <w:tcW w:w="2972" w:type="dxa"/>
          </w:tcPr>
          <w:p w14:paraId="2DB0EC78" w14:textId="1E3271D4" w:rsidR="003B568D" w:rsidRPr="00F4305D" w:rsidRDefault="003B568D"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bCs/>
                <w:sz w:val="22"/>
                <w:szCs w:val="22"/>
              </w:rPr>
              <w:t>Sandėlių valymo paslaugos</w:t>
            </w:r>
          </w:p>
        </w:tc>
        <w:tc>
          <w:tcPr>
            <w:tcW w:w="1843" w:type="dxa"/>
          </w:tcPr>
          <w:p w14:paraId="7C4D9B1C" w14:textId="57925099" w:rsidR="003B568D" w:rsidRPr="00F4305D" w:rsidRDefault="00835739"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diena</w:t>
            </w:r>
          </w:p>
        </w:tc>
        <w:tc>
          <w:tcPr>
            <w:tcW w:w="1559" w:type="dxa"/>
          </w:tcPr>
          <w:p w14:paraId="48448EC9" w14:textId="33483BC6" w:rsidR="003B568D" w:rsidRPr="00F4305D" w:rsidRDefault="00D56070"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565</w:t>
            </w:r>
          </w:p>
        </w:tc>
        <w:tc>
          <w:tcPr>
            <w:tcW w:w="1701" w:type="dxa"/>
          </w:tcPr>
          <w:p w14:paraId="09269A8D" w14:textId="77777777" w:rsidR="003B568D" w:rsidRPr="00F4305D" w:rsidRDefault="003B568D" w:rsidP="00FB3DF7">
            <w:pPr>
              <w:spacing w:after="0" w:line="240" w:lineRule="auto"/>
              <w:jc w:val="center"/>
              <w:rPr>
                <w:rFonts w:ascii="Times New Roman" w:hAnsi="Times New Roman" w:cs="Times New Roman"/>
                <w:sz w:val="22"/>
                <w:szCs w:val="22"/>
              </w:rPr>
            </w:pPr>
          </w:p>
        </w:tc>
        <w:tc>
          <w:tcPr>
            <w:tcW w:w="1417" w:type="dxa"/>
          </w:tcPr>
          <w:p w14:paraId="2903CB6C" w14:textId="77777777" w:rsidR="003B568D" w:rsidRPr="00F4305D" w:rsidRDefault="003B568D" w:rsidP="00FB3DF7">
            <w:pPr>
              <w:spacing w:after="0" w:line="240" w:lineRule="auto"/>
              <w:jc w:val="center"/>
              <w:rPr>
                <w:rFonts w:ascii="Times New Roman" w:hAnsi="Times New Roman" w:cs="Times New Roman"/>
                <w:sz w:val="22"/>
                <w:szCs w:val="22"/>
              </w:rPr>
            </w:pPr>
          </w:p>
        </w:tc>
      </w:tr>
      <w:tr w:rsidR="00680FA4" w:rsidRPr="00F4305D" w14:paraId="3AD08C15" w14:textId="77777777" w:rsidTr="00AA7379">
        <w:tc>
          <w:tcPr>
            <w:tcW w:w="8075" w:type="dxa"/>
            <w:gridSpan w:val="4"/>
          </w:tcPr>
          <w:p w14:paraId="355EC588" w14:textId="77777777"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4305D">
              <w:rPr>
                <w:rFonts w:ascii="Times New Roman" w:hAnsi="Times New Roman" w:cs="Times New Roman"/>
                <w:i/>
                <w:sz w:val="22"/>
                <w:szCs w:val="22"/>
              </w:rPr>
              <w:t xml:space="preserve">21  </w:t>
            </w:r>
            <w:r w:rsidRPr="00F4305D">
              <w:rPr>
                <w:rFonts w:ascii="Times New Roman" w:hAnsi="Times New Roman" w:cs="Times New Roman"/>
                <w:b/>
                <w:bCs/>
                <w:i/>
                <w:sz w:val="22"/>
                <w:szCs w:val="22"/>
              </w:rPr>
              <w:t>proc.)*</w:t>
            </w:r>
          </w:p>
        </w:tc>
        <w:tc>
          <w:tcPr>
            <w:tcW w:w="1417"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AA7379">
        <w:tc>
          <w:tcPr>
            <w:tcW w:w="8075" w:type="dxa"/>
            <w:gridSpan w:val="4"/>
          </w:tcPr>
          <w:p w14:paraId="6D9AD3D3" w14:textId="24E661DF"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240BCC">
              <w:rPr>
                <w:rFonts w:ascii="Times New Roman" w:hAnsi="Times New Roman" w:cs="Times New Roman"/>
                <w:b/>
                <w:sz w:val="22"/>
                <w:szCs w:val="22"/>
              </w:rPr>
              <w:t xml:space="preserve">, skirta pasiūlymams palyginti </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p>
        </w:tc>
        <w:tc>
          <w:tcPr>
            <w:tcW w:w="1417"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9295043" w14:textId="7ECAED73" w:rsidR="00680FA4" w:rsidRPr="00F4305D"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F4305D">
        <w:rPr>
          <w:rFonts w:ascii="Times New Roman" w:hAnsi="Times New Roman" w:cs="Times New Roman"/>
        </w:rPr>
        <w:t>Pasiūlym kaina EUR su PVM žodžiais: __________________________________________________</w:t>
      </w:r>
    </w:p>
    <w:p w14:paraId="30F8F408" w14:textId="77777777" w:rsidR="00680FA4" w:rsidRPr="00F4305D"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3F47C077" w14:textId="3EF981A0" w:rsidR="00680FA4" w:rsidRPr="00F4305D" w:rsidRDefault="00680FA4" w:rsidP="00701E5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b/>
          <w:bCs/>
        </w:rPr>
      </w:pPr>
      <w:r w:rsidRPr="00F4305D">
        <w:rPr>
          <w:rFonts w:ascii="Times New Roman" w:hAnsi="Times New Roman" w:cs="Times New Roman"/>
        </w:rPr>
        <w:t xml:space="preserve">Siūlomos </w:t>
      </w:r>
      <w:r w:rsidR="00580B09">
        <w:rPr>
          <w:rFonts w:ascii="Times New Roman" w:hAnsi="Times New Roman" w:cs="Times New Roman"/>
        </w:rPr>
        <w:t>paslaugos</w:t>
      </w:r>
      <w:r w:rsidRPr="00F4305D">
        <w:rPr>
          <w:rFonts w:ascii="Times New Roman" w:hAnsi="Times New Roman" w:cs="Times New Roman"/>
        </w:rPr>
        <w:t xml:space="preserve"> visiškai atitinka pirkimo dokumentuose nurodytus reikalavimus </w:t>
      </w:r>
    </w:p>
    <w:p w14:paraId="3EAF7836" w14:textId="77777777" w:rsidR="00680FA4" w:rsidRPr="00F4305D"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F4305D">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FB3DF7">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77777777" w:rsidR="00680FA4" w:rsidRPr="00F4305D" w:rsidRDefault="00680FA4" w:rsidP="00FB3DF7">
            <w:pPr>
              <w:pStyle w:val="ListParagraph"/>
              <w:tabs>
                <w:tab w:val="left" w:pos="1701"/>
              </w:tabs>
              <w:spacing w:line="20" w:lineRule="atLeast"/>
              <w:ind w:left="32"/>
              <w:jc w:val="both"/>
              <w:rPr>
                <w:rFonts w:hAnsi="Times New Roman" w:cs="Times New Roman"/>
                <w:bCs/>
                <w:iCs/>
                <w:color w:val="000000" w:themeColor="text1"/>
              </w:rPr>
            </w:pPr>
            <w:r w:rsidRPr="00F4305D">
              <w:rPr>
                <w:rFonts w:hAnsi="Times New Roman" w:cs="Times New Roman"/>
                <w:bCs/>
                <w:iCs/>
                <w:color w:val="000000" w:themeColor="text1"/>
              </w:rPr>
              <w:t xml:space="preserve">Siūlomo pirkimo objekto aprašymas ir dokumentai, įrodantys atitikimą </w:t>
            </w:r>
            <w:r w:rsidRPr="00F4305D">
              <w:rPr>
                <w:rFonts w:eastAsia="Calibri" w:hAnsi="Times New Roman" w:cs="Times New Roman"/>
                <w:color w:val="000000" w:themeColor="text1"/>
              </w:rPr>
              <w:fldChar w:fldCharType="begin"/>
            </w:r>
            <w:r w:rsidRPr="00F4305D">
              <w:rPr>
                <w:rFonts w:eastAsia="Calibri" w:hAnsi="Times New Roman" w:cs="Times New Roman"/>
                <w:color w:val="000000" w:themeColor="text1"/>
              </w:rPr>
              <w:instrText xml:space="preserve"> REF _Ref38539939 \h  \* MERGEFORMAT </w:instrText>
            </w:r>
            <w:r w:rsidRPr="00F4305D">
              <w:rPr>
                <w:rFonts w:eastAsia="Calibri" w:hAnsi="Times New Roman" w:cs="Times New Roman"/>
                <w:color w:val="000000" w:themeColor="text1"/>
              </w:rPr>
            </w:r>
            <w:r w:rsidRPr="00F4305D">
              <w:rPr>
                <w:rFonts w:eastAsia="Calibri" w:hAnsi="Times New Roman" w:cs="Times New Roman"/>
                <w:color w:val="000000" w:themeColor="text1"/>
              </w:rPr>
              <w:fldChar w:fldCharType="separate"/>
            </w:r>
            <w:r w:rsidRPr="00F4305D">
              <w:rPr>
                <w:rFonts w:eastAsia="Calibri" w:hAnsi="Times New Roman" w:cs="Times New Roman"/>
                <w:color w:val="000000" w:themeColor="text1"/>
              </w:rPr>
              <w:t>Pirkimo sąlygų 1 priede „Techninė specifikacija“</w:t>
            </w:r>
            <w:r w:rsidRPr="00F4305D">
              <w:rPr>
                <w:rFonts w:eastAsia="Calibri" w:hAnsi="Times New Roman" w:cs="Times New Roman"/>
                <w:color w:val="000000" w:themeColor="text1"/>
              </w:rPr>
              <w:fldChar w:fldCharType="end"/>
            </w:r>
            <w:r w:rsidRPr="00F4305D">
              <w:rPr>
                <w:rFonts w:eastAsia="Calibri" w:hAnsi="Times New Roman" w:cs="Times New Roman"/>
                <w:color w:val="000000" w:themeColor="text1"/>
              </w:rPr>
              <w:t xml:space="preserve"> </w:t>
            </w:r>
            <w:r w:rsidRPr="00F4305D">
              <w:rPr>
                <w:rFonts w:hAnsi="Times New Roman" w:cs="Times New Roman"/>
                <w:bCs/>
                <w:iCs/>
                <w:color w:val="000000" w:themeColor="text1"/>
              </w:rPr>
              <w:t>numatytiems reikalavimams:</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r w:rsidR="00680FA4" w:rsidRPr="00F4305D" w14:paraId="40657E69" w14:textId="77777777" w:rsidTr="00FB3DF7">
        <w:tc>
          <w:tcPr>
            <w:tcW w:w="0" w:type="auto"/>
          </w:tcPr>
          <w:p w14:paraId="0D5E220E" w14:textId="0C7C9406" w:rsidR="00680FA4" w:rsidRPr="00F4305D" w:rsidRDefault="00680FA4" w:rsidP="00FB3DF7">
            <w:pPr>
              <w:rPr>
                <w:rFonts w:hAnsi="Times New Roman" w:cs="Times New Roman"/>
                <w:sz w:val="22"/>
                <w:szCs w:val="22"/>
              </w:rPr>
            </w:pPr>
            <w:r w:rsidRPr="00F4305D">
              <w:rPr>
                <w:rFonts w:hAnsi="Times New Roman" w:cs="Times New Roman"/>
                <w:sz w:val="22"/>
                <w:szCs w:val="22"/>
              </w:rPr>
              <w:t>5.</w:t>
            </w:r>
          </w:p>
        </w:tc>
        <w:tc>
          <w:tcPr>
            <w:tcW w:w="3478" w:type="dxa"/>
          </w:tcPr>
          <w:p w14:paraId="6F4D2FC6" w14:textId="6F46FAD9" w:rsidR="00680FA4" w:rsidRPr="00F4305D" w:rsidRDefault="00680FA4" w:rsidP="00FB3DF7">
            <w:pPr>
              <w:rPr>
                <w:rFonts w:hAnsi="Times New Roman" w:cs="Times New Roman"/>
                <w:sz w:val="22"/>
                <w:szCs w:val="22"/>
              </w:rPr>
            </w:pPr>
          </w:p>
        </w:tc>
        <w:tc>
          <w:tcPr>
            <w:tcW w:w="1020" w:type="dxa"/>
          </w:tcPr>
          <w:p w14:paraId="7F2EC413" w14:textId="77777777" w:rsidR="00680FA4" w:rsidRPr="00F4305D" w:rsidRDefault="00680FA4" w:rsidP="00FB3DF7">
            <w:pPr>
              <w:rPr>
                <w:rFonts w:hAnsi="Times New Roman" w:cs="Times New Roman"/>
                <w:sz w:val="22"/>
                <w:szCs w:val="22"/>
              </w:rPr>
            </w:pPr>
          </w:p>
        </w:tc>
        <w:tc>
          <w:tcPr>
            <w:tcW w:w="0" w:type="auto"/>
          </w:tcPr>
          <w:p w14:paraId="40250490" w14:textId="77777777" w:rsidR="00680FA4" w:rsidRPr="00F4305D" w:rsidRDefault="00680FA4" w:rsidP="00FB3DF7">
            <w:pPr>
              <w:rPr>
                <w:rFonts w:hAnsi="Times New Roman" w:cs="Times New Roman"/>
                <w:sz w:val="22"/>
                <w:szCs w:val="22"/>
              </w:rPr>
            </w:pPr>
          </w:p>
        </w:tc>
        <w:tc>
          <w:tcPr>
            <w:tcW w:w="0" w:type="auto"/>
          </w:tcPr>
          <w:p w14:paraId="672CE54C" w14:textId="77777777" w:rsidR="00680FA4" w:rsidRPr="00F4305D" w:rsidRDefault="00680FA4" w:rsidP="00FB3DF7">
            <w:pPr>
              <w:rPr>
                <w:rFonts w:hAnsi="Times New Roman" w:cs="Times New Roman"/>
                <w:sz w:val="22"/>
                <w:szCs w:val="22"/>
              </w:rPr>
            </w:pPr>
          </w:p>
        </w:tc>
      </w:tr>
      <w:tr w:rsidR="00680FA4" w:rsidRPr="00F4305D" w14:paraId="4D7B3961" w14:textId="77777777" w:rsidTr="00FB3DF7">
        <w:tc>
          <w:tcPr>
            <w:tcW w:w="0" w:type="auto"/>
          </w:tcPr>
          <w:p w14:paraId="10AF47E8" w14:textId="2BDB7AD9" w:rsidR="00680FA4" w:rsidRPr="00F4305D" w:rsidRDefault="00240BCC" w:rsidP="00FB3DF7">
            <w:pPr>
              <w:rPr>
                <w:rFonts w:hAnsi="Times New Roman" w:cs="Times New Roman"/>
                <w:sz w:val="22"/>
                <w:szCs w:val="22"/>
              </w:rPr>
            </w:pPr>
            <w:r>
              <w:rPr>
                <w:rFonts w:hAnsi="Times New Roman" w:cs="Times New Roman"/>
                <w:sz w:val="22"/>
                <w:szCs w:val="22"/>
              </w:rPr>
              <w:lastRenderedPageBreak/>
              <w:t>6.</w:t>
            </w:r>
          </w:p>
        </w:tc>
        <w:tc>
          <w:tcPr>
            <w:tcW w:w="3478" w:type="dxa"/>
          </w:tcPr>
          <w:p w14:paraId="2F6646E1" w14:textId="111238C4" w:rsidR="00680FA4" w:rsidRPr="00F4305D" w:rsidRDefault="00680FA4" w:rsidP="00FB3DF7">
            <w:pPr>
              <w:rPr>
                <w:rFonts w:hAnsi="Times New Roman" w:cs="Times New Roman"/>
                <w:sz w:val="22"/>
                <w:szCs w:val="22"/>
              </w:rPr>
            </w:pPr>
          </w:p>
        </w:tc>
        <w:tc>
          <w:tcPr>
            <w:tcW w:w="1020" w:type="dxa"/>
          </w:tcPr>
          <w:p w14:paraId="01B9F70A" w14:textId="77777777" w:rsidR="00680FA4" w:rsidRPr="00F4305D" w:rsidRDefault="00680FA4" w:rsidP="00FB3DF7">
            <w:pPr>
              <w:rPr>
                <w:rFonts w:hAnsi="Times New Roman" w:cs="Times New Roman"/>
                <w:sz w:val="22"/>
                <w:szCs w:val="22"/>
              </w:rPr>
            </w:pPr>
          </w:p>
        </w:tc>
        <w:tc>
          <w:tcPr>
            <w:tcW w:w="0" w:type="auto"/>
          </w:tcPr>
          <w:p w14:paraId="5646F12E" w14:textId="77777777" w:rsidR="00680FA4" w:rsidRPr="00F4305D" w:rsidRDefault="00680FA4" w:rsidP="00FB3DF7">
            <w:pPr>
              <w:rPr>
                <w:rFonts w:hAnsi="Times New Roman" w:cs="Times New Roman"/>
                <w:sz w:val="22"/>
                <w:szCs w:val="22"/>
              </w:rPr>
            </w:pPr>
          </w:p>
        </w:tc>
        <w:tc>
          <w:tcPr>
            <w:tcW w:w="0" w:type="auto"/>
          </w:tcPr>
          <w:p w14:paraId="7A9F548A" w14:textId="77777777" w:rsidR="00680FA4" w:rsidRPr="00F4305D" w:rsidRDefault="00680FA4" w:rsidP="00FB3DF7">
            <w:pPr>
              <w:rPr>
                <w:rFonts w:hAnsi="Times New Roman" w:cs="Times New Roman"/>
                <w:sz w:val="22"/>
                <w:szCs w:val="22"/>
              </w:rPr>
            </w:pPr>
          </w:p>
        </w:tc>
      </w:tr>
      <w:tr w:rsidR="00240BCC" w:rsidRPr="00F4305D" w14:paraId="5ECF3363" w14:textId="77777777" w:rsidTr="00FB3DF7">
        <w:tc>
          <w:tcPr>
            <w:tcW w:w="0" w:type="auto"/>
          </w:tcPr>
          <w:p w14:paraId="24E3CBA4" w14:textId="331A7DC1" w:rsidR="00240BCC" w:rsidRPr="00F4305D" w:rsidRDefault="00240BCC" w:rsidP="00FB3DF7">
            <w:pPr>
              <w:rPr>
                <w:rFonts w:hAnsi="Times New Roman" w:cs="Times New Roman"/>
                <w:sz w:val="22"/>
                <w:szCs w:val="22"/>
              </w:rPr>
            </w:pPr>
            <w:r>
              <w:rPr>
                <w:rFonts w:hAnsi="Times New Roman" w:cs="Times New Roman"/>
                <w:sz w:val="22"/>
                <w:szCs w:val="22"/>
              </w:rPr>
              <w:t>7.</w:t>
            </w:r>
          </w:p>
        </w:tc>
        <w:tc>
          <w:tcPr>
            <w:tcW w:w="3478" w:type="dxa"/>
          </w:tcPr>
          <w:p w14:paraId="520805E7" w14:textId="03ED6544" w:rsidR="00240BCC" w:rsidRPr="00240BCC" w:rsidRDefault="00240BCC" w:rsidP="00FB3DF7">
            <w:pPr>
              <w:rPr>
                <w:rFonts w:hAnsi="Times New Roman" w:cs="Times New Roman"/>
                <w:sz w:val="22"/>
                <w:szCs w:val="22"/>
              </w:rPr>
            </w:pPr>
            <w:r w:rsidRPr="00240BCC">
              <w:rPr>
                <w:rFonts w:hAnsi="Times New Roman" w:cs="Times New Roman"/>
              </w:rPr>
              <w:t>Dokumentas, patvirtinantis, kad kraujo maišų sistemos atitinka EN ISO 3826 tarptautinio standarto 1 – 3 dalies ir Europos farmakopėjos 5.0 01/2005:30203 straipsnio reikalavimus</w:t>
            </w:r>
          </w:p>
        </w:tc>
        <w:tc>
          <w:tcPr>
            <w:tcW w:w="1020" w:type="dxa"/>
          </w:tcPr>
          <w:p w14:paraId="18D75905" w14:textId="77777777" w:rsidR="00240BCC" w:rsidRPr="00F4305D" w:rsidRDefault="00240BCC" w:rsidP="00FB3DF7">
            <w:pPr>
              <w:rPr>
                <w:rFonts w:hAnsi="Times New Roman" w:cs="Times New Roman"/>
                <w:sz w:val="22"/>
                <w:szCs w:val="22"/>
              </w:rPr>
            </w:pPr>
          </w:p>
        </w:tc>
        <w:tc>
          <w:tcPr>
            <w:tcW w:w="0" w:type="auto"/>
          </w:tcPr>
          <w:p w14:paraId="187ED016" w14:textId="77777777" w:rsidR="00240BCC" w:rsidRPr="00F4305D" w:rsidRDefault="00240BCC" w:rsidP="00FB3DF7">
            <w:pPr>
              <w:rPr>
                <w:rFonts w:hAnsi="Times New Roman" w:cs="Times New Roman"/>
                <w:sz w:val="22"/>
                <w:szCs w:val="22"/>
              </w:rPr>
            </w:pPr>
          </w:p>
        </w:tc>
        <w:tc>
          <w:tcPr>
            <w:tcW w:w="0" w:type="auto"/>
          </w:tcPr>
          <w:p w14:paraId="5401A978" w14:textId="77777777" w:rsidR="00240BCC" w:rsidRPr="00F4305D" w:rsidRDefault="00240BCC" w:rsidP="00FB3DF7">
            <w:pPr>
              <w:rPr>
                <w:rFonts w:hAnsi="Times New Roman" w:cs="Times New Roman"/>
                <w:sz w:val="22"/>
                <w:szCs w:val="22"/>
              </w:rPr>
            </w:pPr>
          </w:p>
        </w:tc>
      </w:tr>
      <w:tr w:rsidR="00240BCC" w:rsidRPr="00F4305D" w14:paraId="001D052E" w14:textId="77777777" w:rsidTr="00FB3DF7">
        <w:tc>
          <w:tcPr>
            <w:tcW w:w="0" w:type="auto"/>
          </w:tcPr>
          <w:p w14:paraId="02B6BABE" w14:textId="0DA9BACA" w:rsidR="00240BCC" w:rsidRPr="00F4305D" w:rsidRDefault="00240BCC" w:rsidP="00FB3DF7">
            <w:pPr>
              <w:rPr>
                <w:rFonts w:hAnsi="Times New Roman" w:cs="Times New Roman"/>
                <w:sz w:val="22"/>
                <w:szCs w:val="22"/>
              </w:rPr>
            </w:pPr>
            <w:r>
              <w:rPr>
                <w:rFonts w:hAnsi="Times New Roman" w:cs="Times New Roman"/>
                <w:sz w:val="22"/>
                <w:szCs w:val="22"/>
              </w:rPr>
              <w:t xml:space="preserve">  8.</w:t>
            </w:r>
          </w:p>
        </w:tc>
        <w:tc>
          <w:tcPr>
            <w:tcW w:w="3478" w:type="dxa"/>
          </w:tcPr>
          <w:p w14:paraId="3726CB63" w14:textId="4D07DB29" w:rsidR="00240BCC" w:rsidRPr="00240BCC" w:rsidRDefault="00240BCC" w:rsidP="00FB3DF7">
            <w:pPr>
              <w:rPr>
                <w:rFonts w:hAnsi="Times New Roman" w:cs="Times New Roman"/>
              </w:rPr>
            </w:pPr>
          </w:p>
        </w:tc>
        <w:tc>
          <w:tcPr>
            <w:tcW w:w="1020" w:type="dxa"/>
          </w:tcPr>
          <w:p w14:paraId="66556FEE" w14:textId="77777777" w:rsidR="00240BCC" w:rsidRPr="00F4305D" w:rsidRDefault="00240BCC" w:rsidP="00FB3DF7">
            <w:pPr>
              <w:rPr>
                <w:rFonts w:hAnsi="Times New Roman" w:cs="Times New Roman"/>
                <w:sz w:val="22"/>
                <w:szCs w:val="22"/>
              </w:rPr>
            </w:pPr>
          </w:p>
        </w:tc>
        <w:tc>
          <w:tcPr>
            <w:tcW w:w="0" w:type="auto"/>
          </w:tcPr>
          <w:p w14:paraId="76B3DB91" w14:textId="77777777" w:rsidR="00240BCC" w:rsidRPr="00F4305D" w:rsidRDefault="00240BCC" w:rsidP="00FB3DF7">
            <w:pPr>
              <w:rPr>
                <w:rFonts w:hAnsi="Times New Roman" w:cs="Times New Roman"/>
                <w:sz w:val="22"/>
                <w:szCs w:val="22"/>
              </w:rPr>
            </w:pPr>
          </w:p>
        </w:tc>
        <w:tc>
          <w:tcPr>
            <w:tcW w:w="0" w:type="auto"/>
          </w:tcPr>
          <w:p w14:paraId="6CFB4F45" w14:textId="77777777" w:rsidR="00240BCC" w:rsidRPr="00F4305D" w:rsidRDefault="00240BCC" w:rsidP="00FB3DF7">
            <w:pPr>
              <w:rPr>
                <w:rFonts w:hAnsi="Times New Roman" w:cs="Times New Roman"/>
                <w:sz w:val="22"/>
                <w:szCs w:val="22"/>
              </w:rPr>
            </w:pPr>
          </w:p>
        </w:tc>
      </w:tr>
      <w:tr w:rsidR="00240BCC" w:rsidRPr="00F4305D" w14:paraId="2E8E4F01" w14:textId="77777777" w:rsidTr="00FB3DF7">
        <w:tc>
          <w:tcPr>
            <w:tcW w:w="0" w:type="auto"/>
          </w:tcPr>
          <w:p w14:paraId="3ECB36F0" w14:textId="436F7DAC" w:rsidR="00240BCC" w:rsidRPr="00F4305D" w:rsidRDefault="00240BCC" w:rsidP="00FB3DF7">
            <w:pPr>
              <w:rPr>
                <w:rFonts w:hAnsi="Times New Roman" w:cs="Times New Roman"/>
                <w:sz w:val="22"/>
                <w:szCs w:val="22"/>
              </w:rPr>
            </w:pPr>
            <w:r>
              <w:rPr>
                <w:rFonts w:hAnsi="Times New Roman" w:cs="Times New Roman"/>
                <w:sz w:val="22"/>
                <w:szCs w:val="22"/>
              </w:rPr>
              <w:t>9.</w:t>
            </w:r>
          </w:p>
        </w:tc>
        <w:tc>
          <w:tcPr>
            <w:tcW w:w="3478" w:type="dxa"/>
          </w:tcPr>
          <w:p w14:paraId="15077746" w14:textId="416F8B7C" w:rsidR="00240BCC" w:rsidRPr="00240BCC" w:rsidRDefault="00240BCC" w:rsidP="00FB3DF7">
            <w:pPr>
              <w:rPr>
                <w:rFonts w:hAnsi="Times New Roman" w:cs="Times New Roman"/>
              </w:rPr>
            </w:pPr>
          </w:p>
        </w:tc>
        <w:tc>
          <w:tcPr>
            <w:tcW w:w="1020" w:type="dxa"/>
          </w:tcPr>
          <w:p w14:paraId="5A7762FD" w14:textId="77777777" w:rsidR="00240BCC" w:rsidRPr="00F4305D" w:rsidRDefault="00240BCC" w:rsidP="00FB3DF7">
            <w:pPr>
              <w:rPr>
                <w:rFonts w:hAnsi="Times New Roman" w:cs="Times New Roman"/>
                <w:sz w:val="22"/>
                <w:szCs w:val="22"/>
              </w:rPr>
            </w:pPr>
          </w:p>
        </w:tc>
        <w:tc>
          <w:tcPr>
            <w:tcW w:w="0" w:type="auto"/>
          </w:tcPr>
          <w:p w14:paraId="311D6458" w14:textId="77777777" w:rsidR="00240BCC" w:rsidRPr="00F4305D" w:rsidRDefault="00240BCC" w:rsidP="00FB3DF7">
            <w:pPr>
              <w:rPr>
                <w:rFonts w:hAnsi="Times New Roman" w:cs="Times New Roman"/>
                <w:sz w:val="22"/>
                <w:szCs w:val="22"/>
              </w:rPr>
            </w:pPr>
          </w:p>
        </w:tc>
        <w:tc>
          <w:tcPr>
            <w:tcW w:w="0" w:type="auto"/>
          </w:tcPr>
          <w:p w14:paraId="4F9F550A" w14:textId="77777777" w:rsidR="00240BCC" w:rsidRPr="00F4305D" w:rsidRDefault="00240BCC" w:rsidP="00FB3DF7">
            <w:pPr>
              <w:rPr>
                <w:rFonts w:hAnsi="Times New Roman" w:cs="Times New Roman"/>
                <w:sz w:val="22"/>
                <w:szCs w:val="22"/>
              </w:rPr>
            </w:pPr>
          </w:p>
        </w:tc>
      </w:tr>
      <w:tr w:rsidR="00680FA4" w:rsidRPr="00F4305D" w14:paraId="170D2314" w14:textId="77777777" w:rsidTr="00FB3DF7">
        <w:tc>
          <w:tcPr>
            <w:tcW w:w="0" w:type="auto"/>
          </w:tcPr>
          <w:p w14:paraId="43801189" w14:textId="2D9DF15C" w:rsidR="00680FA4" w:rsidRPr="00F4305D" w:rsidRDefault="00240BCC" w:rsidP="00FB3DF7">
            <w:pPr>
              <w:rPr>
                <w:rFonts w:hAnsi="Times New Roman" w:cs="Times New Roman"/>
                <w:sz w:val="22"/>
                <w:szCs w:val="22"/>
                <w:lang w:val="en-US"/>
              </w:rPr>
            </w:pPr>
            <w:r>
              <w:rPr>
                <w:rFonts w:hAnsi="Times New Roman" w:cs="Times New Roman"/>
                <w:sz w:val="22"/>
                <w:szCs w:val="22"/>
                <w:lang w:val="en-US"/>
              </w:rPr>
              <w:t>10.</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 xml:space="preserve">pasiūlymas galioja pirkimo sąlygų </w:t>
      </w:r>
      <w:r w:rsidRPr="00F4305D">
        <w:rPr>
          <w:rFonts w:ascii="Times New Roman" w:hAnsi="Times New Roman" w:cs="Times New Roman"/>
          <w:color w:val="000000" w:themeColor="text1"/>
        </w:rPr>
        <w:t>„Terminai“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6"/>
  </w:num>
  <w:num w:numId="2" w16cid:durableId="1559972700">
    <w:abstractNumId w:val="0"/>
  </w:num>
  <w:num w:numId="3" w16cid:durableId="752162563">
    <w:abstractNumId w:val="5"/>
  </w:num>
  <w:num w:numId="4" w16cid:durableId="1249969690">
    <w:abstractNumId w:val="8"/>
  </w:num>
  <w:num w:numId="5" w16cid:durableId="1925723814">
    <w:abstractNumId w:val="3"/>
  </w:num>
  <w:num w:numId="6" w16cid:durableId="824976583">
    <w:abstractNumId w:val="2"/>
  </w:num>
  <w:num w:numId="7" w16cid:durableId="226113631">
    <w:abstractNumId w:val="1"/>
  </w:num>
  <w:num w:numId="8" w16cid:durableId="717168034">
    <w:abstractNumId w:val="7"/>
  </w:num>
  <w:num w:numId="9" w16cid:durableId="44643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470C7"/>
    <w:rsid w:val="00104363"/>
    <w:rsid w:val="001A2650"/>
    <w:rsid w:val="00240BCC"/>
    <w:rsid w:val="002F7C07"/>
    <w:rsid w:val="00350A21"/>
    <w:rsid w:val="003B568D"/>
    <w:rsid w:val="00432561"/>
    <w:rsid w:val="0044776B"/>
    <w:rsid w:val="004B65DB"/>
    <w:rsid w:val="004E7E9A"/>
    <w:rsid w:val="005704E1"/>
    <w:rsid w:val="005743DF"/>
    <w:rsid w:val="005752B5"/>
    <w:rsid w:val="00580B09"/>
    <w:rsid w:val="00680FA4"/>
    <w:rsid w:val="0068732A"/>
    <w:rsid w:val="006D07F8"/>
    <w:rsid w:val="00701E5F"/>
    <w:rsid w:val="00813ACE"/>
    <w:rsid w:val="00835739"/>
    <w:rsid w:val="008E4FCC"/>
    <w:rsid w:val="008F714D"/>
    <w:rsid w:val="009D1302"/>
    <w:rsid w:val="00A87EC1"/>
    <w:rsid w:val="00AA7379"/>
    <w:rsid w:val="00AB0A5E"/>
    <w:rsid w:val="00B54157"/>
    <w:rsid w:val="00BD61F0"/>
    <w:rsid w:val="00BE1C5F"/>
    <w:rsid w:val="00D03182"/>
    <w:rsid w:val="00D56070"/>
    <w:rsid w:val="00D570F6"/>
    <w:rsid w:val="00E63DD2"/>
    <w:rsid w:val="00F67608"/>
    <w:rsid w:val="00FA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A2650"/>
    <w:rsid w:val="00253391"/>
    <w:rsid w:val="002F7C07"/>
    <w:rsid w:val="0034201F"/>
    <w:rsid w:val="00350A21"/>
    <w:rsid w:val="0044776B"/>
    <w:rsid w:val="004E7E9A"/>
    <w:rsid w:val="005007EC"/>
    <w:rsid w:val="00660084"/>
    <w:rsid w:val="0068732A"/>
    <w:rsid w:val="006D07F8"/>
    <w:rsid w:val="007D0FD1"/>
    <w:rsid w:val="00813ACE"/>
    <w:rsid w:val="00897564"/>
    <w:rsid w:val="00A1149B"/>
    <w:rsid w:val="00A87EC1"/>
    <w:rsid w:val="00BE4819"/>
    <w:rsid w:val="00C331B6"/>
    <w:rsid w:val="00D71D19"/>
    <w:rsid w:val="00DB22CE"/>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17</cp:revision>
  <dcterms:created xsi:type="dcterms:W3CDTF">2024-07-04T12:16:00Z</dcterms:created>
  <dcterms:modified xsi:type="dcterms:W3CDTF">2026-01-25T19:24:00Z</dcterms:modified>
</cp:coreProperties>
</file>