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77777777" w:rsidR="00B817BC" w:rsidRPr="00B817BC" w:rsidRDefault="00B817BC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B656EC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B817BC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27468DD7" w:rsidR="00B817BC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="00CA567F">
        <w:rPr>
          <w:rFonts w:ascii="Times New Roman" w:eastAsia="Times New Roman" w:hAnsi="Times New Roman" w:cs="Times New Roman"/>
          <w:color w:val="000000"/>
        </w:rPr>
        <w:t>K</w:t>
      </w:r>
      <w:r w:rsidRPr="00B817BC">
        <w:rPr>
          <w:rFonts w:ascii="Times New Roman" w:eastAsia="Times New Roman" w:hAnsi="Times New Roman" w:cs="Times New Roman"/>
          <w:color w:val="000000"/>
        </w:rPr>
        <w:t xml:space="preserve">) – </w:t>
      </w:r>
      <w:r w:rsidR="007D695F">
        <w:rPr>
          <w:rFonts w:ascii="Times New Roman" w:eastAsia="Times New Roman" w:hAnsi="Times New Roman" w:cs="Times New Roman"/>
          <w:color w:val="000000"/>
        </w:rPr>
        <w:t>5</w:t>
      </w:r>
      <w:r w:rsidR="00A50114">
        <w:rPr>
          <w:rFonts w:ascii="Times New Roman" w:eastAsia="Times New Roman" w:hAnsi="Times New Roman" w:cs="Times New Roman"/>
          <w:color w:val="000000"/>
        </w:rPr>
        <w:t>0</w:t>
      </w:r>
      <w:r w:rsidRPr="00B817BC">
        <w:rPr>
          <w:rFonts w:ascii="Times New Roman" w:eastAsia="Times New Roman" w:hAnsi="Times New Roman" w:cs="Times New Roman"/>
          <w:color w:val="000000"/>
        </w:rPr>
        <w:t>;</w:t>
      </w:r>
    </w:p>
    <w:p w14:paraId="341DEFFD" w14:textId="45ABD01A" w:rsidR="00CA567F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) </w:t>
      </w:r>
      <w:r w:rsidR="00A50114">
        <w:rPr>
          <w:rFonts w:ascii="Times New Roman" w:eastAsia="Times New Roman" w:hAnsi="Times New Roman" w:cs="Times New Roman"/>
          <w:color w:val="000000"/>
        </w:rPr>
        <w:t>techniniai</w:t>
      </w:r>
      <w:r w:rsidR="00B65104">
        <w:rPr>
          <w:rFonts w:ascii="Times New Roman" w:eastAsia="Times New Roman" w:hAnsi="Times New Roman" w:cs="Times New Roman"/>
          <w:color w:val="000000"/>
        </w:rPr>
        <w:t xml:space="preserve"> reikalavimai 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 (</w:t>
      </w:r>
      <w:r w:rsidR="009C0631">
        <w:rPr>
          <w:rFonts w:ascii="Times New Roman" w:eastAsia="Times New Roman" w:hAnsi="Times New Roman" w:cs="Times New Roman"/>
          <w:color w:val="000000"/>
        </w:rPr>
        <w:t xml:space="preserve">T) – </w:t>
      </w:r>
      <w:r w:rsidR="007D695F">
        <w:rPr>
          <w:rFonts w:ascii="Times New Roman" w:eastAsia="Times New Roman" w:hAnsi="Times New Roman" w:cs="Times New Roman"/>
          <w:color w:val="000000"/>
        </w:rPr>
        <w:t>5</w:t>
      </w:r>
      <w:r w:rsidR="00A50114">
        <w:rPr>
          <w:rFonts w:ascii="Times New Roman" w:eastAsia="Times New Roman" w:hAnsi="Times New Roman" w:cs="Times New Roman"/>
          <w:color w:val="000000"/>
        </w:rPr>
        <w:t>0</w:t>
      </w:r>
      <w:r w:rsidR="00CA567F">
        <w:rPr>
          <w:rFonts w:ascii="Times New Roman" w:eastAsia="Times New Roman" w:hAnsi="Times New Roman" w:cs="Times New Roman"/>
          <w:color w:val="000000"/>
        </w:rPr>
        <w:t>;</w:t>
      </w:r>
    </w:p>
    <w:p w14:paraId="11D34F29" w14:textId="77777777" w:rsidR="00F966C4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B817BC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3"/>
        <w:gridCol w:w="1275"/>
        <w:gridCol w:w="1560"/>
        <w:gridCol w:w="2131"/>
      </w:tblGrid>
      <w:tr w:rsidR="00B817BC" w:rsidRPr="00B817BC" w14:paraId="601A4EF9" w14:textId="77777777" w:rsidTr="00292E1D">
        <w:trPr>
          <w:trHeight w:val="846"/>
          <w:jc w:val="center"/>
        </w:trPr>
        <w:tc>
          <w:tcPr>
            <w:tcW w:w="7366" w:type="dxa"/>
            <w:gridSpan w:val="3"/>
            <w:shd w:val="clear" w:color="auto" w:fill="D9D9D9"/>
            <w:vAlign w:val="center"/>
          </w:tcPr>
          <w:p w14:paraId="77D87A2D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6D4011D" w14:textId="77777777" w:rsidR="00B817BC" w:rsidRPr="00B817BC" w:rsidRDefault="00DA6CC8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="00B817BC"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4E3B9D9C" w14:textId="77777777" w:rsidR="00B817BC" w:rsidRPr="00B817BC" w:rsidRDefault="00B817BC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B817BC" w:rsidRPr="00B817BC" w14:paraId="7D03D454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6C549679" w14:textId="0382B65B" w:rsidR="00B817BC" w:rsidRPr="00B817BC" w:rsidRDefault="00B817BC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 w:rsidR="00CA567F"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041D8F01" w14:textId="2898D9B8" w:rsidR="00B817BC" w:rsidRPr="00B817BC" w:rsidRDefault="00EC229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 w:rsidR="007D695F">
              <w:rPr>
                <w:rFonts w:ascii="Times New Roman" w:eastAsia="Times New Roman" w:hAnsi="Times New Roman" w:cs="Times New Roman"/>
                <w:b/>
              </w:rPr>
              <w:t>5</w:t>
            </w:r>
            <w:r w:rsidR="00FA748B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CA567F" w:rsidRPr="00B817BC" w14:paraId="672C13B9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42D3478C" w14:textId="3B665A18" w:rsidR="00CA567F" w:rsidRPr="00CA567F" w:rsidRDefault="00A50114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</w:t>
            </w:r>
            <w:r w:rsidR="007C78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reikalavimai 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3E6C98BB" w14:textId="16A5B8CD" w:rsidR="00CA567F" w:rsidRPr="00CA567F" w:rsidRDefault="007C786C" w:rsidP="009D1FAA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 w:rsidR="00CA567F"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7D695F">
              <w:rPr>
                <w:rFonts w:ascii="Times New Roman" w:eastAsia="Times New Roman" w:hAnsi="Times New Roman" w:cs="Times New Roman"/>
                <w:b/>
                <w:lang w:val="en-GB"/>
              </w:rPr>
              <w:t>5</w:t>
            </w:r>
            <w:r w:rsidR="00A50114">
              <w:rPr>
                <w:rFonts w:ascii="Times New Roman" w:eastAsia="Times New Roman" w:hAnsi="Times New Roman" w:cs="Times New Roman"/>
                <w:b/>
                <w:lang w:val="en-GB"/>
              </w:rPr>
              <w:t>0</w:t>
            </w:r>
          </w:p>
        </w:tc>
      </w:tr>
      <w:tr w:rsidR="00B817BC" w:rsidRPr="00B817BC" w14:paraId="126C903F" w14:textId="77777777" w:rsidTr="00292E1D">
        <w:trPr>
          <w:jc w:val="center"/>
        </w:trPr>
        <w:tc>
          <w:tcPr>
            <w:tcW w:w="568" w:type="dxa"/>
          </w:tcPr>
          <w:p w14:paraId="7328D00E" w14:textId="77777777" w:rsidR="00B817BC" w:rsidRPr="00B817BC" w:rsidRDefault="00B817BC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 w:rsidR="00DA6CC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523" w:type="dxa"/>
            <w:vAlign w:val="center"/>
          </w:tcPr>
          <w:p w14:paraId="7FC293EE" w14:textId="66AF32BD" w:rsidR="00B817BC" w:rsidRPr="00B817BC" w:rsidRDefault="00331CD1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1275" w:type="dxa"/>
            <w:vAlign w:val="center"/>
          </w:tcPr>
          <w:p w14:paraId="66B2128F" w14:textId="529FE5FC" w:rsidR="00B817BC" w:rsidRPr="00B817BC" w:rsidRDefault="001E2851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200F5A">
              <w:rPr>
                <w:rFonts w:ascii="Times New Roman" w:eastAsia="Times New Roman" w:hAnsi="Times New Roman" w:cs="Times New Roman"/>
                <w:b/>
              </w:rPr>
              <w:t>Metodas</w:t>
            </w:r>
          </w:p>
        </w:tc>
        <w:tc>
          <w:tcPr>
            <w:tcW w:w="1560" w:type="dxa"/>
          </w:tcPr>
          <w:p w14:paraId="587EF6F4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31" w:type="dxa"/>
          </w:tcPr>
          <w:p w14:paraId="19D4C3E9" w14:textId="0D027AB0" w:rsidR="00B817BC" w:rsidRPr="00B817BC" w:rsidRDefault="00630B8A" w:rsidP="00292E1D">
            <w:pPr>
              <w:spacing w:after="0"/>
              <w:ind w:right="-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D64F2D" w:rsidRPr="00B817BC" w14:paraId="7FA4E02F" w14:textId="77777777" w:rsidTr="00D64F2D">
        <w:trPr>
          <w:trHeight w:val="57"/>
          <w:jc w:val="center"/>
        </w:trPr>
        <w:tc>
          <w:tcPr>
            <w:tcW w:w="568" w:type="dxa"/>
            <w:vAlign w:val="center"/>
          </w:tcPr>
          <w:p w14:paraId="69E6891E" w14:textId="1C2506C4" w:rsidR="00D64F2D" w:rsidRPr="00B817BC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5523" w:type="dxa"/>
            <w:vAlign w:val="center"/>
          </w:tcPr>
          <w:p w14:paraId="1442269C" w14:textId="224C73C2" w:rsidR="00D64F2D" w:rsidRPr="00D17979" w:rsidRDefault="00384099" w:rsidP="00D64F2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Aparatas naudojamas su paramagnetiniu arba lygiaverčiu deguonies jutikli</w:t>
            </w:r>
            <w:r w:rsidR="009A5F36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8CFF195" w14:textId="2D389697" w:rsidR="00D64F2D" w:rsidRPr="00200F5A" w:rsidRDefault="00D64F2D" w:rsidP="00D64F2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C73C2D5" w14:textId="3013A01A" w:rsidR="00D64F2D" w:rsidRPr="00D17979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66EC8D99" w14:textId="77777777" w:rsidR="00D64F2D" w:rsidRDefault="000C5F68" w:rsidP="00D64F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30066030" w14:textId="2758224B" w:rsidR="000C5F68" w:rsidRPr="00B817BC" w:rsidRDefault="000C5F68" w:rsidP="00D64F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  <w:tr w:rsidR="00D64F2D" w:rsidRPr="00B817BC" w14:paraId="6F41D7BC" w14:textId="77777777" w:rsidTr="00D64F2D">
        <w:trPr>
          <w:trHeight w:val="571"/>
          <w:jc w:val="center"/>
        </w:trPr>
        <w:tc>
          <w:tcPr>
            <w:tcW w:w="568" w:type="dxa"/>
            <w:vAlign w:val="center"/>
          </w:tcPr>
          <w:p w14:paraId="7339679A" w14:textId="5EADD835" w:rsidR="00D64F2D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5523" w:type="dxa"/>
            <w:vAlign w:val="center"/>
          </w:tcPr>
          <w:p w14:paraId="4BC47EA2" w14:textId="77777777" w:rsidR="00384099" w:rsidRPr="00384099" w:rsidRDefault="00384099" w:rsidP="00384099">
            <w:pPr>
              <w:pStyle w:val="NoSpacing"/>
              <w:rPr>
                <w:rFonts w:ascii="Times New Roman" w:hAnsi="Times New Roman" w:cs="Times New Roman"/>
                <w:lang w:val="pt-BR"/>
              </w:rPr>
            </w:pPr>
            <w:r w:rsidRPr="00384099">
              <w:rPr>
                <w:rFonts w:ascii="Times New Roman" w:hAnsi="Times New Roman" w:cs="Times New Roman"/>
                <w:lang w:val="pt-BR"/>
              </w:rPr>
              <w:t>Automatinė betrigerinė paciento ir aparato įkvėpimo</w:t>
            </w:r>
          </w:p>
          <w:p w14:paraId="03A1ADCC" w14:textId="4C3AF41A" w:rsidR="00D64F2D" w:rsidRPr="00D17979" w:rsidRDefault="00384099" w:rsidP="00384099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384099">
              <w:rPr>
                <w:rFonts w:ascii="Times New Roman" w:hAnsi="Times New Roman" w:cs="Times New Roman"/>
                <w:lang w:val="en-US"/>
              </w:rPr>
              <w:t>bei</w:t>
            </w:r>
            <w:proofErr w:type="spellEnd"/>
            <w:r w:rsidRPr="003840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84099">
              <w:rPr>
                <w:rFonts w:ascii="Times New Roman" w:hAnsi="Times New Roman" w:cs="Times New Roman"/>
                <w:lang w:val="en-US"/>
              </w:rPr>
              <w:t>iškvėpimo</w:t>
            </w:r>
            <w:proofErr w:type="spellEnd"/>
            <w:r w:rsidRPr="003840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84099">
              <w:rPr>
                <w:rFonts w:ascii="Times New Roman" w:hAnsi="Times New Roman" w:cs="Times New Roman"/>
                <w:lang w:val="en-US"/>
              </w:rPr>
              <w:t>sinchronizacija</w:t>
            </w:r>
            <w:proofErr w:type="spellEnd"/>
            <w:r w:rsidR="00D64F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vAlign w:val="center"/>
          </w:tcPr>
          <w:p w14:paraId="6C9525C7" w14:textId="6C52C1D8" w:rsidR="00D64F2D" w:rsidRPr="00200F5A" w:rsidRDefault="00D64F2D" w:rsidP="00D64F2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0D725C0" w14:textId="3AE53A8C" w:rsidR="00D64F2D" w:rsidRPr="00D17979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</w:t>
            </w:r>
            <w:r w:rsidR="009146F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31" w:type="dxa"/>
            <w:vAlign w:val="center"/>
          </w:tcPr>
          <w:p w14:paraId="4089CCB7" w14:textId="77777777" w:rsidR="000C5F68" w:rsidRDefault="000C5F68" w:rsidP="000C5F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48D0044D" w14:textId="017F6E76" w:rsidR="00D64F2D" w:rsidRPr="00756561" w:rsidRDefault="000C5F68" w:rsidP="000C5F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  <w:tr w:rsidR="00D64F2D" w:rsidRPr="00B817BC" w14:paraId="145487E6" w14:textId="77777777" w:rsidTr="00D64F2D">
        <w:trPr>
          <w:trHeight w:val="571"/>
          <w:jc w:val="center"/>
        </w:trPr>
        <w:tc>
          <w:tcPr>
            <w:tcW w:w="568" w:type="dxa"/>
            <w:vAlign w:val="center"/>
          </w:tcPr>
          <w:p w14:paraId="694D502E" w14:textId="2CB5DE88" w:rsidR="00D64F2D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</w:tc>
        <w:tc>
          <w:tcPr>
            <w:tcW w:w="5523" w:type="dxa"/>
            <w:vAlign w:val="center"/>
          </w:tcPr>
          <w:p w14:paraId="5609EE3E" w14:textId="5DE3D4B6" w:rsidR="00D64F2D" w:rsidRPr="00D17979" w:rsidRDefault="00384099" w:rsidP="00D64F2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Vartotojo sąsaja lietuvių kalba</w:t>
            </w:r>
          </w:p>
        </w:tc>
        <w:tc>
          <w:tcPr>
            <w:tcW w:w="1275" w:type="dxa"/>
            <w:vAlign w:val="center"/>
          </w:tcPr>
          <w:p w14:paraId="5605B230" w14:textId="587724FA" w:rsidR="00D64F2D" w:rsidRPr="00200F5A" w:rsidRDefault="00D64F2D" w:rsidP="00D64F2D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391CA55" w14:textId="023B1532" w:rsidR="00D64F2D" w:rsidRPr="00D17979" w:rsidRDefault="00D64F2D" w:rsidP="00D64F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</w:t>
            </w:r>
            <w:r w:rsidR="00E20F7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31" w:type="dxa"/>
            <w:vAlign w:val="center"/>
          </w:tcPr>
          <w:p w14:paraId="10BD6083" w14:textId="77777777" w:rsidR="000C5F68" w:rsidRDefault="000C5F68" w:rsidP="000C5F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7B0BF21F" w14:textId="4C2C4B8B" w:rsidR="00D64F2D" w:rsidRPr="00756561" w:rsidRDefault="000C5F68" w:rsidP="000C5F6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  <w:tr w:rsidR="00E20F7C" w:rsidRPr="00B817BC" w14:paraId="38F7C77F" w14:textId="77777777" w:rsidTr="00D64F2D">
        <w:trPr>
          <w:trHeight w:val="571"/>
          <w:jc w:val="center"/>
        </w:trPr>
        <w:tc>
          <w:tcPr>
            <w:tcW w:w="568" w:type="dxa"/>
            <w:vAlign w:val="center"/>
          </w:tcPr>
          <w:p w14:paraId="30A0D034" w14:textId="006FB1CC" w:rsidR="00E20F7C" w:rsidRDefault="00E20F7C" w:rsidP="00E20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</w:p>
        </w:tc>
        <w:tc>
          <w:tcPr>
            <w:tcW w:w="5523" w:type="dxa"/>
            <w:vAlign w:val="center"/>
          </w:tcPr>
          <w:p w14:paraId="2460157D" w14:textId="20D27B0F" w:rsidR="00E20F7C" w:rsidRDefault="00E20F7C" w:rsidP="00E20F7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Integruotai turbinai taikoma visam eksploatavimo laikotarpiui garantija</w:t>
            </w:r>
          </w:p>
        </w:tc>
        <w:tc>
          <w:tcPr>
            <w:tcW w:w="1275" w:type="dxa"/>
            <w:vAlign w:val="center"/>
          </w:tcPr>
          <w:p w14:paraId="1525118A" w14:textId="42D5933D" w:rsidR="00E20F7C" w:rsidRPr="00481FED" w:rsidRDefault="00E20F7C" w:rsidP="00E20F7C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4A1E864B" w14:textId="3C2A74AB" w:rsidR="00E20F7C" w:rsidRPr="00D17979" w:rsidRDefault="00E20F7C" w:rsidP="00E20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</w:t>
            </w:r>
            <w:r w:rsidR="009146F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131" w:type="dxa"/>
            <w:vAlign w:val="center"/>
          </w:tcPr>
          <w:p w14:paraId="256C1326" w14:textId="77777777" w:rsidR="00E20F7C" w:rsidRDefault="00E20F7C" w:rsidP="00E20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1012B6B4" w14:textId="3E275E30" w:rsidR="00E20F7C" w:rsidRDefault="00E20F7C" w:rsidP="00E20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  <w:tr w:rsidR="00E20F7C" w:rsidRPr="00B817BC" w14:paraId="38E91E4C" w14:textId="77777777" w:rsidTr="00D64F2D">
        <w:trPr>
          <w:trHeight w:val="571"/>
          <w:jc w:val="center"/>
        </w:trPr>
        <w:tc>
          <w:tcPr>
            <w:tcW w:w="568" w:type="dxa"/>
            <w:vAlign w:val="center"/>
          </w:tcPr>
          <w:p w14:paraId="4B65C694" w14:textId="3F5EF9DC" w:rsidR="00E20F7C" w:rsidRDefault="00E20F7C" w:rsidP="00E20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</w:p>
        </w:tc>
        <w:tc>
          <w:tcPr>
            <w:tcW w:w="5523" w:type="dxa"/>
            <w:vAlign w:val="center"/>
          </w:tcPr>
          <w:p w14:paraId="1A7FE86B" w14:textId="6FB2DFB0" w:rsidR="00E20F7C" w:rsidRDefault="00E20F7C" w:rsidP="00E20F7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Veido kaukės adaptacijos funkcija</w:t>
            </w:r>
          </w:p>
        </w:tc>
        <w:tc>
          <w:tcPr>
            <w:tcW w:w="1275" w:type="dxa"/>
            <w:vAlign w:val="center"/>
          </w:tcPr>
          <w:p w14:paraId="380423BE" w14:textId="167E6168" w:rsidR="00E20F7C" w:rsidRPr="00481FED" w:rsidRDefault="00E20F7C" w:rsidP="00E20F7C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11DC05D2" w14:textId="7D7237E4" w:rsidR="00E20F7C" w:rsidRPr="00D17979" w:rsidRDefault="00E20F7C" w:rsidP="00E20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2131" w:type="dxa"/>
            <w:vAlign w:val="center"/>
          </w:tcPr>
          <w:p w14:paraId="075538EC" w14:textId="77777777" w:rsidR="00E20F7C" w:rsidRDefault="00E20F7C" w:rsidP="00E20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40D7FBF1" w14:textId="6B757545" w:rsidR="00E20F7C" w:rsidRDefault="00E20F7C" w:rsidP="00E20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  <w:tr w:rsidR="00E20F7C" w:rsidRPr="00B817BC" w14:paraId="6782FC24" w14:textId="77777777" w:rsidTr="00D64F2D">
        <w:trPr>
          <w:trHeight w:val="571"/>
          <w:jc w:val="center"/>
        </w:trPr>
        <w:tc>
          <w:tcPr>
            <w:tcW w:w="568" w:type="dxa"/>
            <w:vAlign w:val="center"/>
          </w:tcPr>
          <w:p w14:paraId="624B2CC5" w14:textId="6DDC9CC7" w:rsidR="00E20F7C" w:rsidRDefault="00E20F7C" w:rsidP="00E20F7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6</w:t>
            </w:r>
          </w:p>
        </w:tc>
        <w:tc>
          <w:tcPr>
            <w:tcW w:w="5523" w:type="dxa"/>
            <w:vAlign w:val="center"/>
          </w:tcPr>
          <w:p w14:paraId="79016478" w14:textId="77E8F087" w:rsidR="00E20F7C" w:rsidRDefault="00E20F7C" w:rsidP="00E20F7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Automatinis paciento atpratimo nuo aparato po ilgalaikės ventiliacijos režimas, kuris analizuoja paciento kvėpavimo dažnio, vienkartinio tūrio ir etCo2 matavimo reikšmių pokyči</w:t>
            </w:r>
            <w:r w:rsidR="00871A24">
              <w:rPr>
                <w:rFonts w:ascii="Times New Roman" w:hAnsi="Times New Roman" w:cs="Times New Roman"/>
              </w:rPr>
              <w:t>us</w:t>
            </w:r>
            <w:r>
              <w:rPr>
                <w:rFonts w:ascii="Times New Roman" w:hAnsi="Times New Roman" w:cs="Times New Roman"/>
              </w:rPr>
              <w:t xml:space="preserve"> ir atli</w:t>
            </w:r>
            <w:r w:rsidR="00871A24">
              <w:rPr>
                <w:rFonts w:ascii="Times New Roman" w:hAnsi="Times New Roman" w:cs="Times New Roman"/>
              </w:rPr>
              <w:t>kdamas</w:t>
            </w:r>
            <w:r>
              <w:rPr>
                <w:rFonts w:ascii="Times New Roman" w:hAnsi="Times New Roman" w:cs="Times New Roman"/>
              </w:rPr>
              <w:t xml:space="preserve"> savarankiško kvėpavimo testavimą</w:t>
            </w:r>
            <w:r w:rsidR="00871A2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parenka optimalų pastangų savarankiškai kvėpuoti palaikymą slėgiu</w:t>
            </w:r>
          </w:p>
        </w:tc>
        <w:tc>
          <w:tcPr>
            <w:tcW w:w="1275" w:type="dxa"/>
            <w:vAlign w:val="center"/>
          </w:tcPr>
          <w:p w14:paraId="457846CE" w14:textId="096B88E2" w:rsidR="00E20F7C" w:rsidRPr="00481FED" w:rsidRDefault="00E20F7C" w:rsidP="00E20F7C">
            <w:pPr>
              <w:pStyle w:val="NoSpacing"/>
              <w:jc w:val="center"/>
              <w:rPr>
                <w:rFonts w:ascii="Times New Roman" w:eastAsia="Times New Roman" w:hAnsi="Times New Roman" w:cs="Times New Roman"/>
              </w:rPr>
            </w:pPr>
            <w:r w:rsidRPr="00481FED"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32412660" w14:textId="00722B3A" w:rsidR="00E20F7C" w:rsidRPr="00D17979" w:rsidRDefault="00E20F7C" w:rsidP="00E20F7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6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</w:rPr>
              <w:t>0,</w:t>
            </w:r>
            <w:r w:rsidR="009146F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131" w:type="dxa"/>
            <w:vAlign w:val="center"/>
          </w:tcPr>
          <w:p w14:paraId="1420D978" w14:textId="77777777" w:rsidR="00E20F7C" w:rsidRDefault="00E20F7C" w:rsidP="00E20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balas;</w:t>
            </w:r>
          </w:p>
          <w:p w14:paraId="086A0D0A" w14:textId="4B439EBE" w:rsidR="00E20F7C" w:rsidRDefault="00E20F7C" w:rsidP="00E20F7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 – 0 balų;</w:t>
            </w:r>
          </w:p>
        </w:tc>
      </w:tr>
    </w:tbl>
    <w:p w14:paraId="0C7D1617" w14:textId="77777777" w:rsidR="00A50114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B817BC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Default="00F966C4" w:rsidP="00F558EC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t>Pasiūlymo ekonominis naudingumas apskaičiuojamas</w:t>
      </w:r>
      <w:r w:rsidR="000963BB" w:rsidRPr="00F558EC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>
        <w:rPr>
          <w:rFonts w:ascii="Times New Roman" w:eastAsia="Times New Roman" w:hAnsi="Times New Roman" w:cs="Times New Roman"/>
          <w:color w:val="000000"/>
        </w:rPr>
        <w:t xml:space="preserve">pasinaudojus </w:t>
      </w:r>
      <w:r w:rsidR="00A50114">
        <w:rPr>
          <w:rFonts w:ascii="Times New Roman" w:eastAsia="Times New Roman" w:hAnsi="Times New Roman" w:cs="Times New Roman"/>
          <w:color w:val="000000"/>
        </w:rPr>
        <w:t>Telgen (ab</w:t>
      </w:r>
      <w:r w:rsidR="00DA5338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 w:rsidR="000271E3">
        <w:rPr>
          <w:rFonts w:ascii="Times New Roman" w:eastAsia="Times New Roman" w:hAnsi="Times New Roman" w:cs="Times New Roman"/>
          <w:color w:val="000000"/>
        </w:rPr>
        <w:t>e:</w:t>
      </w:r>
    </w:p>
    <w:p w14:paraId="4C71CCA9" w14:textId="447DEB8B" w:rsidR="00F966C4" w:rsidRPr="00F966C4" w:rsidRDefault="00AC3228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>
        <w:rPr>
          <w:rFonts w:ascii="Times New Roman" w:eastAsia="Times New Roman" w:hAnsi="Times New Roman" w:cs="Times New Roman"/>
          <w:color w:val="000000"/>
        </w:rPr>
        <w:t>, kur 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r w:rsidR="00DA5338">
        <w:rPr>
          <w:rFonts w:ascii="Times New Roman" w:eastAsia="Times New Roman" w:hAnsi="Times New Roman" w:cs="Times New Roman"/>
          <w:color w:val="000000"/>
        </w:rPr>
        <w:t xml:space="preserve"> ≠ 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</w:p>
    <w:p w14:paraId="3A661CC5" w14:textId="560A9D9D" w:rsidR="000271E3" w:rsidRPr="000271E3" w:rsidRDefault="00F966C4" w:rsidP="000271E3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t xml:space="preserve">Pasiūlymo 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485E53BE" w:rsidR="000271E3" w:rsidRPr="000271E3" w:rsidRDefault="000271E3" w:rsidP="00A74C2B">
      <w:pPr>
        <w:pStyle w:val="ListParagraph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(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6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 xml:space="preserve">(192000-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48000</m:t>
              </m:r>
            </m:den>
          </m:f>
        </m:oMath>
      </m:oMathPara>
    </w:p>
    <w:p w14:paraId="5F41E58A" w14:textId="507D8295" w:rsidR="00AB65B2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>
        <w:rPr>
          <w:rFonts w:ascii="Times New Roman" w:eastAsia="Times New Roman" w:hAnsi="Times New Roman" w:cs="Times New Roman"/>
          <w:i/>
          <w:iCs/>
          <w:color w:val="00000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PVM</w:t>
      </w:r>
      <w:r w:rsidR="0036148D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17A1CF7" w14:textId="44B5DEDC" w:rsidR="00AB65B2" w:rsidRDefault="00AB65B2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sectPr w:rsidR="00AB65B2" w:rsidSect="00BA726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5FC3" w14:textId="77777777" w:rsidR="00AC3228" w:rsidRDefault="00AC3228" w:rsidP="00A50C96">
      <w:pPr>
        <w:spacing w:after="0" w:line="240" w:lineRule="auto"/>
      </w:pPr>
      <w:r>
        <w:separator/>
      </w:r>
    </w:p>
  </w:endnote>
  <w:endnote w:type="continuationSeparator" w:id="0">
    <w:p w14:paraId="2414BF5D" w14:textId="77777777" w:rsidR="00AC3228" w:rsidRDefault="00AC3228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31F46" w14:textId="77777777" w:rsidR="00AC3228" w:rsidRDefault="00AC3228" w:rsidP="00A50C96">
      <w:pPr>
        <w:spacing w:after="0" w:line="240" w:lineRule="auto"/>
      </w:pPr>
      <w:r>
        <w:separator/>
      </w:r>
    </w:p>
  </w:footnote>
  <w:footnote w:type="continuationSeparator" w:id="0">
    <w:p w14:paraId="7ED0CAF5" w14:textId="77777777" w:rsidR="00AC3228" w:rsidRDefault="00AC3228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9091">
    <w:abstractNumId w:val="1"/>
  </w:num>
  <w:num w:numId="2" w16cid:durableId="1879194268">
    <w:abstractNumId w:val="4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6"/>
    <w:rsid w:val="00006E3F"/>
    <w:rsid w:val="0001729C"/>
    <w:rsid w:val="00020482"/>
    <w:rsid w:val="00020490"/>
    <w:rsid w:val="000271E3"/>
    <w:rsid w:val="000415E5"/>
    <w:rsid w:val="00047C7E"/>
    <w:rsid w:val="0005715B"/>
    <w:rsid w:val="000660EA"/>
    <w:rsid w:val="00072D32"/>
    <w:rsid w:val="00083EFE"/>
    <w:rsid w:val="00084FAC"/>
    <w:rsid w:val="000963BB"/>
    <w:rsid w:val="000B51D1"/>
    <w:rsid w:val="000C392C"/>
    <w:rsid w:val="000C5F68"/>
    <w:rsid w:val="000C7855"/>
    <w:rsid w:val="000D3521"/>
    <w:rsid w:val="000D6B93"/>
    <w:rsid w:val="000D7674"/>
    <w:rsid w:val="000F1757"/>
    <w:rsid w:val="00100DF2"/>
    <w:rsid w:val="00107E74"/>
    <w:rsid w:val="00113721"/>
    <w:rsid w:val="001146A5"/>
    <w:rsid w:val="00117D96"/>
    <w:rsid w:val="00123ABC"/>
    <w:rsid w:val="001251B2"/>
    <w:rsid w:val="001255B5"/>
    <w:rsid w:val="001423D9"/>
    <w:rsid w:val="00161567"/>
    <w:rsid w:val="00174605"/>
    <w:rsid w:val="00185016"/>
    <w:rsid w:val="00186E10"/>
    <w:rsid w:val="00196721"/>
    <w:rsid w:val="001A229C"/>
    <w:rsid w:val="001A41AF"/>
    <w:rsid w:val="001A634F"/>
    <w:rsid w:val="001C0BFB"/>
    <w:rsid w:val="001C2B3D"/>
    <w:rsid w:val="001C316E"/>
    <w:rsid w:val="001C7201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217BF"/>
    <w:rsid w:val="00222A72"/>
    <w:rsid w:val="00222CD9"/>
    <w:rsid w:val="00223CD4"/>
    <w:rsid w:val="00223ED9"/>
    <w:rsid w:val="00267DE6"/>
    <w:rsid w:val="002704D1"/>
    <w:rsid w:val="0027205B"/>
    <w:rsid w:val="00276136"/>
    <w:rsid w:val="00277F22"/>
    <w:rsid w:val="00282E06"/>
    <w:rsid w:val="002904EF"/>
    <w:rsid w:val="00292AF3"/>
    <w:rsid w:val="00292E1D"/>
    <w:rsid w:val="002A365E"/>
    <w:rsid w:val="002A4AA4"/>
    <w:rsid w:val="002C27C7"/>
    <w:rsid w:val="002C3EB4"/>
    <w:rsid w:val="002C7A47"/>
    <w:rsid w:val="002D15FB"/>
    <w:rsid w:val="002D3BAD"/>
    <w:rsid w:val="002E6E34"/>
    <w:rsid w:val="00325713"/>
    <w:rsid w:val="00331CD1"/>
    <w:rsid w:val="00353731"/>
    <w:rsid w:val="0036148D"/>
    <w:rsid w:val="0036724D"/>
    <w:rsid w:val="00367352"/>
    <w:rsid w:val="00370DF7"/>
    <w:rsid w:val="00384099"/>
    <w:rsid w:val="003A3D07"/>
    <w:rsid w:val="003B1EB8"/>
    <w:rsid w:val="003B698B"/>
    <w:rsid w:val="003C28EC"/>
    <w:rsid w:val="003D0697"/>
    <w:rsid w:val="003D52C3"/>
    <w:rsid w:val="003D7A84"/>
    <w:rsid w:val="003E0F82"/>
    <w:rsid w:val="003E5275"/>
    <w:rsid w:val="003F4FC1"/>
    <w:rsid w:val="00400E1A"/>
    <w:rsid w:val="00401717"/>
    <w:rsid w:val="004152D7"/>
    <w:rsid w:val="00423150"/>
    <w:rsid w:val="00433303"/>
    <w:rsid w:val="00435B81"/>
    <w:rsid w:val="00444352"/>
    <w:rsid w:val="0045014E"/>
    <w:rsid w:val="00454C2C"/>
    <w:rsid w:val="00474297"/>
    <w:rsid w:val="00481896"/>
    <w:rsid w:val="00484659"/>
    <w:rsid w:val="00492D6F"/>
    <w:rsid w:val="00497226"/>
    <w:rsid w:val="004A57FB"/>
    <w:rsid w:val="004B0339"/>
    <w:rsid w:val="004B2F6E"/>
    <w:rsid w:val="004B4035"/>
    <w:rsid w:val="004C02D8"/>
    <w:rsid w:val="004C0CC5"/>
    <w:rsid w:val="004D6FFB"/>
    <w:rsid w:val="004E2720"/>
    <w:rsid w:val="004E61A7"/>
    <w:rsid w:val="004E6474"/>
    <w:rsid w:val="004E75DC"/>
    <w:rsid w:val="004F3A2E"/>
    <w:rsid w:val="00501DB8"/>
    <w:rsid w:val="00507C68"/>
    <w:rsid w:val="00511B2C"/>
    <w:rsid w:val="0051280A"/>
    <w:rsid w:val="00512C52"/>
    <w:rsid w:val="0054087C"/>
    <w:rsid w:val="00544024"/>
    <w:rsid w:val="00566093"/>
    <w:rsid w:val="00584DD8"/>
    <w:rsid w:val="005977D5"/>
    <w:rsid w:val="005A527E"/>
    <w:rsid w:val="005A6F7D"/>
    <w:rsid w:val="005B3901"/>
    <w:rsid w:val="005D22F0"/>
    <w:rsid w:val="005D3427"/>
    <w:rsid w:val="005E19B3"/>
    <w:rsid w:val="005E5279"/>
    <w:rsid w:val="005F0352"/>
    <w:rsid w:val="005F0572"/>
    <w:rsid w:val="005F2AB4"/>
    <w:rsid w:val="005F4A4C"/>
    <w:rsid w:val="005F721F"/>
    <w:rsid w:val="00602E54"/>
    <w:rsid w:val="006034FB"/>
    <w:rsid w:val="00615971"/>
    <w:rsid w:val="00616351"/>
    <w:rsid w:val="00624697"/>
    <w:rsid w:val="00630B8A"/>
    <w:rsid w:val="006416B1"/>
    <w:rsid w:val="00644CFF"/>
    <w:rsid w:val="00651A45"/>
    <w:rsid w:val="00651AD8"/>
    <w:rsid w:val="00652A1F"/>
    <w:rsid w:val="006532C6"/>
    <w:rsid w:val="0066736C"/>
    <w:rsid w:val="00683CBF"/>
    <w:rsid w:val="006915A2"/>
    <w:rsid w:val="00694973"/>
    <w:rsid w:val="00696ED2"/>
    <w:rsid w:val="006B452B"/>
    <w:rsid w:val="006C2A35"/>
    <w:rsid w:val="006C30A9"/>
    <w:rsid w:val="006D515C"/>
    <w:rsid w:val="006D54D6"/>
    <w:rsid w:val="006E1A1E"/>
    <w:rsid w:val="006F4850"/>
    <w:rsid w:val="00701527"/>
    <w:rsid w:val="00702AFB"/>
    <w:rsid w:val="00723D1B"/>
    <w:rsid w:val="00732BC2"/>
    <w:rsid w:val="00737E0F"/>
    <w:rsid w:val="0074081C"/>
    <w:rsid w:val="00740BFB"/>
    <w:rsid w:val="00743ED6"/>
    <w:rsid w:val="00745324"/>
    <w:rsid w:val="00756561"/>
    <w:rsid w:val="0076306C"/>
    <w:rsid w:val="00784FBC"/>
    <w:rsid w:val="0078751B"/>
    <w:rsid w:val="007A3213"/>
    <w:rsid w:val="007A4045"/>
    <w:rsid w:val="007B0391"/>
    <w:rsid w:val="007B6153"/>
    <w:rsid w:val="007C153E"/>
    <w:rsid w:val="007C786C"/>
    <w:rsid w:val="007D695F"/>
    <w:rsid w:val="007E71BA"/>
    <w:rsid w:val="007F18A4"/>
    <w:rsid w:val="00802DC2"/>
    <w:rsid w:val="00813752"/>
    <w:rsid w:val="008144D0"/>
    <w:rsid w:val="00825546"/>
    <w:rsid w:val="00827A1B"/>
    <w:rsid w:val="008329E4"/>
    <w:rsid w:val="00852F95"/>
    <w:rsid w:val="00867472"/>
    <w:rsid w:val="00871A24"/>
    <w:rsid w:val="008771F8"/>
    <w:rsid w:val="008778E8"/>
    <w:rsid w:val="0089771C"/>
    <w:rsid w:val="008A46F5"/>
    <w:rsid w:val="008A70E4"/>
    <w:rsid w:val="008B3472"/>
    <w:rsid w:val="008C28B5"/>
    <w:rsid w:val="008C5BEF"/>
    <w:rsid w:val="008E4A34"/>
    <w:rsid w:val="008E633A"/>
    <w:rsid w:val="008E73BD"/>
    <w:rsid w:val="008F572F"/>
    <w:rsid w:val="00913547"/>
    <w:rsid w:val="009146F3"/>
    <w:rsid w:val="009217D4"/>
    <w:rsid w:val="009255E0"/>
    <w:rsid w:val="00925F06"/>
    <w:rsid w:val="00927B08"/>
    <w:rsid w:val="009320E5"/>
    <w:rsid w:val="00942410"/>
    <w:rsid w:val="009467F9"/>
    <w:rsid w:val="00954B2B"/>
    <w:rsid w:val="00964279"/>
    <w:rsid w:val="0096733B"/>
    <w:rsid w:val="00980B4C"/>
    <w:rsid w:val="00990B60"/>
    <w:rsid w:val="009A5F36"/>
    <w:rsid w:val="009C0631"/>
    <w:rsid w:val="009D1FAA"/>
    <w:rsid w:val="009E59AB"/>
    <w:rsid w:val="009F37C5"/>
    <w:rsid w:val="009F7F9A"/>
    <w:rsid w:val="00A02593"/>
    <w:rsid w:val="00A054D1"/>
    <w:rsid w:val="00A06523"/>
    <w:rsid w:val="00A13DEF"/>
    <w:rsid w:val="00A22306"/>
    <w:rsid w:val="00A32BB8"/>
    <w:rsid w:val="00A372A7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A4E44"/>
    <w:rsid w:val="00AB037F"/>
    <w:rsid w:val="00AB2CA2"/>
    <w:rsid w:val="00AB65B2"/>
    <w:rsid w:val="00AC3228"/>
    <w:rsid w:val="00AC5FF2"/>
    <w:rsid w:val="00AF1DFD"/>
    <w:rsid w:val="00AF3664"/>
    <w:rsid w:val="00AF5211"/>
    <w:rsid w:val="00B018F7"/>
    <w:rsid w:val="00B019A9"/>
    <w:rsid w:val="00B025C0"/>
    <w:rsid w:val="00B231A6"/>
    <w:rsid w:val="00B25DD0"/>
    <w:rsid w:val="00B469FE"/>
    <w:rsid w:val="00B4720E"/>
    <w:rsid w:val="00B65104"/>
    <w:rsid w:val="00B656EC"/>
    <w:rsid w:val="00B7123C"/>
    <w:rsid w:val="00B71A4A"/>
    <w:rsid w:val="00B76416"/>
    <w:rsid w:val="00B77FFE"/>
    <w:rsid w:val="00B817BC"/>
    <w:rsid w:val="00B9241B"/>
    <w:rsid w:val="00B962E6"/>
    <w:rsid w:val="00B96F4B"/>
    <w:rsid w:val="00BA2CCA"/>
    <w:rsid w:val="00BA7269"/>
    <w:rsid w:val="00BC630D"/>
    <w:rsid w:val="00BD1727"/>
    <w:rsid w:val="00BD2412"/>
    <w:rsid w:val="00BD7E47"/>
    <w:rsid w:val="00BE7A31"/>
    <w:rsid w:val="00BF599E"/>
    <w:rsid w:val="00BF5F55"/>
    <w:rsid w:val="00C164C7"/>
    <w:rsid w:val="00C25A4E"/>
    <w:rsid w:val="00C27CF2"/>
    <w:rsid w:val="00C6117C"/>
    <w:rsid w:val="00C61EE5"/>
    <w:rsid w:val="00C716D8"/>
    <w:rsid w:val="00C75C88"/>
    <w:rsid w:val="00CA0CBA"/>
    <w:rsid w:val="00CA40D8"/>
    <w:rsid w:val="00CA4598"/>
    <w:rsid w:val="00CA567F"/>
    <w:rsid w:val="00CA6FAA"/>
    <w:rsid w:val="00CB1269"/>
    <w:rsid w:val="00CB44FC"/>
    <w:rsid w:val="00CD3C27"/>
    <w:rsid w:val="00CD46FF"/>
    <w:rsid w:val="00CE4FFA"/>
    <w:rsid w:val="00CE6705"/>
    <w:rsid w:val="00CE7722"/>
    <w:rsid w:val="00CE7C88"/>
    <w:rsid w:val="00CF7B77"/>
    <w:rsid w:val="00CF7C82"/>
    <w:rsid w:val="00D0298F"/>
    <w:rsid w:val="00D17979"/>
    <w:rsid w:val="00D2446D"/>
    <w:rsid w:val="00D36589"/>
    <w:rsid w:val="00D46D36"/>
    <w:rsid w:val="00D47534"/>
    <w:rsid w:val="00D50138"/>
    <w:rsid w:val="00D502C7"/>
    <w:rsid w:val="00D56B46"/>
    <w:rsid w:val="00D60FF5"/>
    <w:rsid w:val="00D62BC7"/>
    <w:rsid w:val="00D64F2D"/>
    <w:rsid w:val="00D67E34"/>
    <w:rsid w:val="00D775C3"/>
    <w:rsid w:val="00D83E49"/>
    <w:rsid w:val="00D87667"/>
    <w:rsid w:val="00D95598"/>
    <w:rsid w:val="00D976B9"/>
    <w:rsid w:val="00DA5338"/>
    <w:rsid w:val="00DA6CC8"/>
    <w:rsid w:val="00DA777A"/>
    <w:rsid w:val="00DB413D"/>
    <w:rsid w:val="00DC370D"/>
    <w:rsid w:val="00DC3E2A"/>
    <w:rsid w:val="00DD056B"/>
    <w:rsid w:val="00E0372B"/>
    <w:rsid w:val="00E11D6B"/>
    <w:rsid w:val="00E20F7C"/>
    <w:rsid w:val="00E351B3"/>
    <w:rsid w:val="00E45A05"/>
    <w:rsid w:val="00E5222C"/>
    <w:rsid w:val="00E535A1"/>
    <w:rsid w:val="00E5542E"/>
    <w:rsid w:val="00E64649"/>
    <w:rsid w:val="00E7745E"/>
    <w:rsid w:val="00EA44AB"/>
    <w:rsid w:val="00EB0B43"/>
    <w:rsid w:val="00EB7ADA"/>
    <w:rsid w:val="00EC0F38"/>
    <w:rsid w:val="00EC2298"/>
    <w:rsid w:val="00EE4122"/>
    <w:rsid w:val="00EE691D"/>
    <w:rsid w:val="00EE6D06"/>
    <w:rsid w:val="00F0703A"/>
    <w:rsid w:val="00F10A69"/>
    <w:rsid w:val="00F2092D"/>
    <w:rsid w:val="00F26C67"/>
    <w:rsid w:val="00F558EC"/>
    <w:rsid w:val="00F569D4"/>
    <w:rsid w:val="00F6269A"/>
    <w:rsid w:val="00F744E5"/>
    <w:rsid w:val="00F82A32"/>
    <w:rsid w:val="00F82F70"/>
    <w:rsid w:val="00F8363D"/>
    <w:rsid w:val="00F966C4"/>
    <w:rsid w:val="00F97EB3"/>
    <w:rsid w:val="00FA5142"/>
    <w:rsid w:val="00FA748B"/>
    <w:rsid w:val="00FA79FE"/>
    <w:rsid w:val="00FB6DFD"/>
    <w:rsid w:val="00FC76F2"/>
    <w:rsid w:val="00FD58EE"/>
    <w:rsid w:val="00FD5998"/>
    <w:rsid w:val="00FE7699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54A"/>
  <w15:chartTrackingRefBased/>
  <w15:docId w15:val="{0A58CC27-384C-447E-A066-CF22AD6F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50C9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Footer">
    <w:name w:val="footer"/>
    <w:basedOn w:val="Normal"/>
    <w:link w:val="FooterChar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ageNumber">
    <w:name w:val="page number"/>
    <w:basedOn w:val="DefaultParagraphFont"/>
    <w:rsid w:val="00DC370D"/>
  </w:style>
  <w:style w:type="character" w:styleId="PlaceholderText">
    <w:name w:val="Placeholder Text"/>
    <w:basedOn w:val="DefaultParagraphFont"/>
    <w:uiPriority w:val="99"/>
    <w:semiHidden/>
    <w:rsid w:val="00222C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yperlink">
    <w:name w:val="Hyperlink"/>
    <w:basedOn w:val="DefaultParagraphFont"/>
    <w:uiPriority w:val="99"/>
    <w:unhideWhenUsed/>
    <w:rsid w:val="00A52D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1366-D760-4032-BB08-30711663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Žukauskas</dc:creator>
  <cp:keywords/>
  <dc:description/>
  <cp:lastModifiedBy>Gediminas Žukauskas</cp:lastModifiedBy>
  <cp:revision>17</cp:revision>
  <cp:lastPrinted>2024-03-07T07:35:00Z</cp:lastPrinted>
  <dcterms:created xsi:type="dcterms:W3CDTF">2023-03-14T09:05:00Z</dcterms:created>
  <dcterms:modified xsi:type="dcterms:W3CDTF">2026-01-28T07:17:00Z</dcterms:modified>
</cp:coreProperties>
</file>