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B817BC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27468DD7" w:rsidR="00B817BC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>
        <w:rPr>
          <w:rFonts w:ascii="Times New Roman" w:eastAsia="Times New Roman" w:hAnsi="Times New Roman" w:cs="Times New Roman"/>
          <w:color w:val="000000"/>
        </w:rPr>
        <w:t>K</w:t>
      </w:r>
      <w:r w:rsidRPr="00B817BC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7D695F">
        <w:rPr>
          <w:rFonts w:ascii="Times New Roman" w:eastAsia="Times New Roman" w:hAnsi="Times New Roman" w:cs="Times New Roman"/>
          <w:color w:val="000000"/>
        </w:rPr>
        <w:t>5</w:t>
      </w:r>
      <w:r w:rsidR="00A50114">
        <w:rPr>
          <w:rFonts w:ascii="Times New Roman" w:eastAsia="Times New Roman" w:hAnsi="Times New Roman" w:cs="Times New Roman"/>
          <w:color w:val="000000"/>
        </w:rPr>
        <w:t>0</w:t>
      </w:r>
      <w:r w:rsidRPr="00B817BC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45ABD01A" w:rsidR="00CA567F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>
        <w:rPr>
          <w:rFonts w:ascii="Times New Roman" w:eastAsia="Times New Roman" w:hAnsi="Times New Roman" w:cs="Times New Roman"/>
          <w:color w:val="000000"/>
        </w:rPr>
        <w:t>techniniai</w:t>
      </w:r>
      <w:r w:rsidR="00B65104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7D695F">
        <w:rPr>
          <w:rFonts w:ascii="Times New Roman" w:eastAsia="Times New Roman" w:hAnsi="Times New Roman" w:cs="Times New Roman"/>
          <w:color w:val="000000"/>
        </w:rPr>
        <w:t>5</w:t>
      </w:r>
      <w:r w:rsidR="00A50114">
        <w:rPr>
          <w:rFonts w:ascii="Times New Roman" w:eastAsia="Times New Roman" w:hAnsi="Times New Roman" w:cs="Times New Roman"/>
          <w:color w:val="000000"/>
        </w:rPr>
        <w:t>0</w:t>
      </w:r>
      <w:r w:rsidR="00CA567F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3"/>
        <w:gridCol w:w="1275"/>
        <w:gridCol w:w="1560"/>
        <w:gridCol w:w="2131"/>
      </w:tblGrid>
      <w:tr w:rsidR="00B817BC" w:rsidRPr="00B817BC" w14:paraId="601A4EF9" w14:textId="77777777" w:rsidTr="00292E1D">
        <w:trPr>
          <w:trHeight w:val="846"/>
          <w:jc w:val="center"/>
        </w:trPr>
        <w:tc>
          <w:tcPr>
            <w:tcW w:w="7366" w:type="dxa"/>
            <w:gridSpan w:val="3"/>
            <w:shd w:val="clear" w:color="auto" w:fill="D9D9D9"/>
            <w:vAlign w:val="center"/>
          </w:tcPr>
          <w:p w14:paraId="77D87A2D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D4011D" w14:textId="77777777" w:rsidR="00B817BC" w:rsidRPr="00B817BC" w:rsidRDefault="00DA6CC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="00B817BC"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4E3B9D9C" w14:textId="77777777" w:rsidR="00B817BC" w:rsidRPr="00B817BC" w:rsidRDefault="00B817BC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B817BC" w:rsidRPr="00B817BC" w14:paraId="7D03D454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6C549679" w14:textId="0382B65B" w:rsidR="00B817BC" w:rsidRPr="00B817BC" w:rsidRDefault="00B817BC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 w:rsidR="00CA567F"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041D8F01" w14:textId="2898D9B8" w:rsidR="00B817BC" w:rsidRPr="00B817BC" w:rsidRDefault="00EC229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7D695F">
              <w:rPr>
                <w:rFonts w:ascii="Times New Roman" w:eastAsia="Times New Roman" w:hAnsi="Times New Roman" w:cs="Times New Roman"/>
                <w:b/>
              </w:rPr>
              <w:t>5</w:t>
            </w:r>
            <w:r w:rsidR="00FA748B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CA567F" w:rsidRPr="00B817BC" w14:paraId="672C13B9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42D3478C" w14:textId="3B665A18" w:rsidR="00CA567F" w:rsidRPr="00CA567F" w:rsidRDefault="00A50114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</w:t>
            </w:r>
            <w:r w:rsidR="007C78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reikalavimai 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3E6C98BB" w14:textId="16A5B8CD" w:rsidR="00CA567F" w:rsidRPr="00CA567F" w:rsidRDefault="007C786C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 w:rsidR="00CA567F"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7D695F">
              <w:rPr>
                <w:rFonts w:ascii="Times New Roman" w:eastAsia="Times New Roman" w:hAnsi="Times New Roman" w:cs="Times New Roman"/>
                <w:b/>
                <w:lang w:val="en-GB"/>
              </w:rPr>
              <w:t>5</w:t>
            </w:r>
            <w:r w:rsidR="00A50114">
              <w:rPr>
                <w:rFonts w:ascii="Times New Roman" w:eastAsia="Times New Roman" w:hAnsi="Times New Roman" w:cs="Times New Roman"/>
                <w:b/>
                <w:lang w:val="en-GB"/>
              </w:rPr>
              <w:t>0</w:t>
            </w:r>
          </w:p>
        </w:tc>
      </w:tr>
      <w:tr w:rsidR="00B817BC" w:rsidRPr="00B817BC" w14:paraId="126C903F" w14:textId="77777777" w:rsidTr="00292E1D">
        <w:trPr>
          <w:jc w:val="center"/>
        </w:trPr>
        <w:tc>
          <w:tcPr>
            <w:tcW w:w="568" w:type="dxa"/>
          </w:tcPr>
          <w:p w14:paraId="7328D00E" w14:textId="77777777" w:rsidR="00B817BC" w:rsidRPr="00B817BC" w:rsidRDefault="00B817BC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 w:rsidR="00DA6CC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523" w:type="dxa"/>
            <w:vAlign w:val="center"/>
          </w:tcPr>
          <w:p w14:paraId="7FC293EE" w14:textId="66AF32BD" w:rsidR="00B817BC" w:rsidRPr="00B817BC" w:rsidRDefault="00331CD1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1275" w:type="dxa"/>
            <w:vAlign w:val="center"/>
          </w:tcPr>
          <w:p w14:paraId="66B2128F" w14:textId="529FE5FC" w:rsidR="00B817BC" w:rsidRPr="00B817BC" w:rsidRDefault="001E2851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200F5A">
              <w:rPr>
                <w:rFonts w:ascii="Times New Roman" w:eastAsia="Times New Roman" w:hAnsi="Times New Roman" w:cs="Times New Roman"/>
                <w:b/>
              </w:rPr>
              <w:t>Metodas</w:t>
            </w:r>
          </w:p>
        </w:tc>
        <w:tc>
          <w:tcPr>
            <w:tcW w:w="1560" w:type="dxa"/>
          </w:tcPr>
          <w:p w14:paraId="587EF6F4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31" w:type="dxa"/>
          </w:tcPr>
          <w:p w14:paraId="19D4C3E9" w14:textId="0D027AB0" w:rsidR="00B817BC" w:rsidRPr="00B817BC" w:rsidRDefault="00630B8A" w:rsidP="00292E1D">
            <w:pPr>
              <w:spacing w:after="0"/>
              <w:ind w:right="-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D64F2D" w:rsidRPr="00B817BC" w14:paraId="7FA4E02F" w14:textId="77777777" w:rsidTr="00D64F2D">
        <w:trPr>
          <w:trHeight w:val="57"/>
          <w:jc w:val="center"/>
        </w:trPr>
        <w:tc>
          <w:tcPr>
            <w:tcW w:w="568" w:type="dxa"/>
            <w:vAlign w:val="center"/>
          </w:tcPr>
          <w:p w14:paraId="69E6891E" w14:textId="1C2506C4" w:rsidR="00D64F2D" w:rsidRPr="00B817BC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5523" w:type="dxa"/>
            <w:vAlign w:val="center"/>
          </w:tcPr>
          <w:p w14:paraId="1442269C" w14:textId="438709DB" w:rsidR="00D64F2D" w:rsidRPr="00D17979" w:rsidRDefault="003D7C17" w:rsidP="00D64F2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Apsaugos klasė nuo dul</w:t>
            </w:r>
            <w:r w:rsidR="00EF2552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ių ir drėgmės ne prastesnė negu IP54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CFF195" w14:textId="2D389697" w:rsidR="00D64F2D" w:rsidRPr="00200F5A" w:rsidRDefault="00D64F2D" w:rsidP="00D64F2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73C2D5" w14:textId="134B1C3D" w:rsidR="00D64F2D" w:rsidRPr="00D17979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 w:rsidR="00EF255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66EC8D99" w14:textId="77777777" w:rsidR="00D64F2D" w:rsidRDefault="000C5F68" w:rsidP="00D64F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30066030" w14:textId="2758224B" w:rsidR="000C5F68" w:rsidRPr="00B817BC" w:rsidRDefault="000C5F68" w:rsidP="00D64F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D64F2D" w:rsidRPr="00B817BC" w14:paraId="6F41D7BC" w14:textId="77777777" w:rsidTr="00D64F2D">
        <w:trPr>
          <w:trHeight w:val="571"/>
          <w:jc w:val="center"/>
        </w:trPr>
        <w:tc>
          <w:tcPr>
            <w:tcW w:w="568" w:type="dxa"/>
            <w:vAlign w:val="center"/>
          </w:tcPr>
          <w:p w14:paraId="7339679A" w14:textId="5EADD835" w:rsidR="00D64F2D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5523" w:type="dxa"/>
            <w:vAlign w:val="center"/>
          </w:tcPr>
          <w:p w14:paraId="03A1ADCC" w14:textId="019C9E91" w:rsidR="00D64F2D" w:rsidRPr="00D17979" w:rsidRDefault="003D7C17" w:rsidP="0038409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t-BR"/>
              </w:rPr>
              <w:t>Ekranas paden</w:t>
            </w:r>
            <w:r w:rsidR="00D12D64">
              <w:rPr>
                <w:rFonts w:ascii="Times New Roman" w:hAnsi="Times New Roman" w:cs="Times New Roman"/>
                <w:lang w:val="pt-BR"/>
              </w:rPr>
              <w:t>g</w:t>
            </w:r>
            <w:r>
              <w:rPr>
                <w:rFonts w:ascii="Times New Roman" w:hAnsi="Times New Roman" w:cs="Times New Roman"/>
                <w:lang w:val="pt-BR"/>
              </w:rPr>
              <w:t>tas antirefle</w:t>
            </w:r>
            <w:r w:rsidR="00D12D64">
              <w:rPr>
                <w:rFonts w:ascii="Times New Roman" w:hAnsi="Times New Roman" w:cs="Times New Roman"/>
                <w:lang w:val="pt-BR"/>
              </w:rPr>
              <w:t>k</w:t>
            </w:r>
            <w:r>
              <w:rPr>
                <w:rFonts w:ascii="Times New Roman" w:hAnsi="Times New Roman" w:cs="Times New Roman"/>
                <w:lang w:val="pt-BR"/>
              </w:rPr>
              <w:t>tine danga arba lygiaverte technologija</w:t>
            </w:r>
          </w:p>
        </w:tc>
        <w:tc>
          <w:tcPr>
            <w:tcW w:w="1275" w:type="dxa"/>
            <w:vAlign w:val="center"/>
          </w:tcPr>
          <w:p w14:paraId="6C9525C7" w14:textId="6C52C1D8" w:rsidR="00D64F2D" w:rsidRPr="00200F5A" w:rsidRDefault="00D64F2D" w:rsidP="00D64F2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0D725C0" w14:textId="3AE53A8C" w:rsidR="00D64F2D" w:rsidRPr="00D17979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 w:rsidR="009146F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1" w:type="dxa"/>
            <w:vAlign w:val="center"/>
          </w:tcPr>
          <w:p w14:paraId="4089CCB7" w14:textId="77777777" w:rsidR="000C5F68" w:rsidRDefault="000C5F68" w:rsidP="000C5F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48D0044D" w14:textId="017F6E76" w:rsidR="00D64F2D" w:rsidRPr="00756561" w:rsidRDefault="000C5F68" w:rsidP="000C5F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r w:rsidR="00A50114">
        <w:rPr>
          <w:rFonts w:ascii="Times New Roman" w:eastAsia="Times New Roman" w:hAnsi="Times New Roman" w:cs="Times New Roman"/>
          <w:color w:val="000000"/>
        </w:rPr>
        <w:t>Telgen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000000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>, kur 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r w:rsidR="00DA5338">
        <w:rPr>
          <w:rFonts w:ascii="Times New Roman" w:eastAsia="Times New Roman" w:hAnsi="Times New Roman" w:cs="Times New Roman"/>
          <w:color w:val="000000"/>
        </w:rPr>
        <w:t xml:space="preserve"> ≠ 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</w:p>
    <w:p w14:paraId="3A661CC5" w14:textId="560A9D9D" w:rsidR="000271E3" w:rsidRPr="000271E3" w:rsidRDefault="00F966C4" w:rsidP="000271E3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75EE2578" w:rsidR="000271E3" w:rsidRPr="000271E3" w:rsidRDefault="000271E3" w:rsidP="00A74C2B">
      <w:pPr>
        <w:pStyle w:val="ListParagraph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(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 xml:space="preserve">(20000-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6000</m:t>
              </m:r>
            </m:den>
          </m:f>
        </m:oMath>
      </m:oMathPara>
    </w:p>
    <w:p w14:paraId="5F41E58A" w14:textId="507D8295" w:rsidR="00AB65B2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  <w:r w:rsidR="0036148D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17A1CF7" w14:textId="44B5DEDC" w:rsidR="00AB65B2" w:rsidRDefault="00AB65B2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sectPr w:rsidR="00AB65B2" w:rsidSect="00BA726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CB50A" w14:textId="77777777" w:rsidR="006A51F4" w:rsidRDefault="006A51F4" w:rsidP="00A50C96">
      <w:pPr>
        <w:spacing w:after="0" w:line="240" w:lineRule="auto"/>
      </w:pPr>
      <w:r>
        <w:separator/>
      </w:r>
    </w:p>
  </w:endnote>
  <w:endnote w:type="continuationSeparator" w:id="0">
    <w:p w14:paraId="0A1484AC" w14:textId="77777777" w:rsidR="006A51F4" w:rsidRDefault="006A51F4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426E" w14:textId="77777777" w:rsidR="006A51F4" w:rsidRDefault="006A51F4" w:rsidP="00A50C96">
      <w:pPr>
        <w:spacing w:after="0" w:line="240" w:lineRule="auto"/>
      </w:pPr>
      <w:r>
        <w:separator/>
      </w:r>
    </w:p>
  </w:footnote>
  <w:footnote w:type="continuationSeparator" w:id="0">
    <w:p w14:paraId="0E67BB99" w14:textId="77777777" w:rsidR="006A51F4" w:rsidRDefault="006A51F4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091">
    <w:abstractNumId w:val="1"/>
  </w:num>
  <w:num w:numId="2" w16cid:durableId="1879194268">
    <w:abstractNumId w:val="4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729C"/>
    <w:rsid w:val="00020482"/>
    <w:rsid w:val="00020490"/>
    <w:rsid w:val="000271E3"/>
    <w:rsid w:val="000415E5"/>
    <w:rsid w:val="00047C7E"/>
    <w:rsid w:val="0005715B"/>
    <w:rsid w:val="000660EA"/>
    <w:rsid w:val="00072D32"/>
    <w:rsid w:val="00083EFE"/>
    <w:rsid w:val="00084FAC"/>
    <w:rsid w:val="000963BB"/>
    <w:rsid w:val="000B51D1"/>
    <w:rsid w:val="000C392C"/>
    <w:rsid w:val="000C5F68"/>
    <w:rsid w:val="000C7855"/>
    <w:rsid w:val="000D3521"/>
    <w:rsid w:val="000D6B93"/>
    <w:rsid w:val="000D7674"/>
    <w:rsid w:val="000F1757"/>
    <w:rsid w:val="00100DF2"/>
    <w:rsid w:val="00107E74"/>
    <w:rsid w:val="00113721"/>
    <w:rsid w:val="001146A5"/>
    <w:rsid w:val="00117D96"/>
    <w:rsid w:val="00123ABC"/>
    <w:rsid w:val="001251B2"/>
    <w:rsid w:val="001255B5"/>
    <w:rsid w:val="001423D9"/>
    <w:rsid w:val="00161567"/>
    <w:rsid w:val="0017317E"/>
    <w:rsid w:val="00174605"/>
    <w:rsid w:val="00185016"/>
    <w:rsid w:val="00186E10"/>
    <w:rsid w:val="00196721"/>
    <w:rsid w:val="001A229C"/>
    <w:rsid w:val="001A41AF"/>
    <w:rsid w:val="001A634F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217BF"/>
    <w:rsid w:val="00222A72"/>
    <w:rsid w:val="00222CD9"/>
    <w:rsid w:val="00223CD4"/>
    <w:rsid w:val="00223ED9"/>
    <w:rsid w:val="00267DE6"/>
    <w:rsid w:val="002704D1"/>
    <w:rsid w:val="0027205B"/>
    <w:rsid w:val="00276136"/>
    <w:rsid w:val="00277F22"/>
    <w:rsid w:val="00282E06"/>
    <w:rsid w:val="002904EF"/>
    <w:rsid w:val="00292AF3"/>
    <w:rsid w:val="00292E1D"/>
    <w:rsid w:val="002A365E"/>
    <w:rsid w:val="002A4AA4"/>
    <w:rsid w:val="002C27C7"/>
    <w:rsid w:val="002C3EB4"/>
    <w:rsid w:val="002C7A47"/>
    <w:rsid w:val="002D15FB"/>
    <w:rsid w:val="002D3BAD"/>
    <w:rsid w:val="002E264A"/>
    <w:rsid w:val="002E6E34"/>
    <w:rsid w:val="00325713"/>
    <w:rsid w:val="00331CD1"/>
    <w:rsid w:val="00353731"/>
    <w:rsid w:val="0036148D"/>
    <w:rsid w:val="0036724D"/>
    <w:rsid w:val="00367352"/>
    <w:rsid w:val="00370DF7"/>
    <w:rsid w:val="00384099"/>
    <w:rsid w:val="003A3D07"/>
    <w:rsid w:val="003B1EB8"/>
    <w:rsid w:val="003B698B"/>
    <w:rsid w:val="003C28EC"/>
    <w:rsid w:val="003D0697"/>
    <w:rsid w:val="003D52C3"/>
    <w:rsid w:val="003D7A84"/>
    <w:rsid w:val="003D7C17"/>
    <w:rsid w:val="003E0F82"/>
    <w:rsid w:val="003E5275"/>
    <w:rsid w:val="003F4FC1"/>
    <w:rsid w:val="00400E1A"/>
    <w:rsid w:val="00401717"/>
    <w:rsid w:val="004152D7"/>
    <w:rsid w:val="00423150"/>
    <w:rsid w:val="00433303"/>
    <w:rsid w:val="00435B81"/>
    <w:rsid w:val="00444352"/>
    <w:rsid w:val="0045014E"/>
    <w:rsid w:val="004507BE"/>
    <w:rsid w:val="00454C2C"/>
    <w:rsid w:val="00474297"/>
    <w:rsid w:val="00481896"/>
    <w:rsid w:val="00484659"/>
    <w:rsid w:val="00492D6F"/>
    <w:rsid w:val="00497226"/>
    <w:rsid w:val="004A57FB"/>
    <w:rsid w:val="004B0339"/>
    <w:rsid w:val="004B2F6E"/>
    <w:rsid w:val="004B4035"/>
    <w:rsid w:val="004C02D8"/>
    <w:rsid w:val="004C0CC5"/>
    <w:rsid w:val="004D6FFB"/>
    <w:rsid w:val="004E2720"/>
    <w:rsid w:val="004E61A7"/>
    <w:rsid w:val="004E6474"/>
    <w:rsid w:val="004E75DC"/>
    <w:rsid w:val="004F3A2E"/>
    <w:rsid w:val="00501DB8"/>
    <w:rsid w:val="00507C68"/>
    <w:rsid w:val="00511B2C"/>
    <w:rsid w:val="0051280A"/>
    <w:rsid w:val="00512C52"/>
    <w:rsid w:val="0054087C"/>
    <w:rsid w:val="00544024"/>
    <w:rsid w:val="00566093"/>
    <w:rsid w:val="00584DD8"/>
    <w:rsid w:val="005977D5"/>
    <w:rsid w:val="005A527E"/>
    <w:rsid w:val="005A6F7D"/>
    <w:rsid w:val="005B3901"/>
    <w:rsid w:val="005D22F0"/>
    <w:rsid w:val="005D3427"/>
    <w:rsid w:val="005E19B3"/>
    <w:rsid w:val="005E5279"/>
    <w:rsid w:val="005F0352"/>
    <w:rsid w:val="005F0572"/>
    <w:rsid w:val="005F2AB4"/>
    <w:rsid w:val="005F4A4C"/>
    <w:rsid w:val="005F721F"/>
    <w:rsid w:val="00602E54"/>
    <w:rsid w:val="006034FB"/>
    <w:rsid w:val="00615971"/>
    <w:rsid w:val="00616351"/>
    <w:rsid w:val="00624697"/>
    <w:rsid w:val="00630B8A"/>
    <w:rsid w:val="006416B1"/>
    <w:rsid w:val="00644CFF"/>
    <w:rsid w:val="00651A45"/>
    <w:rsid w:val="00651AD8"/>
    <w:rsid w:val="00652A1F"/>
    <w:rsid w:val="006532C6"/>
    <w:rsid w:val="0066736C"/>
    <w:rsid w:val="00683CBF"/>
    <w:rsid w:val="006915A2"/>
    <w:rsid w:val="00694973"/>
    <w:rsid w:val="00696ED2"/>
    <w:rsid w:val="006A51F4"/>
    <w:rsid w:val="006B452B"/>
    <w:rsid w:val="006C2A35"/>
    <w:rsid w:val="006C30A9"/>
    <w:rsid w:val="006D515C"/>
    <w:rsid w:val="006D54D6"/>
    <w:rsid w:val="006E1A1E"/>
    <w:rsid w:val="006F4850"/>
    <w:rsid w:val="00701527"/>
    <w:rsid w:val="00702AFB"/>
    <w:rsid w:val="00723D1B"/>
    <w:rsid w:val="00732BC2"/>
    <w:rsid w:val="00737E0F"/>
    <w:rsid w:val="0074081C"/>
    <w:rsid w:val="00740BFB"/>
    <w:rsid w:val="00743ED6"/>
    <w:rsid w:val="00745324"/>
    <w:rsid w:val="00756561"/>
    <w:rsid w:val="0076306C"/>
    <w:rsid w:val="00784FBC"/>
    <w:rsid w:val="0078751B"/>
    <w:rsid w:val="007A3213"/>
    <w:rsid w:val="007A4045"/>
    <w:rsid w:val="007B0391"/>
    <w:rsid w:val="007B6153"/>
    <w:rsid w:val="007C153E"/>
    <w:rsid w:val="007C786C"/>
    <w:rsid w:val="007D695F"/>
    <w:rsid w:val="007E71BA"/>
    <w:rsid w:val="007F18A4"/>
    <w:rsid w:val="00802DC2"/>
    <w:rsid w:val="00813752"/>
    <w:rsid w:val="008144D0"/>
    <w:rsid w:val="00825546"/>
    <w:rsid w:val="00827A1B"/>
    <w:rsid w:val="008329E4"/>
    <w:rsid w:val="00852F95"/>
    <w:rsid w:val="00867472"/>
    <w:rsid w:val="00871A24"/>
    <w:rsid w:val="008771F8"/>
    <w:rsid w:val="008778E8"/>
    <w:rsid w:val="0089771C"/>
    <w:rsid w:val="008A46F5"/>
    <w:rsid w:val="008A70E4"/>
    <w:rsid w:val="008B3472"/>
    <w:rsid w:val="008C28B5"/>
    <w:rsid w:val="008C5BEF"/>
    <w:rsid w:val="008E4A34"/>
    <w:rsid w:val="008E633A"/>
    <w:rsid w:val="008E73BD"/>
    <w:rsid w:val="008F572F"/>
    <w:rsid w:val="00913547"/>
    <w:rsid w:val="009146F3"/>
    <w:rsid w:val="009217D4"/>
    <w:rsid w:val="009255E0"/>
    <w:rsid w:val="00925F06"/>
    <w:rsid w:val="00927B08"/>
    <w:rsid w:val="009320E5"/>
    <w:rsid w:val="00942410"/>
    <w:rsid w:val="009467F9"/>
    <w:rsid w:val="00954B2B"/>
    <w:rsid w:val="00964279"/>
    <w:rsid w:val="0096733B"/>
    <w:rsid w:val="00980B4C"/>
    <w:rsid w:val="00990B60"/>
    <w:rsid w:val="009A5F36"/>
    <w:rsid w:val="009C0631"/>
    <w:rsid w:val="009D1FAA"/>
    <w:rsid w:val="009E59AB"/>
    <w:rsid w:val="009F37C5"/>
    <w:rsid w:val="009F7F9A"/>
    <w:rsid w:val="00A02593"/>
    <w:rsid w:val="00A054D1"/>
    <w:rsid w:val="00A06523"/>
    <w:rsid w:val="00A13DEF"/>
    <w:rsid w:val="00A22306"/>
    <w:rsid w:val="00A32BB8"/>
    <w:rsid w:val="00A372A7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A4E44"/>
    <w:rsid w:val="00AB037F"/>
    <w:rsid w:val="00AB2CA2"/>
    <w:rsid w:val="00AB65B2"/>
    <w:rsid w:val="00AC3228"/>
    <w:rsid w:val="00AC5FF2"/>
    <w:rsid w:val="00AF1DFD"/>
    <w:rsid w:val="00AF3664"/>
    <w:rsid w:val="00AF5211"/>
    <w:rsid w:val="00B018F7"/>
    <w:rsid w:val="00B019A9"/>
    <w:rsid w:val="00B025C0"/>
    <w:rsid w:val="00B231A6"/>
    <w:rsid w:val="00B25DD0"/>
    <w:rsid w:val="00B469FE"/>
    <w:rsid w:val="00B4720E"/>
    <w:rsid w:val="00B65104"/>
    <w:rsid w:val="00B656EC"/>
    <w:rsid w:val="00B7123C"/>
    <w:rsid w:val="00B71A4A"/>
    <w:rsid w:val="00B76416"/>
    <w:rsid w:val="00B77FFE"/>
    <w:rsid w:val="00B817BC"/>
    <w:rsid w:val="00B9241B"/>
    <w:rsid w:val="00B962E6"/>
    <w:rsid w:val="00B96F4B"/>
    <w:rsid w:val="00BA2CCA"/>
    <w:rsid w:val="00BA7269"/>
    <w:rsid w:val="00BC630D"/>
    <w:rsid w:val="00BD1727"/>
    <w:rsid w:val="00BD2412"/>
    <w:rsid w:val="00BD7E47"/>
    <w:rsid w:val="00BE7A31"/>
    <w:rsid w:val="00BF599E"/>
    <w:rsid w:val="00BF5F55"/>
    <w:rsid w:val="00C164C7"/>
    <w:rsid w:val="00C25A4E"/>
    <w:rsid w:val="00C27CF2"/>
    <w:rsid w:val="00C6117C"/>
    <w:rsid w:val="00C61EE5"/>
    <w:rsid w:val="00C716D8"/>
    <w:rsid w:val="00C75C88"/>
    <w:rsid w:val="00CA0CBA"/>
    <w:rsid w:val="00CA40D8"/>
    <w:rsid w:val="00CA4598"/>
    <w:rsid w:val="00CA567F"/>
    <w:rsid w:val="00CA6FAA"/>
    <w:rsid w:val="00CB1269"/>
    <w:rsid w:val="00CB44FC"/>
    <w:rsid w:val="00CD3C27"/>
    <w:rsid w:val="00CD46FF"/>
    <w:rsid w:val="00CE4FFA"/>
    <w:rsid w:val="00CE6705"/>
    <w:rsid w:val="00CE7722"/>
    <w:rsid w:val="00CE7C88"/>
    <w:rsid w:val="00CF7B77"/>
    <w:rsid w:val="00CF7C82"/>
    <w:rsid w:val="00D0298F"/>
    <w:rsid w:val="00D12D64"/>
    <w:rsid w:val="00D17979"/>
    <w:rsid w:val="00D2446D"/>
    <w:rsid w:val="00D36589"/>
    <w:rsid w:val="00D46D36"/>
    <w:rsid w:val="00D47534"/>
    <w:rsid w:val="00D50138"/>
    <w:rsid w:val="00D502C7"/>
    <w:rsid w:val="00D56B46"/>
    <w:rsid w:val="00D60FF5"/>
    <w:rsid w:val="00D62BC7"/>
    <w:rsid w:val="00D64F2D"/>
    <w:rsid w:val="00D67E34"/>
    <w:rsid w:val="00D775C3"/>
    <w:rsid w:val="00D83E49"/>
    <w:rsid w:val="00D87667"/>
    <w:rsid w:val="00D95598"/>
    <w:rsid w:val="00D976B9"/>
    <w:rsid w:val="00DA5338"/>
    <w:rsid w:val="00DA6CC8"/>
    <w:rsid w:val="00DA777A"/>
    <w:rsid w:val="00DB413D"/>
    <w:rsid w:val="00DC370D"/>
    <w:rsid w:val="00DC3E2A"/>
    <w:rsid w:val="00DD056B"/>
    <w:rsid w:val="00E0372B"/>
    <w:rsid w:val="00E11D6B"/>
    <w:rsid w:val="00E20F7C"/>
    <w:rsid w:val="00E351B3"/>
    <w:rsid w:val="00E45A05"/>
    <w:rsid w:val="00E5222C"/>
    <w:rsid w:val="00E535A1"/>
    <w:rsid w:val="00E5542E"/>
    <w:rsid w:val="00E64649"/>
    <w:rsid w:val="00E7745E"/>
    <w:rsid w:val="00EA44AB"/>
    <w:rsid w:val="00EB0B43"/>
    <w:rsid w:val="00EB7ADA"/>
    <w:rsid w:val="00EC0F38"/>
    <w:rsid w:val="00EC2298"/>
    <w:rsid w:val="00EE4122"/>
    <w:rsid w:val="00EE691D"/>
    <w:rsid w:val="00EE6D06"/>
    <w:rsid w:val="00EF2552"/>
    <w:rsid w:val="00F0703A"/>
    <w:rsid w:val="00F10A69"/>
    <w:rsid w:val="00F2092D"/>
    <w:rsid w:val="00F26C67"/>
    <w:rsid w:val="00F558EC"/>
    <w:rsid w:val="00F569D4"/>
    <w:rsid w:val="00F6269A"/>
    <w:rsid w:val="00F744E5"/>
    <w:rsid w:val="00F82A32"/>
    <w:rsid w:val="00F82F70"/>
    <w:rsid w:val="00F8363D"/>
    <w:rsid w:val="00F966C4"/>
    <w:rsid w:val="00F97EB3"/>
    <w:rsid w:val="00FA5142"/>
    <w:rsid w:val="00FA748B"/>
    <w:rsid w:val="00FA79FE"/>
    <w:rsid w:val="00FB6DFD"/>
    <w:rsid w:val="00FC76F2"/>
    <w:rsid w:val="00FD58EE"/>
    <w:rsid w:val="00FD5998"/>
    <w:rsid w:val="00FE7699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54A"/>
  <w15:chartTrackingRefBased/>
  <w15:docId w15:val="{0A58CC27-384C-447E-A066-CF22AD6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50C9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Footer">
    <w:name w:val="footer"/>
    <w:basedOn w:val="Normal"/>
    <w:link w:val="FooterChar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ageNumber">
    <w:name w:val="page number"/>
    <w:basedOn w:val="DefaultParagraphFont"/>
    <w:rsid w:val="00DC370D"/>
  </w:style>
  <w:style w:type="character" w:styleId="PlaceholderText">
    <w:name w:val="Placeholder Text"/>
    <w:basedOn w:val="DefaultParagraphFont"/>
    <w:uiPriority w:val="99"/>
    <w:semiHidden/>
    <w:rsid w:val="00222C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A52D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1366-D760-4032-BB08-3071166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Žukauskas</dc:creator>
  <cp:keywords/>
  <dc:description/>
  <cp:lastModifiedBy>Gediminas Žukauskas</cp:lastModifiedBy>
  <cp:revision>19</cp:revision>
  <cp:lastPrinted>2024-03-07T07:35:00Z</cp:lastPrinted>
  <dcterms:created xsi:type="dcterms:W3CDTF">2023-03-14T09:05:00Z</dcterms:created>
  <dcterms:modified xsi:type="dcterms:W3CDTF">2026-01-28T12:16:00Z</dcterms:modified>
</cp:coreProperties>
</file>