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C794E" w14:textId="77777777" w:rsidR="005A3A58" w:rsidRPr="00F2040B" w:rsidRDefault="004E1E04">
      <w:pPr>
        <w:pStyle w:val="Body"/>
        <w:ind w:firstLine="851"/>
        <w:jc w:val="center"/>
        <w:rPr>
          <w:b/>
          <w:bCs/>
          <w:sz w:val="24"/>
          <w:szCs w:val="24"/>
        </w:rPr>
      </w:pPr>
      <w:r w:rsidRPr="00F2040B">
        <w:rPr>
          <w:b/>
          <w:bCs/>
          <w:sz w:val="24"/>
          <w:szCs w:val="24"/>
        </w:rPr>
        <w:t>EKONOMIŠKAI NAUDINGIAUSIO PASIŪLYMO (KAINOS IR KOKYBĖS SANTYKIO) VERTINIMO KRITERIJAI IR TVARKA</w:t>
      </w:r>
    </w:p>
    <w:p w14:paraId="4073491E" w14:textId="77777777" w:rsidR="003644D3" w:rsidRPr="00F2040B" w:rsidRDefault="003644D3">
      <w:pPr>
        <w:pStyle w:val="Body"/>
        <w:ind w:firstLine="851"/>
        <w:jc w:val="center"/>
        <w:rPr>
          <w:b/>
          <w:bCs/>
          <w:sz w:val="24"/>
          <w:szCs w:val="24"/>
        </w:rPr>
      </w:pPr>
    </w:p>
    <w:p w14:paraId="33D2579B" w14:textId="62F801D4" w:rsidR="003644D3" w:rsidRPr="00F2040B" w:rsidRDefault="003644D3">
      <w:pPr>
        <w:pStyle w:val="Body"/>
        <w:ind w:firstLine="851"/>
        <w:jc w:val="center"/>
        <w:rPr>
          <w:b/>
          <w:bCs/>
          <w:sz w:val="24"/>
          <w:szCs w:val="24"/>
        </w:rPr>
      </w:pPr>
      <w:r w:rsidRPr="00F2040B">
        <w:rPr>
          <w:b/>
          <w:bCs/>
          <w:sz w:val="24"/>
          <w:szCs w:val="24"/>
        </w:rPr>
        <w:t>TYRIMŲ, NEATLIEKAMŲ ĮSTAIGOJE, PASLAUGŲ PIRKIMAS</w:t>
      </w:r>
    </w:p>
    <w:p w14:paraId="6323AC54" w14:textId="77777777" w:rsidR="000A7EBB" w:rsidRDefault="000A7EBB">
      <w:pPr>
        <w:pStyle w:val="Body"/>
        <w:ind w:firstLine="851"/>
        <w:jc w:val="center"/>
        <w:rPr>
          <w:b/>
          <w:bCs/>
          <w:sz w:val="24"/>
          <w:szCs w:val="24"/>
        </w:rPr>
      </w:pPr>
    </w:p>
    <w:p w14:paraId="1C95BDF7" w14:textId="0B8B851B" w:rsidR="000A7EBB" w:rsidRPr="00F2040B" w:rsidRDefault="000A7EBB" w:rsidP="000A7EBB">
      <w:pPr>
        <w:pStyle w:val="Body"/>
        <w:ind w:firstLine="851"/>
        <w:jc w:val="center"/>
        <w:rPr>
          <w:b/>
          <w:bCs/>
          <w:sz w:val="24"/>
          <w:szCs w:val="24"/>
        </w:rPr>
      </w:pPr>
      <w:r>
        <w:rPr>
          <w:b/>
          <w:bCs/>
          <w:sz w:val="24"/>
          <w:szCs w:val="24"/>
        </w:rPr>
        <w:t>Bendrosios sąlygos</w:t>
      </w:r>
    </w:p>
    <w:p w14:paraId="52FA9A3F" w14:textId="77777777" w:rsidR="000A7EBB" w:rsidRDefault="000A7EBB">
      <w:pPr>
        <w:pStyle w:val="Body"/>
        <w:ind w:firstLine="851"/>
        <w:jc w:val="center"/>
        <w:rPr>
          <w:b/>
          <w:bCs/>
          <w:sz w:val="24"/>
          <w:szCs w:val="24"/>
        </w:rPr>
      </w:pPr>
    </w:p>
    <w:p w14:paraId="33ADA366" w14:textId="77777777" w:rsidR="00C079EF" w:rsidRDefault="000A7EBB" w:rsidP="00C079EF">
      <w:pPr>
        <w:pStyle w:val="Body"/>
        <w:numPr>
          <w:ilvl w:val="0"/>
          <w:numId w:val="1"/>
        </w:numPr>
        <w:ind w:left="426"/>
        <w:jc w:val="both"/>
        <w:rPr>
          <w:sz w:val="24"/>
          <w:szCs w:val="24"/>
        </w:rPr>
      </w:pPr>
      <w:r w:rsidRPr="00F2040B">
        <w:rPr>
          <w:sz w:val="24"/>
          <w:szCs w:val="24"/>
        </w:rPr>
        <w:t>Ekonomiškai naudingiausi</w:t>
      </w:r>
      <w:r>
        <w:rPr>
          <w:sz w:val="24"/>
          <w:szCs w:val="24"/>
        </w:rPr>
        <w:t xml:space="preserve"> kiekvienos pirkimo dalies </w:t>
      </w:r>
      <w:r w:rsidRPr="00F2040B">
        <w:rPr>
          <w:sz w:val="24"/>
          <w:szCs w:val="24"/>
        </w:rPr>
        <w:t>pasiūlyma</w:t>
      </w:r>
      <w:r>
        <w:rPr>
          <w:sz w:val="24"/>
          <w:szCs w:val="24"/>
        </w:rPr>
        <w:t>i</w:t>
      </w:r>
      <w:r w:rsidRPr="00F2040B">
        <w:rPr>
          <w:sz w:val="24"/>
          <w:szCs w:val="24"/>
        </w:rPr>
        <w:t xml:space="preserve"> pirkime bus išrenkam</w:t>
      </w:r>
      <w:r>
        <w:rPr>
          <w:sz w:val="24"/>
          <w:szCs w:val="24"/>
        </w:rPr>
        <w:t>i</w:t>
      </w:r>
      <w:r w:rsidRPr="00F2040B">
        <w:rPr>
          <w:sz w:val="24"/>
          <w:szCs w:val="24"/>
        </w:rPr>
        <w:t xml:space="preserve"> pagal kainos ir kokybės santykį, kuris bus apskaičiuojamas pagal toliau nurodomus </w:t>
      </w:r>
      <w:r>
        <w:rPr>
          <w:sz w:val="24"/>
          <w:szCs w:val="24"/>
        </w:rPr>
        <w:t xml:space="preserve">kiekvienos pirkimo dalies </w:t>
      </w:r>
      <w:r w:rsidRPr="00F2040B">
        <w:rPr>
          <w:sz w:val="24"/>
          <w:szCs w:val="24"/>
        </w:rPr>
        <w:t>kriterijus bei tvarką.</w:t>
      </w:r>
    </w:p>
    <w:p w14:paraId="74270FB8" w14:textId="77777777" w:rsidR="000C6297" w:rsidRDefault="000C6297" w:rsidP="000C6297">
      <w:pPr>
        <w:pStyle w:val="Body"/>
        <w:ind w:left="426"/>
        <w:jc w:val="both"/>
        <w:rPr>
          <w:sz w:val="24"/>
          <w:szCs w:val="24"/>
        </w:rPr>
      </w:pPr>
    </w:p>
    <w:p w14:paraId="5ADB2FE5" w14:textId="5F8E60DE" w:rsidR="00C079EF" w:rsidRDefault="006F6383" w:rsidP="00C079EF">
      <w:pPr>
        <w:pStyle w:val="Body"/>
        <w:numPr>
          <w:ilvl w:val="0"/>
          <w:numId w:val="1"/>
        </w:numPr>
        <w:ind w:left="426"/>
        <w:jc w:val="both"/>
        <w:rPr>
          <w:sz w:val="24"/>
          <w:szCs w:val="24"/>
        </w:rPr>
      </w:pPr>
      <w:r w:rsidRPr="00C079EF">
        <w:rPr>
          <w:sz w:val="24"/>
          <w:szCs w:val="24"/>
        </w:rPr>
        <w:t xml:space="preserve">Tiekėjų surinkti kiekvienos </w:t>
      </w:r>
      <w:r w:rsidR="00C079EF" w:rsidRPr="00C079EF">
        <w:rPr>
          <w:sz w:val="24"/>
          <w:szCs w:val="24"/>
        </w:rPr>
        <w:t xml:space="preserve">pirkimo dalies </w:t>
      </w:r>
      <w:r w:rsidRPr="00C079EF">
        <w:rPr>
          <w:sz w:val="24"/>
          <w:szCs w:val="24"/>
        </w:rPr>
        <w:t>ekonominio naudingumo balai bus perskaičiuojami, jei tiekėjo pasiūlymas, kurio pirkimo metu nustatyto parametro reikšmė buvo geriausia ir su ja buvo lyginamos kitų dalyvių parametrų reikšmės:</w:t>
      </w:r>
    </w:p>
    <w:p w14:paraId="072B5EE0" w14:textId="77777777" w:rsidR="00C079EF" w:rsidRDefault="006F6383" w:rsidP="00C079EF">
      <w:pPr>
        <w:pStyle w:val="Body"/>
        <w:numPr>
          <w:ilvl w:val="1"/>
          <w:numId w:val="1"/>
        </w:numPr>
        <w:ind w:left="1134"/>
        <w:jc w:val="both"/>
        <w:rPr>
          <w:sz w:val="24"/>
          <w:szCs w:val="24"/>
        </w:rPr>
      </w:pPr>
      <w:r w:rsidRPr="00C079EF">
        <w:rPr>
          <w:sz w:val="24"/>
          <w:szCs w:val="24"/>
        </w:rPr>
        <w:t>yra atmetamas;</w:t>
      </w:r>
    </w:p>
    <w:p w14:paraId="6027933E" w14:textId="77777777" w:rsidR="00C079EF" w:rsidRDefault="006F6383" w:rsidP="00C079EF">
      <w:pPr>
        <w:pStyle w:val="Body"/>
        <w:numPr>
          <w:ilvl w:val="1"/>
          <w:numId w:val="1"/>
        </w:numPr>
        <w:ind w:left="1134"/>
        <w:jc w:val="both"/>
        <w:rPr>
          <w:sz w:val="24"/>
          <w:szCs w:val="24"/>
        </w:rPr>
      </w:pPr>
      <w:r w:rsidRPr="00C079EF">
        <w:rPr>
          <w:sz w:val="24"/>
          <w:szCs w:val="24"/>
        </w:rPr>
        <w:t>tiekėjas atšaukia savo pasiūlymą.</w:t>
      </w:r>
    </w:p>
    <w:p w14:paraId="35DAC8DF" w14:textId="77777777" w:rsidR="000C6297" w:rsidRDefault="000C6297" w:rsidP="000C6297">
      <w:pPr>
        <w:pStyle w:val="Body"/>
        <w:ind w:left="426"/>
        <w:jc w:val="both"/>
        <w:rPr>
          <w:sz w:val="24"/>
          <w:szCs w:val="24"/>
        </w:rPr>
      </w:pPr>
    </w:p>
    <w:p w14:paraId="363CA330" w14:textId="1992F557" w:rsidR="00C079EF" w:rsidRDefault="006F6383" w:rsidP="00C079EF">
      <w:pPr>
        <w:pStyle w:val="Body"/>
        <w:numPr>
          <w:ilvl w:val="0"/>
          <w:numId w:val="1"/>
        </w:numPr>
        <w:ind w:left="426"/>
        <w:jc w:val="both"/>
        <w:rPr>
          <w:sz w:val="24"/>
          <w:szCs w:val="24"/>
        </w:rPr>
      </w:pPr>
      <w:r w:rsidRPr="00C079EF">
        <w:rPr>
          <w:sz w:val="24"/>
          <w:szCs w:val="24"/>
        </w:rPr>
        <w:t>Kriterijų balai apvalinami paliekant 2 (du) skaitmenis po kablelio.</w:t>
      </w:r>
    </w:p>
    <w:p w14:paraId="5F2FDC9E" w14:textId="77777777" w:rsidR="000C6297" w:rsidRDefault="000C6297" w:rsidP="000C6297">
      <w:pPr>
        <w:pStyle w:val="Body"/>
        <w:ind w:left="426"/>
        <w:jc w:val="both"/>
        <w:rPr>
          <w:sz w:val="24"/>
          <w:szCs w:val="24"/>
        </w:rPr>
      </w:pPr>
    </w:p>
    <w:p w14:paraId="2B06D784" w14:textId="2558EAAE" w:rsidR="006F6383" w:rsidRPr="00C079EF" w:rsidRDefault="006F6383" w:rsidP="00C079EF">
      <w:pPr>
        <w:pStyle w:val="Body"/>
        <w:numPr>
          <w:ilvl w:val="0"/>
          <w:numId w:val="1"/>
        </w:numPr>
        <w:ind w:left="426"/>
        <w:jc w:val="both"/>
        <w:rPr>
          <w:sz w:val="24"/>
          <w:szCs w:val="24"/>
        </w:rPr>
      </w:pPr>
      <w:r w:rsidRPr="00C079EF">
        <w:rPr>
          <w:sz w:val="24"/>
          <w:szCs w:val="24"/>
        </w:rPr>
        <w:t xml:space="preserve">Tais atvejais, kai kelių dalyvių pasiūlymų </w:t>
      </w:r>
      <w:r w:rsidR="00C079EF" w:rsidRPr="00C079EF">
        <w:rPr>
          <w:sz w:val="24"/>
          <w:szCs w:val="24"/>
        </w:rPr>
        <w:t xml:space="preserve">konkrečiai pirkimo daliai </w:t>
      </w:r>
      <w:r w:rsidRPr="00C079EF">
        <w:rPr>
          <w:sz w:val="24"/>
          <w:szCs w:val="24"/>
        </w:rPr>
        <w:t>ekonominis naudingumas yra vienodas, nustatant pasiūlymų eilę, pirmesnis į šią eilę įrašomas tiekėjas, kurio pasiūlymas pateiktas anksčiausiai.</w:t>
      </w:r>
    </w:p>
    <w:p w14:paraId="52BDD137" w14:textId="77777777" w:rsidR="000A7EBB" w:rsidRDefault="000A7EBB">
      <w:pPr>
        <w:pStyle w:val="Body"/>
        <w:ind w:firstLine="851"/>
        <w:jc w:val="center"/>
        <w:rPr>
          <w:b/>
          <w:bCs/>
          <w:sz w:val="24"/>
          <w:szCs w:val="24"/>
        </w:rPr>
      </w:pPr>
    </w:p>
    <w:p w14:paraId="0D3A6FC4" w14:textId="53828D2D" w:rsidR="006D6B34" w:rsidRPr="00F2040B" w:rsidRDefault="003B01AB" w:rsidP="006D6B34">
      <w:pPr>
        <w:pStyle w:val="Body"/>
        <w:ind w:firstLine="851"/>
        <w:jc w:val="center"/>
        <w:rPr>
          <w:b/>
          <w:bCs/>
          <w:sz w:val="24"/>
          <w:szCs w:val="24"/>
        </w:rPr>
      </w:pPr>
      <w:r>
        <w:rPr>
          <w:b/>
          <w:bCs/>
          <w:sz w:val="24"/>
          <w:szCs w:val="24"/>
        </w:rPr>
        <w:t>Pirmoji</w:t>
      </w:r>
      <w:r w:rsidR="006D6B34" w:rsidRPr="00F2040B">
        <w:rPr>
          <w:b/>
          <w:bCs/>
          <w:sz w:val="24"/>
          <w:szCs w:val="24"/>
        </w:rPr>
        <w:t xml:space="preserve"> pirkimo dalis: </w:t>
      </w:r>
      <w:r w:rsidR="006F6383">
        <w:rPr>
          <w:b/>
          <w:bCs/>
          <w:sz w:val="24"/>
          <w:szCs w:val="24"/>
        </w:rPr>
        <w:t>klinikiniai laboratoriniai tyrimai</w:t>
      </w:r>
    </w:p>
    <w:p w14:paraId="15DE7365" w14:textId="77777777" w:rsidR="006D6B34" w:rsidRPr="00F2040B" w:rsidRDefault="006D6B34" w:rsidP="006D6B34">
      <w:pPr>
        <w:pStyle w:val="Body"/>
        <w:jc w:val="both"/>
        <w:rPr>
          <w:sz w:val="24"/>
          <w:szCs w:val="24"/>
        </w:rPr>
      </w:pPr>
    </w:p>
    <w:p w14:paraId="54EC7D1B" w14:textId="2DAB60C3" w:rsidR="006D6B34" w:rsidRPr="0026788E" w:rsidRDefault="006D6B34" w:rsidP="006D6B34">
      <w:pPr>
        <w:pStyle w:val="Body"/>
        <w:jc w:val="both"/>
      </w:pPr>
      <w:r w:rsidRPr="00F2040B">
        <w:rPr>
          <w:b/>
          <w:bCs/>
        </w:rPr>
        <w:t xml:space="preserve">Lentelė 1. </w:t>
      </w:r>
      <w:r w:rsidRPr="0026788E">
        <w:t xml:space="preserve">Ekonomiškai naudingiausio </w:t>
      </w:r>
      <w:r w:rsidR="0026788E" w:rsidRPr="0026788E">
        <w:t xml:space="preserve">pirmosios pirkimo dalies </w:t>
      </w:r>
      <w:r w:rsidRPr="0026788E">
        <w:t>pasiūlymo (kainos ir kokybės santykio) vertinimo kriterijai.</w:t>
      </w:r>
    </w:p>
    <w:tbl>
      <w:tblPr>
        <w:tblStyle w:val="Lentelstinklelis"/>
        <w:tblW w:w="9634" w:type="dxa"/>
        <w:tblLook w:val="04A0" w:firstRow="1" w:lastRow="0" w:firstColumn="1" w:lastColumn="0" w:noHBand="0" w:noVBand="1"/>
      </w:tblPr>
      <w:tblGrid>
        <w:gridCol w:w="540"/>
        <w:gridCol w:w="5834"/>
        <w:gridCol w:w="3260"/>
      </w:tblGrid>
      <w:tr w:rsidR="006D6B34" w:rsidRPr="00F2040B" w14:paraId="23C3D39C" w14:textId="77777777" w:rsidTr="00721F7F">
        <w:tc>
          <w:tcPr>
            <w:tcW w:w="540" w:type="dxa"/>
            <w:vAlign w:val="center"/>
          </w:tcPr>
          <w:p w14:paraId="0F884848" w14:textId="77777777" w:rsidR="006D6B34" w:rsidRPr="00F2040B" w:rsidRDefault="006D6B34" w:rsidP="00721F7F">
            <w:pPr>
              <w:pStyle w:val="Body"/>
              <w:pBdr>
                <w:top w:val="none" w:sz="0" w:space="0" w:color="auto"/>
                <w:left w:val="none" w:sz="0" w:space="0" w:color="auto"/>
                <w:bottom w:val="none" w:sz="0" w:space="0" w:color="auto"/>
                <w:right w:val="none" w:sz="0" w:space="0" w:color="auto"/>
                <w:between w:val="none" w:sz="0" w:space="0" w:color="auto"/>
                <w:bar w:val="none" w:sz="0" w:color="auto"/>
              </w:pBdr>
              <w:rPr>
                <w:b/>
                <w:bCs/>
                <w:color w:val="auto"/>
                <w:sz w:val="24"/>
                <w:szCs w:val="24"/>
              </w:rPr>
            </w:pPr>
            <w:r w:rsidRPr="00F2040B">
              <w:rPr>
                <w:b/>
                <w:bCs/>
                <w:color w:val="auto"/>
              </w:rPr>
              <w:t>Eil. Nr.</w:t>
            </w:r>
          </w:p>
        </w:tc>
        <w:tc>
          <w:tcPr>
            <w:tcW w:w="5834" w:type="dxa"/>
            <w:vAlign w:val="center"/>
          </w:tcPr>
          <w:p w14:paraId="7A49B2F7" w14:textId="77777777" w:rsidR="006D6B34" w:rsidRPr="00F2040B" w:rsidRDefault="006D6B34" w:rsidP="00721F7F">
            <w:pPr>
              <w:pStyle w:val="Body"/>
              <w:pBdr>
                <w:top w:val="none" w:sz="0" w:space="0" w:color="auto"/>
                <w:left w:val="none" w:sz="0" w:space="0" w:color="auto"/>
                <w:bottom w:val="none" w:sz="0" w:space="0" w:color="auto"/>
                <w:right w:val="none" w:sz="0" w:space="0" w:color="auto"/>
                <w:between w:val="none" w:sz="0" w:space="0" w:color="auto"/>
                <w:bar w:val="none" w:sz="0" w:color="auto"/>
              </w:pBdr>
              <w:rPr>
                <w:b/>
                <w:bCs/>
                <w:color w:val="auto"/>
                <w:sz w:val="24"/>
                <w:szCs w:val="24"/>
              </w:rPr>
            </w:pPr>
            <w:r w:rsidRPr="00F2040B">
              <w:rPr>
                <w:b/>
                <w:bCs/>
                <w:color w:val="auto"/>
              </w:rPr>
              <w:t>Ekonomiškai naudingiausio (kainos ir kokybės santykio) pasiūlymo vertinimo kriterijai</w:t>
            </w:r>
          </w:p>
        </w:tc>
        <w:tc>
          <w:tcPr>
            <w:tcW w:w="3260" w:type="dxa"/>
            <w:vAlign w:val="center"/>
          </w:tcPr>
          <w:p w14:paraId="7863B280" w14:textId="77777777" w:rsidR="006D6B34" w:rsidRPr="00F2040B" w:rsidRDefault="006D6B34" w:rsidP="00721F7F">
            <w:pPr>
              <w:pStyle w:val="Body"/>
              <w:pBdr>
                <w:top w:val="none" w:sz="0" w:space="0" w:color="auto"/>
                <w:left w:val="none" w:sz="0" w:space="0" w:color="auto"/>
                <w:bottom w:val="none" w:sz="0" w:space="0" w:color="auto"/>
                <w:right w:val="none" w:sz="0" w:space="0" w:color="auto"/>
                <w:between w:val="none" w:sz="0" w:space="0" w:color="auto"/>
                <w:bar w:val="none" w:sz="0" w:color="auto"/>
              </w:pBdr>
              <w:rPr>
                <w:b/>
                <w:bCs/>
                <w:color w:val="auto"/>
                <w:sz w:val="24"/>
                <w:szCs w:val="24"/>
              </w:rPr>
            </w:pPr>
            <w:r w:rsidRPr="00F2040B">
              <w:rPr>
                <w:b/>
                <w:bCs/>
                <w:color w:val="auto"/>
              </w:rPr>
              <w:t>Lyginamasis svoris ekonominio naudingumo vertinime</w:t>
            </w:r>
          </w:p>
        </w:tc>
      </w:tr>
      <w:tr w:rsidR="006D6B34" w:rsidRPr="00F2040B" w14:paraId="307BC0C3" w14:textId="77777777" w:rsidTr="00721F7F">
        <w:tc>
          <w:tcPr>
            <w:tcW w:w="540" w:type="dxa"/>
            <w:vAlign w:val="center"/>
          </w:tcPr>
          <w:p w14:paraId="2A99CBEF" w14:textId="77777777" w:rsidR="006D6B34" w:rsidRPr="00F2040B" w:rsidRDefault="006D6B34" w:rsidP="00721F7F">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color w:val="auto"/>
                <w:sz w:val="24"/>
                <w:szCs w:val="24"/>
              </w:rPr>
            </w:pPr>
          </w:p>
        </w:tc>
        <w:tc>
          <w:tcPr>
            <w:tcW w:w="5834" w:type="dxa"/>
          </w:tcPr>
          <w:p w14:paraId="69315581" w14:textId="37DB04C7" w:rsidR="006D6B34" w:rsidRPr="00F2040B" w:rsidRDefault="006D6B34" w:rsidP="00721F7F">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color w:val="auto"/>
                <w:sz w:val="24"/>
                <w:szCs w:val="24"/>
              </w:rPr>
            </w:pPr>
            <w:r w:rsidRPr="00F2040B">
              <w:rPr>
                <w:color w:val="auto"/>
              </w:rPr>
              <w:t>Bendra pasiūlymo kaina (</w:t>
            </w:r>
            <w:r w:rsidR="002A04FE">
              <w:rPr>
                <w:color w:val="auto"/>
              </w:rPr>
              <w:t>L</w:t>
            </w:r>
            <w:r w:rsidRPr="00F2040B">
              <w:rPr>
                <w:color w:val="auto"/>
              </w:rPr>
              <w:t>K)</w:t>
            </w:r>
          </w:p>
        </w:tc>
        <w:tc>
          <w:tcPr>
            <w:tcW w:w="3260" w:type="dxa"/>
          </w:tcPr>
          <w:p w14:paraId="24AA3338" w14:textId="5420D1F8" w:rsidR="006D6B34" w:rsidRPr="00F2040B" w:rsidRDefault="002A04FE" w:rsidP="00721F7F">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color w:val="auto"/>
                <w:sz w:val="24"/>
                <w:szCs w:val="24"/>
              </w:rPr>
            </w:pPr>
            <w:r>
              <w:rPr>
                <w:color w:val="auto"/>
              </w:rPr>
              <w:t>L</w:t>
            </w:r>
            <w:r w:rsidR="006D6B34" w:rsidRPr="00F2040B">
              <w:rPr>
                <w:color w:val="auto"/>
              </w:rPr>
              <w:t>X=</w:t>
            </w:r>
            <w:r w:rsidR="00D47A69">
              <w:rPr>
                <w:color w:val="auto"/>
              </w:rPr>
              <w:t>6</w:t>
            </w:r>
            <w:r w:rsidR="006D6B34" w:rsidRPr="00F2040B">
              <w:rPr>
                <w:color w:val="auto"/>
              </w:rPr>
              <w:t>0</w:t>
            </w:r>
          </w:p>
        </w:tc>
      </w:tr>
      <w:tr w:rsidR="006D6B34" w:rsidRPr="00F2040B" w14:paraId="2004904D" w14:textId="77777777" w:rsidTr="00721F7F">
        <w:tc>
          <w:tcPr>
            <w:tcW w:w="540" w:type="dxa"/>
            <w:vAlign w:val="center"/>
          </w:tcPr>
          <w:p w14:paraId="169ED561" w14:textId="77777777" w:rsidR="006D6B34" w:rsidRPr="00F2040B" w:rsidRDefault="006D6B34" w:rsidP="00721F7F">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color w:val="auto"/>
                <w:sz w:val="24"/>
                <w:szCs w:val="24"/>
              </w:rPr>
            </w:pPr>
          </w:p>
        </w:tc>
        <w:tc>
          <w:tcPr>
            <w:tcW w:w="5834" w:type="dxa"/>
          </w:tcPr>
          <w:p w14:paraId="666CAA3A" w14:textId="298CE398" w:rsidR="006D6B34" w:rsidRPr="00F2040B" w:rsidRDefault="006D6B34" w:rsidP="00721F7F">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color w:val="auto"/>
                <w:sz w:val="24"/>
                <w:szCs w:val="24"/>
              </w:rPr>
            </w:pPr>
            <w:r w:rsidRPr="00F2040B">
              <w:rPr>
                <w:color w:val="auto"/>
              </w:rPr>
              <w:t>Tiekėjų kompetencija (</w:t>
            </w:r>
            <w:r w:rsidR="002A04FE">
              <w:rPr>
                <w:color w:val="auto"/>
              </w:rPr>
              <w:t>L</w:t>
            </w:r>
            <w:r w:rsidRPr="00F2040B">
              <w:rPr>
                <w:color w:val="auto"/>
              </w:rPr>
              <w:t>T)</w:t>
            </w:r>
          </w:p>
        </w:tc>
        <w:tc>
          <w:tcPr>
            <w:tcW w:w="3260" w:type="dxa"/>
            <w:vAlign w:val="center"/>
          </w:tcPr>
          <w:p w14:paraId="71CB518D" w14:textId="22C75101" w:rsidR="006D6B34" w:rsidRPr="00F2040B" w:rsidRDefault="002A04FE" w:rsidP="00721F7F">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color w:val="auto"/>
                <w:sz w:val="24"/>
                <w:szCs w:val="24"/>
              </w:rPr>
            </w:pPr>
            <w:r>
              <w:rPr>
                <w:color w:val="auto"/>
              </w:rPr>
              <w:t>L</w:t>
            </w:r>
            <w:r w:rsidR="006D6B34" w:rsidRPr="00F2040B">
              <w:rPr>
                <w:color w:val="auto"/>
              </w:rPr>
              <w:t>Y=</w:t>
            </w:r>
            <w:r w:rsidR="00D47A69">
              <w:rPr>
                <w:color w:val="auto"/>
              </w:rPr>
              <w:t>4</w:t>
            </w:r>
            <w:r w:rsidR="004E5F7A">
              <w:rPr>
                <w:color w:val="auto"/>
              </w:rPr>
              <w:t>0</w:t>
            </w:r>
          </w:p>
        </w:tc>
      </w:tr>
    </w:tbl>
    <w:p w14:paraId="0334D2B2" w14:textId="77777777" w:rsidR="006D6B34" w:rsidRPr="00F2040B" w:rsidRDefault="006D6B34" w:rsidP="006D6B34">
      <w:pPr>
        <w:pStyle w:val="Body"/>
        <w:jc w:val="both"/>
        <w:rPr>
          <w:b/>
          <w:bCs/>
          <w:sz w:val="24"/>
          <w:szCs w:val="24"/>
        </w:rPr>
      </w:pPr>
    </w:p>
    <w:p w14:paraId="1C839DDB" w14:textId="7EF15C16" w:rsidR="006D6B34" w:rsidRPr="00F2040B" w:rsidRDefault="006D6B34" w:rsidP="006D6B34">
      <w:pPr>
        <w:pStyle w:val="Body"/>
        <w:numPr>
          <w:ilvl w:val="0"/>
          <w:numId w:val="1"/>
        </w:numPr>
        <w:ind w:left="426"/>
        <w:jc w:val="both"/>
        <w:rPr>
          <w:sz w:val="24"/>
          <w:szCs w:val="24"/>
        </w:rPr>
      </w:pPr>
      <w:r w:rsidRPr="00F2040B">
        <w:rPr>
          <w:sz w:val="24"/>
          <w:szCs w:val="24"/>
        </w:rPr>
        <w:t>Pasiūlymo kainos kriterijus (</w:t>
      </w:r>
      <w:r w:rsidR="00326116">
        <w:rPr>
          <w:sz w:val="24"/>
          <w:szCs w:val="24"/>
        </w:rPr>
        <w:t>L</w:t>
      </w:r>
      <w:r w:rsidRPr="00F2040B">
        <w:rPr>
          <w:sz w:val="24"/>
          <w:szCs w:val="24"/>
        </w:rPr>
        <w:t xml:space="preserve">K) bus vertinamas pagal tiekėjų </w:t>
      </w:r>
      <w:r w:rsidR="00326116">
        <w:rPr>
          <w:sz w:val="24"/>
          <w:szCs w:val="24"/>
        </w:rPr>
        <w:t>pirmosios</w:t>
      </w:r>
      <w:r w:rsidRPr="00F2040B">
        <w:rPr>
          <w:sz w:val="24"/>
          <w:szCs w:val="24"/>
        </w:rPr>
        <w:t xml:space="preserve"> pirkimo dalies pasiūlymo (</w:t>
      </w:r>
      <w:r w:rsidR="00FF367A">
        <w:rPr>
          <w:sz w:val="24"/>
          <w:szCs w:val="24"/>
        </w:rPr>
        <w:t>LAB</w:t>
      </w:r>
      <w:r w:rsidRPr="00F2040B">
        <w:rPr>
          <w:sz w:val="24"/>
          <w:szCs w:val="24"/>
        </w:rPr>
        <w:t xml:space="preserve">) kainą eurais, nurodytą Techninių specifikacijų </w:t>
      </w:r>
      <w:r w:rsidRPr="00F2040B">
        <w:rPr>
          <w:i/>
          <w:iCs/>
          <w:sz w:val="24"/>
          <w:szCs w:val="24"/>
        </w:rPr>
        <w:t>Excel</w:t>
      </w:r>
      <w:r w:rsidRPr="00F2040B">
        <w:rPr>
          <w:sz w:val="24"/>
          <w:szCs w:val="24"/>
        </w:rPr>
        <w:t xml:space="preserve"> lentelėje Nr. </w:t>
      </w:r>
      <w:r w:rsidR="00FF367A">
        <w:rPr>
          <w:sz w:val="24"/>
          <w:szCs w:val="24"/>
        </w:rPr>
        <w:t>1</w:t>
      </w:r>
      <w:r w:rsidRPr="00F2040B">
        <w:rPr>
          <w:sz w:val="24"/>
          <w:szCs w:val="24"/>
        </w:rPr>
        <w:t xml:space="preserve">.2 </w:t>
      </w:r>
      <w:r w:rsidRPr="00F2040B">
        <w:rPr>
          <w:i/>
          <w:iCs/>
          <w:sz w:val="24"/>
          <w:szCs w:val="24"/>
        </w:rPr>
        <w:t>„Paslaugų įkainiai“</w:t>
      </w:r>
      <w:r w:rsidRPr="00F2040B">
        <w:rPr>
          <w:sz w:val="24"/>
          <w:szCs w:val="24"/>
        </w:rPr>
        <w:t>.</w:t>
      </w:r>
    </w:p>
    <w:p w14:paraId="004B8DF7" w14:textId="77777777" w:rsidR="006D6B34" w:rsidRPr="00F2040B" w:rsidRDefault="006D6B34" w:rsidP="006D6B34">
      <w:pPr>
        <w:pStyle w:val="Body"/>
        <w:ind w:left="426"/>
        <w:jc w:val="both"/>
        <w:rPr>
          <w:kern w:val="24"/>
          <w:sz w:val="24"/>
          <w:szCs w:val="24"/>
        </w:rPr>
      </w:pPr>
    </w:p>
    <w:p w14:paraId="172DC479" w14:textId="24FF842E" w:rsidR="006D6B34" w:rsidRPr="00D61996" w:rsidRDefault="006D6B34" w:rsidP="00D61996">
      <w:pPr>
        <w:pStyle w:val="Body"/>
        <w:numPr>
          <w:ilvl w:val="0"/>
          <w:numId w:val="1"/>
        </w:numPr>
        <w:ind w:left="426"/>
        <w:jc w:val="both"/>
        <w:rPr>
          <w:sz w:val="24"/>
          <w:szCs w:val="24"/>
        </w:rPr>
      </w:pPr>
      <w:r w:rsidRPr="00F2040B">
        <w:rPr>
          <w:sz w:val="24"/>
          <w:szCs w:val="24"/>
        </w:rPr>
        <w:t>Tiekėjų kompetencijos ir profesinio pajėgumo kriterijus (</w:t>
      </w:r>
      <w:r w:rsidR="00A0027D">
        <w:rPr>
          <w:sz w:val="24"/>
          <w:szCs w:val="24"/>
        </w:rPr>
        <w:t>L</w:t>
      </w:r>
      <w:r w:rsidRPr="00F2040B">
        <w:rPr>
          <w:sz w:val="24"/>
          <w:szCs w:val="24"/>
        </w:rPr>
        <w:t>T) bus vertinamas pagal tiekėjų su pasiūlym</w:t>
      </w:r>
      <w:r w:rsidR="00527E47">
        <w:rPr>
          <w:sz w:val="24"/>
          <w:szCs w:val="24"/>
        </w:rPr>
        <w:t>ais</w:t>
      </w:r>
      <w:r w:rsidRPr="00F2040B">
        <w:rPr>
          <w:sz w:val="24"/>
          <w:szCs w:val="24"/>
        </w:rPr>
        <w:t xml:space="preserve"> pateiktą dokumentaciją</w:t>
      </w:r>
      <w:r w:rsidR="00E24751">
        <w:rPr>
          <w:sz w:val="24"/>
          <w:szCs w:val="24"/>
        </w:rPr>
        <w:t>, ar tiekėj</w:t>
      </w:r>
      <w:r w:rsidR="00527E47">
        <w:rPr>
          <w:sz w:val="24"/>
          <w:szCs w:val="24"/>
        </w:rPr>
        <w:t xml:space="preserve">ai tyrimus atlieka patys, ar pasitelkdami subrangovą. </w:t>
      </w:r>
      <w:r w:rsidR="00A0027D">
        <w:rPr>
          <w:sz w:val="24"/>
          <w:szCs w:val="24"/>
        </w:rPr>
        <w:t>L</w:t>
      </w:r>
      <w:r w:rsidRPr="00D61996">
        <w:rPr>
          <w:sz w:val="24"/>
          <w:szCs w:val="24"/>
        </w:rPr>
        <w:t xml:space="preserve">T kriterijus sudarytas iš </w:t>
      </w:r>
      <w:r w:rsidR="00D61996">
        <w:rPr>
          <w:sz w:val="24"/>
          <w:szCs w:val="24"/>
        </w:rPr>
        <w:t xml:space="preserve">vieno </w:t>
      </w:r>
      <w:r w:rsidRPr="00D61996">
        <w:rPr>
          <w:sz w:val="24"/>
          <w:szCs w:val="24"/>
        </w:rPr>
        <w:t>parametr</w:t>
      </w:r>
      <w:r w:rsidR="00D61996">
        <w:rPr>
          <w:sz w:val="24"/>
          <w:szCs w:val="24"/>
        </w:rPr>
        <w:t>o</w:t>
      </w:r>
      <w:r w:rsidRPr="00D61996">
        <w:rPr>
          <w:sz w:val="24"/>
          <w:szCs w:val="24"/>
        </w:rPr>
        <w:t xml:space="preserve"> PA</w:t>
      </w:r>
      <w:r w:rsidRPr="00D61996">
        <w:rPr>
          <w:sz w:val="24"/>
          <w:szCs w:val="24"/>
          <w:vertAlign w:val="subscript"/>
        </w:rPr>
        <w:t>1</w:t>
      </w:r>
      <w:r w:rsidRPr="00D61996">
        <w:rPr>
          <w:sz w:val="24"/>
          <w:szCs w:val="24"/>
        </w:rPr>
        <w:t xml:space="preserve"> (lentelė 2 žemiau ir Techninės specifikacijos </w:t>
      </w:r>
      <w:r w:rsidRPr="00D61996">
        <w:rPr>
          <w:i/>
          <w:iCs/>
          <w:sz w:val="24"/>
          <w:szCs w:val="24"/>
        </w:rPr>
        <w:t>Excel</w:t>
      </w:r>
      <w:r w:rsidRPr="00D61996">
        <w:rPr>
          <w:sz w:val="24"/>
          <w:szCs w:val="24"/>
        </w:rPr>
        <w:t xml:space="preserve"> lentelė Nr. </w:t>
      </w:r>
      <w:r w:rsidR="00267364">
        <w:rPr>
          <w:sz w:val="24"/>
          <w:szCs w:val="24"/>
        </w:rPr>
        <w:t>1</w:t>
      </w:r>
      <w:r w:rsidRPr="00D61996">
        <w:rPr>
          <w:sz w:val="24"/>
          <w:szCs w:val="24"/>
        </w:rPr>
        <w:t>.4). PA</w:t>
      </w:r>
      <w:r w:rsidRPr="00D61996">
        <w:rPr>
          <w:sz w:val="24"/>
          <w:szCs w:val="24"/>
          <w:vertAlign w:val="subscript"/>
        </w:rPr>
        <w:t>1</w:t>
      </w:r>
      <w:r w:rsidRPr="00D61996">
        <w:rPr>
          <w:sz w:val="24"/>
          <w:szCs w:val="24"/>
        </w:rPr>
        <w:t xml:space="preserve"> parametrui skiriama </w:t>
      </w:r>
      <w:r w:rsidR="001C4CFB">
        <w:rPr>
          <w:sz w:val="24"/>
          <w:szCs w:val="24"/>
        </w:rPr>
        <w:t>40 (keturiasdešimt balų)</w:t>
      </w:r>
      <w:r w:rsidRPr="00D61996">
        <w:rPr>
          <w:sz w:val="24"/>
          <w:szCs w:val="24"/>
        </w:rPr>
        <w:t>.</w:t>
      </w:r>
    </w:p>
    <w:p w14:paraId="2A76212C" w14:textId="77777777" w:rsidR="000C1DDB" w:rsidRDefault="000C1DDB" w:rsidP="001C4CFB">
      <w:pPr>
        <w:pStyle w:val="Body"/>
        <w:jc w:val="both"/>
        <w:rPr>
          <w:b/>
          <w:bCs/>
        </w:rPr>
      </w:pPr>
    </w:p>
    <w:p w14:paraId="404CE79C" w14:textId="0A2B9AB9" w:rsidR="006D6B34" w:rsidRPr="00F2040B" w:rsidRDefault="006D6B34" w:rsidP="001C4CFB">
      <w:pPr>
        <w:pStyle w:val="Body"/>
        <w:jc w:val="both"/>
        <w:rPr>
          <w:sz w:val="24"/>
          <w:szCs w:val="24"/>
        </w:rPr>
      </w:pPr>
      <w:r w:rsidRPr="00F2040B">
        <w:rPr>
          <w:b/>
          <w:bCs/>
        </w:rPr>
        <w:t xml:space="preserve">Lentelė 2. </w:t>
      </w:r>
      <w:r w:rsidR="000C1DDB">
        <w:rPr>
          <w:b/>
          <w:bCs/>
        </w:rPr>
        <w:t>L</w:t>
      </w:r>
      <w:r w:rsidRPr="00F2040B">
        <w:rPr>
          <w:b/>
          <w:bCs/>
        </w:rPr>
        <w:t>T kriterijaus ekonomiškai nauding</w:t>
      </w:r>
      <w:r w:rsidR="000C1DDB">
        <w:rPr>
          <w:b/>
          <w:bCs/>
        </w:rPr>
        <w:t>as</w:t>
      </w:r>
      <w:r w:rsidRPr="00F2040B">
        <w:rPr>
          <w:b/>
          <w:bCs/>
        </w:rPr>
        <w:t xml:space="preserve"> parametr</w:t>
      </w:r>
      <w:r w:rsidR="000C1DDB">
        <w:rPr>
          <w:b/>
          <w:bCs/>
        </w:rPr>
        <w:t>as</w:t>
      </w:r>
      <w:r w:rsidRPr="00F2040B">
        <w:rPr>
          <w:b/>
          <w:bCs/>
        </w:rPr>
        <w:t xml:space="preserve"> (</w:t>
      </w:r>
      <w:r w:rsidR="000C1DDB">
        <w:rPr>
          <w:b/>
          <w:bCs/>
        </w:rPr>
        <w:t>L</w:t>
      </w:r>
      <w:r w:rsidRPr="00F2040B">
        <w:rPr>
          <w:b/>
          <w:bCs/>
        </w:rPr>
        <w:t>A</w:t>
      </w:r>
      <w:r w:rsidRPr="00F2040B">
        <w:rPr>
          <w:b/>
          <w:bCs/>
          <w:vertAlign w:val="subscript"/>
        </w:rPr>
        <w:t>1</w:t>
      </w:r>
      <w:r w:rsidR="000C1DDB">
        <w:rPr>
          <w:b/>
          <w:bCs/>
        </w:rPr>
        <w:t>)</w:t>
      </w:r>
      <w:r w:rsidRPr="00F2040B">
        <w:rPr>
          <w:b/>
          <w:bCs/>
        </w:rPr>
        <w:t>.</w:t>
      </w:r>
    </w:p>
    <w:tbl>
      <w:tblPr>
        <w:tblW w:w="97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gridCol w:w="1763"/>
      </w:tblGrid>
      <w:tr w:rsidR="006D6B34" w:rsidRPr="00302C0E" w14:paraId="560F9A9F" w14:textId="77777777" w:rsidTr="00630E5E">
        <w:tc>
          <w:tcPr>
            <w:tcW w:w="7938" w:type="dxa"/>
            <w:vAlign w:val="center"/>
            <w:hideMark/>
          </w:tcPr>
          <w:p w14:paraId="615E2A61" w14:textId="07F4743B" w:rsidR="006D6B34" w:rsidRPr="00302C0E" w:rsidRDefault="006D6B34" w:rsidP="00721F7F">
            <w:pPr>
              <w:rPr>
                <w:b/>
                <w:bCs/>
                <w:sz w:val="22"/>
                <w:szCs w:val="22"/>
                <w:lang w:val="lt-LT" w:eastAsia="lt-LT"/>
              </w:rPr>
            </w:pPr>
            <w:r w:rsidRPr="00302C0E">
              <w:rPr>
                <w:b/>
                <w:bCs/>
                <w:sz w:val="22"/>
                <w:szCs w:val="22"/>
                <w:lang w:val="lt-LT" w:eastAsia="lt-LT"/>
              </w:rPr>
              <w:t>Tiekėjų kompetencijos reikalavimas</w:t>
            </w:r>
          </w:p>
        </w:tc>
        <w:tc>
          <w:tcPr>
            <w:tcW w:w="1763" w:type="dxa"/>
            <w:vAlign w:val="center"/>
            <w:hideMark/>
          </w:tcPr>
          <w:p w14:paraId="748CBBDA" w14:textId="395DB605" w:rsidR="006D6B34" w:rsidRPr="00302C0E" w:rsidRDefault="001A69CF" w:rsidP="00721F7F">
            <w:pPr>
              <w:rPr>
                <w:sz w:val="22"/>
                <w:szCs w:val="22"/>
                <w:lang w:val="lt-LT" w:eastAsia="lt-LT"/>
              </w:rPr>
            </w:pPr>
            <w:r>
              <w:rPr>
                <w:b/>
                <w:bCs/>
                <w:sz w:val="22"/>
                <w:szCs w:val="22"/>
                <w:lang w:val="lt-LT"/>
              </w:rPr>
              <w:t>L</w:t>
            </w:r>
            <w:r w:rsidR="006D6B34" w:rsidRPr="00302C0E">
              <w:rPr>
                <w:b/>
                <w:bCs/>
                <w:sz w:val="22"/>
                <w:szCs w:val="22"/>
                <w:lang w:val="lt-LT"/>
              </w:rPr>
              <w:t>T kriterijaus parametra</w:t>
            </w:r>
            <w:r>
              <w:rPr>
                <w:b/>
                <w:bCs/>
                <w:sz w:val="22"/>
                <w:szCs w:val="22"/>
                <w:lang w:val="lt-LT"/>
              </w:rPr>
              <w:t>s</w:t>
            </w:r>
          </w:p>
        </w:tc>
      </w:tr>
      <w:tr w:rsidR="006D6B34" w:rsidRPr="00302C0E" w14:paraId="259EB3FC" w14:textId="77777777" w:rsidTr="00630E5E">
        <w:tc>
          <w:tcPr>
            <w:tcW w:w="7938" w:type="dxa"/>
            <w:vAlign w:val="center"/>
          </w:tcPr>
          <w:p w14:paraId="2FABAC7D" w14:textId="71C222CB" w:rsidR="006D6B34" w:rsidRPr="00302C0E" w:rsidRDefault="00A82DAD" w:rsidP="00A82DAD">
            <w:pPr>
              <w:rPr>
                <w:sz w:val="22"/>
                <w:szCs w:val="22"/>
                <w:lang w:val="lt-LT"/>
              </w:rPr>
            </w:pPr>
            <w:r w:rsidRPr="00A82DAD">
              <w:rPr>
                <w:sz w:val="22"/>
                <w:szCs w:val="22"/>
                <w:lang w:val="lt-LT"/>
              </w:rPr>
              <w:t>Tiekėjas visus laboratorinius tyrimus atlieka pats, t. y. nepasitelkdamas subrangovo.</w:t>
            </w:r>
            <w:r>
              <w:rPr>
                <w:sz w:val="22"/>
                <w:szCs w:val="22"/>
                <w:lang w:val="lt-LT"/>
              </w:rPr>
              <w:t xml:space="preserve"> </w:t>
            </w:r>
          </w:p>
        </w:tc>
        <w:tc>
          <w:tcPr>
            <w:tcW w:w="1763" w:type="dxa"/>
            <w:vAlign w:val="center"/>
            <w:hideMark/>
          </w:tcPr>
          <w:p w14:paraId="6805125F" w14:textId="42B81651" w:rsidR="006D6B34" w:rsidRPr="00302C0E" w:rsidRDefault="001A69CF" w:rsidP="00721F7F">
            <w:pPr>
              <w:jc w:val="center"/>
              <w:rPr>
                <w:sz w:val="22"/>
                <w:szCs w:val="22"/>
                <w:lang w:val="lt-LT" w:eastAsia="lt-LT"/>
              </w:rPr>
            </w:pPr>
            <w:r>
              <w:rPr>
                <w:sz w:val="22"/>
                <w:szCs w:val="22"/>
                <w:lang w:val="lt-LT"/>
              </w:rPr>
              <w:t>L</w:t>
            </w:r>
            <w:r w:rsidR="006D6B34" w:rsidRPr="00302C0E">
              <w:rPr>
                <w:sz w:val="22"/>
                <w:szCs w:val="22"/>
                <w:lang w:val="lt-LT"/>
              </w:rPr>
              <w:t>A</w:t>
            </w:r>
            <w:r w:rsidR="006D6B34" w:rsidRPr="00302C0E">
              <w:rPr>
                <w:sz w:val="22"/>
                <w:szCs w:val="22"/>
                <w:vertAlign w:val="subscript"/>
                <w:lang w:val="lt-LT"/>
              </w:rPr>
              <w:t>1</w:t>
            </w:r>
          </w:p>
        </w:tc>
      </w:tr>
    </w:tbl>
    <w:p w14:paraId="581CE293" w14:textId="77777777" w:rsidR="001A69CF" w:rsidRDefault="001A69CF" w:rsidP="001A69CF">
      <w:pPr>
        <w:pStyle w:val="Body"/>
        <w:ind w:left="426"/>
        <w:jc w:val="both"/>
        <w:rPr>
          <w:kern w:val="24"/>
          <w:sz w:val="24"/>
          <w:szCs w:val="24"/>
        </w:rPr>
      </w:pPr>
    </w:p>
    <w:p w14:paraId="0AA0A7D4" w14:textId="4293BA52" w:rsidR="006D6B34" w:rsidRDefault="00A82DAD" w:rsidP="006D6B34">
      <w:pPr>
        <w:pStyle w:val="Body"/>
        <w:numPr>
          <w:ilvl w:val="0"/>
          <w:numId w:val="1"/>
        </w:numPr>
        <w:ind w:left="426"/>
        <w:jc w:val="both"/>
        <w:rPr>
          <w:sz w:val="24"/>
          <w:szCs w:val="24"/>
        </w:rPr>
      </w:pPr>
      <w:r>
        <w:rPr>
          <w:sz w:val="24"/>
          <w:szCs w:val="24"/>
        </w:rPr>
        <w:t xml:space="preserve">Pirmosios pirkimo dalies </w:t>
      </w:r>
      <w:r w:rsidR="00EE73FF">
        <w:rPr>
          <w:sz w:val="24"/>
          <w:szCs w:val="24"/>
        </w:rPr>
        <w:t>p</w:t>
      </w:r>
      <w:r w:rsidR="006D6B34" w:rsidRPr="00F2040B">
        <w:rPr>
          <w:sz w:val="24"/>
          <w:szCs w:val="24"/>
        </w:rPr>
        <w:t>asiūlymo ekonominio naudingumo (kainos ir kokybės santykio) apskaičiavimo tvarka (formulės) yra pateikiama žemiau:</w:t>
      </w:r>
    </w:p>
    <w:p w14:paraId="6FF3E18A" w14:textId="77777777" w:rsidR="00906BF3" w:rsidRDefault="00906BF3" w:rsidP="00906BF3">
      <w:pPr>
        <w:pStyle w:val="Body"/>
        <w:jc w:val="both"/>
        <w:rPr>
          <w:sz w:val="24"/>
          <w:szCs w:val="24"/>
        </w:rPr>
      </w:pPr>
    </w:p>
    <w:p w14:paraId="486C57DE" w14:textId="000A85B6" w:rsidR="00906BF3" w:rsidRPr="00EE2BF6" w:rsidRDefault="00906BF3" w:rsidP="00EE2BF6">
      <w:pPr>
        <w:pStyle w:val="Body"/>
        <w:numPr>
          <w:ilvl w:val="1"/>
          <w:numId w:val="1"/>
        </w:numPr>
        <w:tabs>
          <w:tab w:val="left" w:pos="993"/>
        </w:tabs>
        <w:jc w:val="both"/>
        <w:rPr>
          <w:kern w:val="24"/>
          <w:sz w:val="24"/>
          <w:szCs w:val="24"/>
        </w:rPr>
      </w:pPr>
      <w:r w:rsidRPr="00C84A7A">
        <w:rPr>
          <w:kern w:val="24"/>
          <w:sz w:val="24"/>
          <w:szCs w:val="24"/>
        </w:rPr>
        <w:t>Vertinamas paslaugos teikimo organizavimo modelis, t.</w:t>
      </w:r>
      <w:r>
        <w:rPr>
          <w:kern w:val="24"/>
          <w:sz w:val="24"/>
          <w:szCs w:val="24"/>
        </w:rPr>
        <w:t xml:space="preserve"> </w:t>
      </w:r>
      <w:r w:rsidRPr="00C84A7A">
        <w:rPr>
          <w:kern w:val="24"/>
          <w:sz w:val="24"/>
          <w:szCs w:val="24"/>
        </w:rPr>
        <w:t>y. ar tiekėjas, teikdamas paslaugą vis</w:t>
      </w:r>
      <w:r>
        <w:rPr>
          <w:kern w:val="24"/>
          <w:sz w:val="24"/>
          <w:szCs w:val="24"/>
        </w:rPr>
        <w:t>u</w:t>
      </w:r>
      <w:r w:rsidRPr="00C84A7A">
        <w:rPr>
          <w:kern w:val="24"/>
          <w:sz w:val="24"/>
          <w:szCs w:val="24"/>
        </w:rPr>
        <w:t>s techninėje specifikacijoje išvardint</w:t>
      </w:r>
      <w:r>
        <w:rPr>
          <w:kern w:val="24"/>
          <w:sz w:val="24"/>
          <w:szCs w:val="24"/>
        </w:rPr>
        <w:t>u</w:t>
      </w:r>
      <w:r w:rsidRPr="00C84A7A">
        <w:rPr>
          <w:kern w:val="24"/>
          <w:sz w:val="24"/>
          <w:szCs w:val="24"/>
        </w:rPr>
        <w:t xml:space="preserve">s </w:t>
      </w:r>
      <w:r>
        <w:rPr>
          <w:kern w:val="24"/>
          <w:sz w:val="24"/>
          <w:szCs w:val="24"/>
        </w:rPr>
        <w:t>klinikinius laboratorinius tyrimus</w:t>
      </w:r>
      <w:r w:rsidRPr="00C84A7A">
        <w:rPr>
          <w:kern w:val="24"/>
          <w:sz w:val="24"/>
          <w:szCs w:val="24"/>
        </w:rPr>
        <w:t xml:space="preserve"> atliks savo laboratorijoje ar ketina remtis subrangovų pajėgumais. Perkančiajai organizacijai svarbu, kad visi </w:t>
      </w:r>
      <w:r>
        <w:rPr>
          <w:kern w:val="24"/>
          <w:sz w:val="24"/>
          <w:szCs w:val="24"/>
        </w:rPr>
        <w:t>laboratoriniai</w:t>
      </w:r>
      <w:r w:rsidRPr="00C84A7A">
        <w:rPr>
          <w:kern w:val="24"/>
          <w:sz w:val="24"/>
          <w:szCs w:val="24"/>
        </w:rPr>
        <w:t xml:space="preserve"> tyrimai būtų atliekami toje pačioje laboratorijoje. Tai leidžia užtikrinti </w:t>
      </w:r>
      <w:r w:rsidRPr="00C84A7A">
        <w:rPr>
          <w:kern w:val="24"/>
          <w:sz w:val="24"/>
          <w:szCs w:val="24"/>
        </w:rPr>
        <w:lastRenderedPageBreak/>
        <w:t>sklandų mėginių tvarkymo procesą ir sumažina klaidų riziką, kuri gali kilti pervežant mėginius tarp skirtingų subrangovų. Centralizuotas tyrimų atlikimas leidžia išlaikyti aukštus kokybės standartus, optimizuoti procesus ir užtikrinti greitesnius bei tiksliau interpretuojamus rezultatus, o tai ypač svarbu pacientų sveikatos priežiūrai.</w:t>
      </w:r>
    </w:p>
    <w:p w14:paraId="505319D3" w14:textId="77777777" w:rsidR="006D6B34" w:rsidRPr="00F2040B" w:rsidRDefault="006D6B34" w:rsidP="006D6B34">
      <w:pPr>
        <w:pStyle w:val="Body"/>
        <w:ind w:left="426"/>
        <w:jc w:val="both"/>
        <w:rPr>
          <w:sz w:val="24"/>
          <w:szCs w:val="24"/>
        </w:rPr>
      </w:pPr>
    </w:p>
    <w:p w14:paraId="1F129B21" w14:textId="3F32422E" w:rsidR="006D6B34" w:rsidRPr="00F2040B" w:rsidRDefault="00EE73FF" w:rsidP="006D6B34">
      <w:pPr>
        <w:pStyle w:val="Body"/>
        <w:numPr>
          <w:ilvl w:val="1"/>
          <w:numId w:val="1"/>
        </w:numPr>
        <w:ind w:left="851"/>
        <w:jc w:val="both"/>
        <w:rPr>
          <w:sz w:val="24"/>
          <w:szCs w:val="24"/>
        </w:rPr>
      </w:pPr>
      <w:r>
        <w:rPr>
          <w:b/>
          <w:bCs/>
          <w:sz w:val="24"/>
          <w:szCs w:val="24"/>
        </w:rPr>
        <w:t>Pirmosios pirkimo dalies p</w:t>
      </w:r>
      <w:r w:rsidR="006D6B34" w:rsidRPr="00F2040B">
        <w:rPr>
          <w:b/>
          <w:bCs/>
          <w:sz w:val="24"/>
          <w:szCs w:val="24"/>
        </w:rPr>
        <w:t>asiūlymo ekonominis naudingumas (kainos ir kokybės santykis)</w:t>
      </w:r>
      <w:r w:rsidR="006D6B34" w:rsidRPr="00F2040B">
        <w:rPr>
          <w:sz w:val="24"/>
          <w:szCs w:val="24"/>
        </w:rPr>
        <w:t xml:space="preserve"> (</w:t>
      </w:r>
      <w:r>
        <w:rPr>
          <w:sz w:val="24"/>
          <w:szCs w:val="24"/>
        </w:rPr>
        <w:t>L</w:t>
      </w:r>
      <w:r w:rsidR="006D6B34" w:rsidRPr="00F2040B">
        <w:rPr>
          <w:sz w:val="24"/>
          <w:szCs w:val="24"/>
        </w:rPr>
        <w:t>S) apskaičiuojamas sudedant tiekėjo pasiūlymo kainos (</w:t>
      </w:r>
      <w:r>
        <w:rPr>
          <w:sz w:val="24"/>
          <w:szCs w:val="24"/>
        </w:rPr>
        <w:t>L</w:t>
      </w:r>
      <w:r w:rsidR="006D6B34" w:rsidRPr="00F2040B">
        <w:rPr>
          <w:sz w:val="24"/>
          <w:szCs w:val="24"/>
        </w:rPr>
        <w:t>K) ir ekonomiškai nauding</w:t>
      </w:r>
      <w:r>
        <w:rPr>
          <w:sz w:val="24"/>
          <w:szCs w:val="24"/>
        </w:rPr>
        <w:t>o</w:t>
      </w:r>
      <w:r w:rsidR="006D6B34" w:rsidRPr="00F2040B">
        <w:rPr>
          <w:sz w:val="24"/>
          <w:szCs w:val="24"/>
        </w:rPr>
        <w:t xml:space="preserve"> kriterij</w:t>
      </w:r>
      <w:r>
        <w:rPr>
          <w:sz w:val="24"/>
          <w:szCs w:val="24"/>
        </w:rPr>
        <w:t>aus</w:t>
      </w:r>
      <w:r w:rsidR="006D6B34" w:rsidRPr="00F2040B">
        <w:rPr>
          <w:sz w:val="24"/>
          <w:szCs w:val="24"/>
        </w:rPr>
        <w:t xml:space="preserve"> (</w:t>
      </w:r>
      <w:r>
        <w:rPr>
          <w:sz w:val="24"/>
          <w:szCs w:val="24"/>
        </w:rPr>
        <w:t>L</w:t>
      </w:r>
      <w:r w:rsidR="006D6B34" w:rsidRPr="00F2040B">
        <w:rPr>
          <w:sz w:val="24"/>
          <w:szCs w:val="24"/>
        </w:rPr>
        <w:t>T</w:t>
      </w:r>
      <w:r w:rsidR="006D6B34">
        <w:rPr>
          <w:sz w:val="24"/>
          <w:szCs w:val="24"/>
        </w:rPr>
        <w:t xml:space="preserve">) </w:t>
      </w:r>
      <w:r w:rsidR="006D6B34" w:rsidRPr="00F2040B">
        <w:rPr>
          <w:sz w:val="24"/>
          <w:szCs w:val="24"/>
        </w:rPr>
        <w:t>lyginamuosius svorius:</w:t>
      </w:r>
    </w:p>
    <w:p w14:paraId="27D614E9" w14:textId="77777777" w:rsidR="006D6B34" w:rsidRPr="00F2040B" w:rsidRDefault="006D6B34" w:rsidP="006D6B34">
      <w:pPr>
        <w:pStyle w:val="Body"/>
        <w:ind w:left="851"/>
        <w:jc w:val="both"/>
        <w:rPr>
          <w:sz w:val="24"/>
          <w:szCs w:val="24"/>
        </w:rPr>
      </w:pPr>
    </w:p>
    <w:p w14:paraId="5AECF2E7" w14:textId="46A4E6AC" w:rsidR="006D6B34" w:rsidRPr="00F2040B" w:rsidRDefault="00EE73FF" w:rsidP="006D6B34">
      <w:pPr>
        <w:pStyle w:val="Body"/>
        <w:jc w:val="both"/>
        <w:rPr>
          <w:sz w:val="24"/>
          <w:szCs w:val="24"/>
        </w:rPr>
      </w:pPr>
      <m:oMathPara>
        <m:oMath>
          <m:r>
            <w:rPr>
              <w:rFonts w:ascii="Cambria Math" w:hAnsi="Cambria Math"/>
              <w:sz w:val="24"/>
              <w:szCs w:val="24"/>
            </w:rPr>
            <m:t>LS=LK+LT</m:t>
          </m:r>
        </m:oMath>
      </m:oMathPara>
    </w:p>
    <w:p w14:paraId="4F2F73F7" w14:textId="77777777" w:rsidR="006D6B34" w:rsidRPr="00F2040B" w:rsidRDefault="006D6B34" w:rsidP="006D6B34">
      <w:pPr>
        <w:pStyle w:val="Body"/>
        <w:rPr>
          <w:sz w:val="24"/>
          <w:szCs w:val="24"/>
        </w:rPr>
      </w:pPr>
    </w:p>
    <w:p w14:paraId="6A80A1B8" w14:textId="4BE6F70A" w:rsidR="006D6B34" w:rsidRPr="00F2040B" w:rsidRDefault="006D6B34" w:rsidP="006D6B34">
      <w:pPr>
        <w:pStyle w:val="Body"/>
        <w:numPr>
          <w:ilvl w:val="1"/>
          <w:numId w:val="1"/>
        </w:numPr>
        <w:jc w:val="both"/>
        <w:rPr>
          <w:sz w:val="24"/>
          <w:szCs w:val="24"/>
        </w:rPr>
      </w:pPr>
      <w:r w:rsidRPr="00F2040B">
        <w:rPr>
          <w:b/>
          <w:bCs/>
          <w:sz w:val="24"/>
          <w:szCs w:val="24"/>
        </w:rPr>
        <w:t>Tiekėjo pasiūlymo kainos (</w:t>
      </w:r>
      <w:r w:rsidR="00EE73FF">
        <w:rPr>
          <w:b/>
          <w:bCs/>
          <w:sz w:val="24"/>
          <w:szCs w:val="24"/>
        </w:rPr>
        <w:t>L</w:t>
      </w:r>
      <w:r w:rsidRPr="00F2040B">
        <w:rPr>
          <w:b/>
          <w:bCs/>
          <w:sz w:val="24"/>
          <w:szCs w:val="24"/>
        </w:rPr>
        <w:t>K) lyginamasis svoris</w:t>
      </w:r>
      <w:r w:rsidRPr="00F2040B">
        <w:rPr>
          <w:sz w:val="24"/>
          <w:szCs w:val="24"/>
        </w:rPr>
        <w:t xml:space="preserve"> yra apskaičiuojamas mažiausios pasiūlytos </w:t>
      </w:r>
      <w:r w:rsidR="00EE73FF">
        <w:rPr>
          <w:sz w:val="24"/>
          <w:szCs w:val="24"/>
        </w:rPr>
        <w:t xml:space="preserve">pirmosios pirkimo dalies </w:t>
      </w:r>
      <w:r w:rsidRPr="00F2040B">
        <w:rPr>
          <w:sz w:val="24"/>
          <w:szCs w:val="24"/>
        </w:rPr>
        <w:t>pasiūlymo kainos eurais (</w:t>
      </w:r>
      <w:proofErr w:type="spellStart"/>
      <w:r w:rsidR="00EE73FF">
        <w:rPr>
          <w:sz w:val="24"/>
          <w:szCs w:val="24"/>
        </w:rPr>
        <w:t>LAB</w:t>
      </w:r>
      <w:r w:rsidRPr="00F2040B">
        <w:rPr>
          <w:sz w:val="24"/>
          <w:szCs w:val="24"/>
          <w:vertAlign w:val="subscript"/>
        </w:rPr>
        <w:t>min</w:t>
      </w:r>
      <w:proofErr w:type="spellEnd"/>
      <w:r w:rsidRPr="00F2040B">
        <w:rPr>
          <w:sz w:val="24"/>
          <w:szCs w:val="24"/>
        </w:rPr>
        <w:t>) ir vertinamo pasiūlymo kainos eurais (</w:t>
      </w:r>
      <w:r w:rsidR="00EE73FF">
        <w:rPr>
          <w:sz w:val="24"/>
          <w:szCs w:val="24"/>
        </w:rPr>
        <w:t>LAB</w:t>
      </w:r>
      <w:r w:rsidRPr="00F2040B">
        <w:rPr>
          <w:sz w:val="24"/>
          <w:szCs w:val="24"/>
          <w:vertAlign w:val="subscript"/>
        </w:rPr>
        <w:t>P</w:t>
      </w:r>
      <w:r w:rsidRPr="00F2040B">
        <w:rPr>
          <w:sz w:val="24"/>
          <w:szCs w:val="24"/>
        </w:rPr>
        <w:t>) santykį padauginant iš kainos lyginamojo svorio (</w:t>
      </w:r>
      <w:r w:rsidR="00EE73FF">
        <w:rPr>
          <w:sz w:val="24"/>
          <w:szCs w:val="24"/>
        </w:rPr>
        <w:t>L</w:t>
      </w:r>
      <w:r w:rsidRPr="00F2040B">
        <w:rPr>
          <w:sz w:val="24"/>
          <w:szCs w:val="24"/>
        </w:rPr>
        <w:t>X=</w:t>
      </w:r>
      <w:r>
        <w:rPr>
          <w:sz w:val="24"/>
          <w:szCs w:val="24"/>
        </w:rPr>
        <w:t>6</w:t>
      </w:r>
      <w:r w:rsidRPr="00F2040B">
        <w:rPr>
          <w:sz w:val="24"/>
          <w:szCs w:val="24"/>
        </w:rPr>
        <w:t>0):</w:t>
      </w:r>
    </w:p>
    <w:p w14:paraId="63C90BA0" w14:textId="77777777" w:rsidR="006D6B34" w:rsidRPr="00F2040B" w:rsidRDefault="006D6B34" w:rsidP="006D6B34">
      <w:pPr>
        <w:pStyle w:val="Body"/>
        <w:ind w:left="792"/>
        <w:jc w:val="both"/>
        <w:rPr>
          <w:sz w:val="24"/>
          <w:szCs w:val="24"/>
        </w:rPr>
      </w:pPr>
    </w:p>
    <w:p w14:paraId="32CFD5AA" w14:textId="7F4D9778" w:rsidR="006D6B34" w:rsidRPr="00F2040B" w:rsidRDefault="00EE73FF" w:rsidP="006D6B34">
      <w:pPr>
        <w:pStyle w:val="Body"/>
        <w:jc w:val="center"/>
        <w:rPr>
          <w:sz w:val="24"/>
          <w:szCs w:val="24"/>
        </w:rPr>
      </w:pPr>
      <m:oMathPara>
        <m:oMathParaPr>
          <m:jc m:val="center"/>
        </m:oMathParaPr>
        <m:oMath>
          <m:r>
            <w:rPr>
              <w:rFonts w:ascii="Cambria Math" w:hAnsi="Cambria Math"/>
              <w:sz w:val="24"/>
              <w:szCs w:val="24"/>
            </w:rPr>
            <m:t>LK=</m:t>
          </m:r>
          <m:f>
            <m:fPr>
              <m:ctrlPr>
                <w:rPr>
                  <w:rFonts w:ascii="Cambria Math" w:hAnsi="Cambria Math"/>
                  <w:i/>
                  <w:sz w:val="24"/>
                  <w:szCs w:val="24"/>
                </w:rPr>
              </m:ctrlPr>
            </m:fPr>
            <m:num>
              <m:sSub>
                <m:sSubPr>
                  <m:ctrlPr>
                    <w:rPr>
                      <w:rFonts w:ascii="Cambria Math" w:hAnsi="Cambria Math"/>
                    </w:rPr>
                  </m:ctrlPr>
                </m:sSubPr>
                <m:e>
                  <m:r>
                    <w:rPr>
                      <w:rFonts w:ascii="Cambria Math" w:hAnsi="Cambria Math"/>
                      <w:sz w:val="24"/>
                      <w:szCs w:val="24"/>
                    </w:rPr>
                    <m:t>LAB</m:t>
                  </m:r>
                </m:e>
                <m:sub>
                  <m:r>
                    <w:rPr>
                      <w:rFonts w:ascii="Cambria Math" w:hAnsi="Cambria Math"/>
                      <w:sz w:val="24"/>
                      <w:szCs w:val="24"/>
                    </w:rPr>
                    <m:t>min</m:t>
                  </m:r>
                </m:sub>
              </m:sSub>
            </m:num>
            <m:den>
              <m:sSub>
                <m:sSubPr>
                  <m:ctrlPr>
                    <w:rPr>
                      <w:rFonts w:ascii="Cambria Math" w:hAnsi="Cambria Math"/>
                    </w:rPr>
                  </m:ctrlPr>
                </m:sSubPr>
                <m:e>
                  <m:r>
                    <w:rPr>
                      <w:rFonts w:ascii="Cambria Math" w:hAnsi="Cambria Math"/>
                      <w:sz w:val="24"/>
                      <w:szCs w:val="24"/>
                    </w:rPr>
                    <m:t>LAB</m:t>
                  </m:r>
                </m:e>
                <m:sub>
                  <m:r>
                    <w:rPr>
                      <w:rFonts w:ascii="Cambria Math" w:hAnsi="Cambria Math"/>
                      <w:sz w:val="24"/>
                      <w:szCs w:val="24"/>
                    </w:rPr>
                    <m:t>P</m:t>
                  </m:r>
                </m:sub>
              </m:sSub>
            </m:den>
          </m:f>
          <m:r>
            <w:rPr>
              <w:rFonts w:ascii="Cambria Math" w:hAnsi="Cambria Math"/>
              <w:sz w:val="24"/>
              <w:szCs w:val="24"/>
            </w:rPr>
            <m:t>×LX</m:t>
          </m:r>
        </m:oMath>
      </m:oMathPara>
    </w:p>
    <w:p w14:paraId="6A449ABF" w14:textId="77777777" w:rsidR="006D6B34" w:rsidRPr="00F2040B" w:rsidRDefault="006D6B34" w:rsidP="006D6B34">
      <w:pPr>
        <w:pStyle w:val="Body"/>
        <w:ind w:left="792"/>
        <w:jc w:val="both"/>
        <w:rPr>
          <w:sz w:val="24"/>
          <w:szCs w:val="24"/>
        </w:rPr>
      </w:pPr>
    </w:p>
    <w:p w14:paraId="7F260582" w14:textId="41558912" w:rsidR="00123114" w:rsidRPr="00123114" w:rsidRDefault="006D6B34" w:rsidP="0092565D">
      <w:pPr>
        <w:pStyle w:val="Sraopastraipa"/>
        <w:numPr>
          <w:ilvl w:val="1"/>
          <w:numId w:val="1"/>
        </w:numPr>
        <w:jc w:val="both"/>
        <w:rPr>
          <w:rFonts w:eastAsia="Times New Roman"/>
          <w:color w:val="000000"/>
          <w:u w:color="000000"/>
          <w:lang w:val="lt-LT" w:eastAsia="en-GB"/>
        </w:rPr>
      </w:pPr>
      <w:r w:rsidRPr="00123114">
        <w:rPr>
          <w:b/>
          <w:bCs/>
        </w:rPr>
        <w:t>Kriterijaus (</w:t>
      </w:r>
      <w:r w:rsidR="00EE73FF" w:rsidRPr="00123114">
        <w:rPr>
          <w:b/>
          <w:bCs/>
        </w:rPr>
        <w:t>LT</w:t>
      </w:r>
      <w:r w:rsidRPr="00123114">
        <w:rPr>
          <w:b/>
          <w:bCs/>
        </w:rPr>
        <w:t>) lyginamasis svoris</w:t>
      </w:r>
      <w:r w:rsidRPr="00123114">
        <w:t xml:space="preserve"> </w:t>
      </w:r>
      <w:r w:rsidR="00123114" w:rsidRPr="00123114">
        <w:rPr>
          <w:rFonts w:eastAsia="Times New Roman"/>
          <w:color w:val="000000"/>
          <w:u w:color="000000"/>
          <w:lang w:val="lt-LT" w:eastAsia="en-GB"/>
        </w:rPr>
        <w:t>(</w:t>
      </w:r>
      <w:r w:rsidR="009D2E99">
        <w:rPr>
          <w:rFonts w:eastAsia="Times New Roman"/>
          <w:color w:val="000000"/>
          <w:u w:color="000000"/>
          <w:lang w:val="lt-LT" w:eastAsia="en-GB"/>
        </w:rPr>
        <w:t>L</w:t>
      </w:r>
      <w:r w:rsidR="00123114" w:rsidRPr="00123114">
        <w:rPr>
          <w:rFonts w:eastAsia="Times New Roman"/>
          <w:color w:val="000000"/>
          <w:u w:color="000000"/>
          <w:lang w:val="lt-LT" w:eastAsia="en-GB"/>
        </w:rPr>
        <w:t>Y) yra lygus šio kriterijaus parametro (</w:t>
      </w:r>
      <w:r w:rsidR="009D2E99">
        <w:rPr>
          <w:rFonts w:eastAsia="Times New Roman"/>
          <w:color w:val="000000"/>
          <w:u w:color="000000"/>
          <w:lang w:val="lt-LT" w:eastAsia="en-GB"/>
        </w:rPr>
        <w:t>LA</w:t>
      </w:r>
      <w:r w:rsidR="009D2E99" w:rsidRPr="0092565D">
        <w:rPr>
          <w:rFonts w:eastAsia="Times New Roman"/>
          <w:color w:val="000000"/>
          <w:u w:color="000000"/>
          <w:vertAlign w:val="subscript"/>
          <w:lang w:val="lt-LT" w:eastAsia="en-GB"/>
        </w:rPr>
        <w:t>1</w:t>
      </w:r>
      <w:r w:rsidR="00123114" w:rsidRPr="00123114">
        <w:rPr>
          <w:rFonts w:eastAsia="Times New Roman"/>
          <w:color w:val="000000"/>
          <w:u w:color="000000"/>
          <w:lang w:val="lt-LT" w:eastAsia="en-GB"/>
        </w:rPr>
        <w:t xml:space="preserve">) balų skaičiui. Tiekėjo atitikties </w:t>
      </w:r>
      <w:r w:rsidR="0092565D">
        <w:rPr>
          <w:rFonts w:eastAsia="Times New Roman"/>
          <w:color w:val="000000"/>
          <w:u w:color="000000"/>
          <w:lang w:val="lt-LT" w:eastAsia="en-GB"/>
        </w:rPr>
        <w:t>LA</w:t>
      </w:r>
      <w:r w:rsidR="00123114" w:rsidRPr="0092565D">
        <w:rPr>
          <w:rFonts w:eastAsia="Times New Roman"/>
          <w:color w:val="000000"/>
          <w:u w:color="000000"/>
          <w:vertAlign w:val="subscript"/>
          <w:lang w:val="lt-LT" w:eastAsia="en-GB"/>
        </w:rPr>
        <w:t>1</w:t>
      </w:r>
      <w:r w:rsidR="00123114" w:rsidRPr="00123114">
        <w:rPr>
          <w:rFonts w:eastAsia="Times New Roman"/>
          <w:color w:val="000000"/>
          <w:u w:color="000000"/>
          <w:lang w:val="lt-LT" w:eastAsia="en-GB"/>
        </w:rPr>
        <w:t xml:space="preserve"> parametrui atveju skiriama </w:t>
      </w:r>
      <w:r w:rsidR="0092565D">
        <w:rPr>
          <w:rFonts w:eastAsia="Times New Roman"/>
          <w:color w:val="000000"/>
          <w:u w:color="000000"/>
          <w:lang w:val="lt-LT" w:eastAsia="en-GB"/>
        </w:rPr>
        <w:t>4</w:t>
      </w:r>
      <w:r w:rsidR="00123114" w:rsidRPr="00123114">
        <w:rPr>
          <w:rFonts w:eastAsia="Times New Roman"/>
          <w:color w:val="000000"/>
          <w:u w:color="000000"/>
          <w:lang w:val="lt-LT" w:eastAsia="en-GB"/>
        </w:rPr>
        <w:t>0 balų, priešingu atveju – 0 balų.</w:t>
      </w:r>
    </w:p>
    <w:p w14:paraId="1D5D99BA" w14:textId="70AE4921" w:rsidR="006D6B34" w:rsidRPr="00123114" w:rsidRDefault="006D6B34" w:rsidP="0092565D">
      <w:pPr>
        <w:pStyle w:val="Body"/>
        <w:ind w:left="792"/>
        <w:jc w:val="both"/>
        <w:rPr>
          <w:sz w:val="24"/>
          <w:szCs w:val="24"/>
        </w:rPr>
      </w:pPr>
    </w:p>
    <w:p w14:paraId="7B6CA96B" w14:textId="7351B334" w:rsidR="00665E76" w:rsidRPr="00F2040B" w:rsidRDefault="00665E76" w:rsidP="006D6B34">
      <w:pPr>
        <w:pStyle w:val="Body"/>
        <w:ind w:left="792"/>
        <w:jc w:val="both"/>
        <w:rPr>
          <w:sz w:val="24"/>
          <w:szCs w:val="24"/>
        </w:rPr>
      </w:pPr>
      <m:oMathPara>
        <m:oMath>
          <m:r>
            <w:rPr>
              <w:rFonts w:ascii="Cambria Math" w:hAnsi="Cambria Math"/>
              <w:sz w:val="24"/>
              <w:szCs w:val="24"/>
            </w:rPr>
            <m:t>LT=</m:t>
          </m:r>
          <m:sSub>
            <m:sSubPr>
              <m:ctrlPr>
                <w:rPr>
                  <w:rFonts w:ascii="Cambria Math" w:hAnsi="Cambria Math"/>
                  <w:i/>
                  <w:sz w:val="24"/>
                  <w:szCs w:val="24"/>
                </w:rPr>
              </m:ctrlPr>
            </m:sSubPr>
            <m:e>
              <m:r>
                <w:rPr>
                  <w:rFonts w:ascii="Cambria Math" w:hAnsi="Cambria Math"/>
                  <w:sz w:val="24"/>
                  <w:szCs w:val="24"/>
                </w:rPr>
                <m:t>LA</m:t>
              </m:r>
            </m:e>
            <m:sub>
              <m:r>
                <w:rPr>
                  <w:rFonts w:ascii="Cambria Math" w:hAnsi="Cambria Math"/>
                  <w:sz w:val="24"/>
                  <w:szCs w:val="24"/>
                </w:rPr>
                <m:t>1</m:t>
              </m:r>
            </m:sub>
          </m:sSub>
          <m:r>
            <w:rPr>
              <w:rFonts w:ascii="Cambria Math" w:hAnsi="Cambria Math"/>
              <w:sz w:val="24"/>
              <w:szCs w:val="24"/>
              <w:lang w:val="en-US"/>
            </w:rPr>
            <m:t>=</m:t>
          </m:r>
          <m:r>
            <w:rPr>
              <w:rFonts w:ascii="Cambria Math" w:hAnsi="Cambria Math"/>
              <w:sz w:val="24"/>
              <w:szCs w:val="24"/>
            </w:rPr>
            <m:t>LY</m:t>
          </m:r>
        </m:oMath>
      </m:oMathPara>
    </w:p>
    <w:p w14:paraId="63E4EF6F" w14:textId="77777777" w:rsidR="00F41D53" w:rsidRDefault="00F41D53" w:rsidP="006D6B34">
      <w:pPr>
        <w:pStyle w:val="Body"/>
        <w:ind w:left="708"/>
        <w:jc w:val="both"/>
      </w:pPr>
    </w:p>
    <w:p w14:paraId="591F8C73" w14:textId="77777777" w:rsidR="008903AB" w:rsidRDefault="008903AB" w:rsidP="006D6B34">
      <w:pPr>
        <w:pStyle w:val="Body"/>
        <w:ind w:left="708"/>
        <w:jc w:val="both"/>
      </w:pPr>
    </w:p>
    <w:p w14:paraId="7C762C8D" w14:textId="77777777" w:rsidR="008903AB" w:rsidRPr="00F2040B" w:rsidRDefault="008903AB" w:rsidP="006D6B34">
      <w:pPr>
        <w:pStyle w:val="Body"/>
        <w:ind w:left="708"/>
        <w:jc w:val="both"/>
      </w:pPr>
    </w:p>
    <w:p w14:paraId="2AA6B028" w14:textId="79169E46" w:rsidR="003644D3" w:rsidRPr="00F2040B" w:rsidRDefault="003644D3">
      <w:pPr>
        <w:pStyle w:val="Body"/>
        <w:ind w:firstLine="851"/>
        <w:jc w:val="center"/>
        <w:rPr>
          <w:b/>
          <w:bCs/>
          <w:sz w:val="24"/>
          <w:szCs w:val="24"/>
        </w:rPr>
      </w:pPr>
      <w:r w:rsidRPr="00F2040B">
        <w:rPr>
          <w:b/>
          <w:bCs/>
          <w:sz w:val="24"/>
          <w:szCs w:val="24"/>
        </w:rPr>
        <w:t>Antroji pirkimo dalis: patologijos tyrimai</w:t>
      </w:r>
    </w:p>
    <w:p w14:paraId="2C666E8B" w14:textId="77777777" w:rsidR="005A3A58" w:rsidRPr="00F2040B" w:rsidRDefault="005A3A58">
      <w:pPr>
        <w:pStyle w:val="Body"/>
        <w:jc w:val="both"/>
        <w:rPr>
          <w:sz w:val="24"/>
          <w:szCs w:val="24"/>
        </w:rPr>
      </w:pPr>
    </w:p>
    <w:p w14:paraId="53627937" w14:textId="2BC45E63" w:rsidR="00410861" w:rsidRPr="00F2040B" w:rsidRDefault="00410861" w:rsidP="00410861">
      <w:pPr>
        <w:pStyle w:val="Body"/>
        <w:jc w:val="both"/>
        <w:rPr>
          <w:b/>
          <w:bCs/>
        </w:rPr>
      </w:pPr>
      <w:r w:rsidRPr="00F2040B">
        <w:rPr>
          <w:b/>
          <w:bCs/>
        </w:rPr>
        <w:t xml:space="preserve">Lentelė </w:t>
      </w:r>
      <w:r w:rsidR="004D5A6C">
        <w:rPr>
          <w:b/>
          <w:bCs/>
        </w:rPr>
        <w:t>3</w:t>
      </w:r>
      <w:r w:rsidRPr="00F2040B">
        <w:rPr>
          <w:b/>
          <w:bCs/>
        </w:rPr>
        <w:t xml:space="preserve">. </w:t>
      </w:r>
      <w:r w:rsidR="00291F04" w:rsidRPr="00F2040B">
        <w:rPr>
          <w:b/>
          <w:bCs/>
        </w:rPr>
        <w:t xml:space="preserve">Ekonomiškai naudingiausio </w:t>
      </w:r>
      <w:r w:rsidR="00A50B6D">
        <w:rPr>
          <w:b/>
          <w:bCs/>
        </w:rPr>
        <w:t xml:space="preserve">antrosios pirkimo dalies </w:t>
      </w:r>
      <w:r w:rsidR="00291F04" w:rsidRPr="00F2040B">
        <w:rPr>
          <w:b/>
          <w:bCs/>
        </w:rPr>
        <w:t>pasiūlymo (kainos ir kokybės santykio) vertinimo kriterijai.</w:t>
      </w:r>
    </w:p>
    <w:tbl>
      <w:tblPr>
        <w:tblStyle w:val="Lentelstinklelis"/>
        <w:tblW w:w="9634" w:type="dxa"/>
        <w:tblLook w:val="04A0" w:firstRow="1" w:lastRow="0" w:firstColumn="1" w:lastColumn="0" w:noHBand="0" w:noVBand="1"/>
      </w:tblPr>
      <w:tblGrid>
        <w:gridCol w:w="540"/>
        <w:gridCol w:w="5834"/>
        <w:gridCol w:w="3260"/>
      </w:tblGrid>
      <w:tr w:rsidR="005B4E34" w:rsidRPr="00781DB4" w14:paraId="28966087" w14:textId="77777777" w:rsidTr="00630E5E">
        <w:tc>
          <w:tcPr>
            <w:tcW w:w="540" w:type="dxa"/>
            <w:vAlign w:val="center"/>
          </w:tcPr>
          <w:p w14:paraId="4D7F7513" w14:textId="77EFBAD3" w:rsidR="005B4E34" w:rsidRPr="00781DB4" w:rsidRDefault="005B4E34" w:rsidP="00291F04">
            <w:pPr>
              <w:pStyle w:val="Body"/>
              <w:pBdr>
                <w:top w:val="none" w:sz="0" w:space="0" w:color="auto"/>
                <w:left w:val="none" w:sz="0" w:space="0" w:color="auto"/>
                <w:bottom w:val="none" w:sz="0" w:space="0" w:color="auto"/>
                <w:right w:val="none" w:sz="0" w:space="0" w:color="auto"/>
                <w:between w:val="none" w:sz="0" w:space="0" w:color="auto"/>
                <w:bar w:val="none" w:sz="0" w:color="auto"/>
              </w:pBdr>
              <w:rPr>
                <w:b/>
                <w:bCs/>
                <w:color w:val="auto"/>
                <w:sz w:val="20"/>
                <w:szCs w:val="20"/>
              </w:rPr>
            </w:pPr>
            <w:r w:rsidRPr="00781DB4">
              <w:rPr>
                <w:b/>
                <w:bCs/>
                <w:color w:val="auto"/>
                <w:sz w:val="20"/>
                <w:szCs w:val="20"/>
              </w:rPr>
              <w:t>Eil. Nr.</w:t>
            </w:r>
          </w:p>
        </w:tc>
        <w:tc>
          <w:tcPr>
            <w:tcW w:w="5834" w:type="dxa"/>
            <w:vAlign w:val="center"/>
          </w:tcPr>
          <w:p w14:paraId="2DBB2EA6" w14:textId="42DF1B93" w:rsidR="005B4E34" w:rsidRPr="00781DB4" w:rsidRDefault="005B4E34" w:rsidP="00291F04">
            <w:pPr>
              <w:pStyle w:val="Body"/>
              <w:pBdr>
                <w:top w:val="none" w:sz="0" w:space="0" w:color="auto"/>
                <w:left w:val="none" w:sz="0" w:space="0" w:color="auto"/>
                <w:bottom w:val="none" w:sz="0" w:space="0" w:color="auto"/>
                <w:right w:val="none" w:sz="0" w:space="0" w:color="auto"/>
                <w:between w:val="none" w:sz="0" w:space="0" w:color="auto"/>
                <w:bar w:val="none" w:sz="0" w:color="auto"/>
              </w:pBdr>
              <w:rPr>
                <w:b/>
                <w:bCs/>
                <w:color w:val="auto"/>
                <w:sz w:val="20"/>
                <w:szCs w:val="20"/>
              </w:rPr>
            </w:pPr>
            <w:r w:rsidRPr="00781DB4">
              <w:rPr>
                <w:b/>
                <w:bCs/>
                <w:color w:val="auto"/>
                <w:sz w:val="20"/>
                <w:szCs w:val="20"/>
              </w:rPr>
              <w:t>Ekonomiškai naudingiausio (kainos ir kokybės santykio) pasiūlymo vertinimo kriterijai</w:t>
            </w:r>
          </w:p>
        </w:tc>
        <w:tc>
          <w:tcPr>
            <w:tcW w:w="3260" w:type="dxa"/>
            <w:vAlign w:val="center"/>
          </w:tcPr>
          <w:p w14:paraId="7911527C" w14:textId="026DFEC0" w:rsidR="005B4E34" w:rsidRPr="00781DB4" w:rsidRDefault="005B4E34" w:rsidP="00291F04">
            <w:pPr>
              <w:pStyle w:val="Body"/>
              <w:pBdr>
                <w:top w:val="none" w:sz="0" w:space="0" w:color="auto"/>
                <w:left w:val="none" w:sz="0" w:space="0" w:color="auto"/>
                <w:bottom w:val="none" w:sz="0" w:space="0" w:color="auto"/>
                <w:right w:val="none" w:sz="0" w:space="0" w:color="auto"/>
                <w:between w:val="none" w:sz="0" w:space="0" w:color="auto"/>
                <w:bar w:val="none" w:sz="0" w:color="auto"/>
              </w:pBdr>
              <w:rPr>
                <w:b/>
                <w:bCs/>
                <w:color w:val="auto"/>
                <w:sz w:val="20"/>
                <w:szCs w:val="20"/>
              </w:rPr>
            </w:pPr>
            <w:r w:rsidRPr="00781DB4">
              <w:rPr>
                <w:b/>
                <w:bCs/>
                <w:color w:val="auto"/>
                <w:sz w:val="20"/>
                <w:szCs w:val="20"/>
              </w:rPr>
              <w:t>Lyginamasis svoris ekonominio naudingumo vertinime</w:t>
            </w:r>
          </w:p>
        </w:tc>
      </w:tr>
      <w:tr w:rsidR="005B4E34" w:rsidRPr="00781DB4" w14:paraId="2791237E" w14:textId="77777777" w:rsidTr="00630E5E">
        <w:tc>
          <w:tcPr>
            <w:tcW w:w="540" w:type="dxa"/>
            <w:vAlign w:val="center"/>
          </w:tcPr>
          <w:p w14:paraId="2C01D544" w14:textId="74386FCC" w:rsidR="005B4E34" w:rsidRPr="00781DB4" w:rsidRDefault="005B4E34" w:rsidP="00A50B6D">
            <w:pPr>
              <w:pStyle w:val="Body"/>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color w:val="auto"/>
                <w:sz w:val="20"/>
                <w:szCs w:val="20"/>
              </w:rPr>
            </w:pPr>
          </w:p>
        </w:tc>
        <w:tc>
          <w:tcPr>
            <w:tcW w:w="5834" w:type="dxa"/>
          </w:tcPr>
          <w:p w14:paraId="5D5F4A59" w14:textId="71CBC9E3" w:rsidR="005B4E34" w:rsidRPr="00781DB4" w:rsidRDefault="005B4E34" w:rsidP="00410861">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color w:val="auto"/>
                <w:sz w:val="20"/>
                <w:szCs w:val="20"/>
              </w:rPr>
            </w:pPr>
            <w:r w:rsidRPr="00781DB4">
              <w:rPr>
                <w:color w:val="auto"/>
                <w:sz w:val="20"/>
                <w:szCs w:val="20"/>
              </w:rPr>
              <w:t>Bendra pasiūlymo kaina (</w:t>
            </w:r>
            <w:r w:rsidR="005318D6" w:rsidRPr="00781DB4">
              <w:rPr>
                <w:color w:val="auto"/>
                <w:sz w:val="20"/>
                <w:szCs w:val="20"/>
              </w:rPr>
              <w:t>PK</w:t>
            </w:r>
            <w:r w:rsidRPr="00781DB4">
              <w:rPr>
                <w:color w:val="auto"/>
                <w:sz w:val="20"/>
                <w:szCs w:val="20"/>
              </w:rPr>
              <w:t>)</w:t>
            </w:r>
          </w:p>
        </w:tc>
        <w:tc>
          <w:tcPr>
            <w:tcW w:w="3260" w:type="dxa"/>
          </w:tcPr>
          <w:p w14:paraId="38015E73" w14:textId="5F30E3B1" w:rsidR="005B4E34" w:rsidRPr="00781DB4" w:rsidRDefault="003644D3" w:rsidP="00291F04">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color w:val="auto"/>
                <w:sz w:val="20"/>
                <w:szCs w:val="20"/>
              </w:rPr>
            </w:pPr>
            <w:r w:rsidRPr="00781DB4">
              <w:rPr>
                <w:color w:val="auto"/>
                <w:sz w:val="20"/>
                <w:szCs w:val="20"/>
              </w:rPr>
              <w:t>P</w:t>
            </w:r>
            <w:r w:rsidR="005B4E34" w:rsidRPr="00781DB4">
              <w:rPr>
                <w:color w:val="auto"/>
                <w:sz w:val="20"/>
                <w:szCs w:val="20"/>
              </w:rPr>
              <w:t>X=</w:t>
            </w:r>
            <w:r w:rsidR="00143AAF" w:rsidRPr="00781DB4">
              <w:rPr>
                <w:color w:val="auto"/>
                <w:sz w:val="20"/>
                <w:szCs w:val="20"/>
              </w:rPr>
              <w:t>6</w:t>
            </w:r>
            <w:r w:rsidR="005B4E34" w:rsidRPr="00781DB4">
              <w:rPr>
                <w:color w:val="auto"/>
                <w:sz w:val="20"/>
                <w:szCs w:val="20"/>
              </w:rPr>
              <w:t>0</w:t>
            </w:r>
          </w:p>
        </w:tc>
      </w:tr>
      <w:tr w:rsidR="005B4E34" w:rsidRPr="00781DB4" w14:paraId="3961C639" w14:textId="77777777" w:rsidTr="00630E5E">
        <w:tc>
          <w:tcPr>
            <w:tcW w:w="540" w:type="dxa"/>
            <w:vAlign w:val="center"/>
          </w:tcPr>
          <w:p w14:paraId="060B57B8" w14:textId="3425D80D" w:rsidR="005B4E34" w:rsidRPr="00781DB4" w:rsidRDefault="005B4E34" w:rsidP="00A50B6D">
            <w:pPr>
              <w:pStyle w:val="Body"/>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color w:val="auto"/>
                <w:sz w:val="20"/>
                <w:szCs w:val="20"/>
              </w:rPr>
            </w:pPr>
          </w:p>
        </w:tc>
        <w:tc>
          <w:tcPr>
            <w:tcW w:w="5834" w:type="dxa"/>
          </w:tcPr>
          <w:p w14:paraId="7C30D122" w14:textId="3DAE6237" w:rsidR="005B4E34" w:rsidRPr="00781DB4" w:rsidRDefault="00143AAF" w:rsidP="00410861">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color w:val="auto"/>
                <w:sz w:val="20"/>
                <w:szCs w:val="20"/>
              </w:rPr>
            </w:pPr>
            <w:r w:rsidRPr="00781DB4">
              <w:rPr>
                <w:color w:val="auto"/>
                <w:sz w:val="20"/>
                <w:szCs w:val="20"/>
              </w:rPr>
              <w:t xml:space="preserve">Tiekėjų kompetencija ir profesinis pajėgumas </w:t>
            </w:r>
            <w:r w:rsidR="005B4E34" w:rsidRPr="00781DB4">
              <w:rPr>
                <w:color w:val="auto"/>
                <w:sz w:val="20"/>
                <w:szCs w:val="20"/>
              </w:rPr>
              <w:t>(</w:t>
            </w:r>
            <w:r w:rsidR="00AF1CB7" w:rsidRPr="00781DB4">
              <w:rPr>
                <w:color w:val="auto"/>
                <w:sz w:val="20"/>
                <w:szCs w:val="20"/>
              </w:rPr>
              <w:t>P</w:t>
            </w:r>
            <w:r w:rsidR="005B4E34" w:rsidRPr="00781DB4">
              <w:rPr>
                <w:color w:val="auto"/>
                <w:sz w:val="20"/>
                <w:szCs w:val="20"/>
              </w:rPr>
              <w:t>T</w:t>
            </w:r>
            <w:r w:rsidR="00AF1CB7" w:rsidRPr="00781DB4">
              <w:rPr>
                <w:color w:val="auto"/>
                <w:sz w:val="20"/>
                <w:szCs w:val="20"/>
                <w:vertAlign w:val="subscript"/>
              </w:rPr>
              <w:t>1</w:t>
            </w:r>
            <w:r w:rsidR="005B4E34" w:rsidRPr="00781DB4">
              <w:rPr>
                <w:color w:val="auto"/>
                <w:sz w:val="20"/>
                <w:szCs w:val="20"/>
              </w:rPr>
              <w:t>)</w:t>
            </w:r>
          </w:p>
        </w:tc>
        <w:tc>
          <w:tcPr>
            <w:tcW w:w="3260" w:type="dxa"/>
            <w:vAlign w:val="center"/>
          </w:tcPr>
          <w:p w14:paraId="1953A807" w14:textId="334C9D5A" w:rsidR="005B4E34" w:rsidRPr="00781DB4" w:rsidRDefault="005D4FF6" w:rsidP="00293AC6">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color w:val="auto"/>
                <w:sz w:val="20"/>
                <w:szCs w:val="20"/>
              </w:rPr>
            </w:pPr>
            <w:r w:rsidRPr="00781DB4">
              <w:rPr>
                <w:color w:val="auto"/>
                <w:sz w:val="20"/>
                <w:szCs w:val="20"/>
              </w:rPr>
              <w:t>P</w:t>
            </w:r>
            <w:r w:rsidR="005B4E34" w:rsidRPr="00781DB4">
              <w:rPr>
                <w:color w:val="auto"/>
                <w:sz w:val="20"/>
                <w:szCs w:val="20"/>
              </w:rPr>
              <w:t>Y</w:t>
            </w:r>
            <w:r w:rsidRPr="00781DB4">
              <w:rPr>
                <w:color w:val="auto"/>
                <w:sz w:val="20"/>
                <w:szCs w:val="20"/>
                <w:vertAlign w:val="subscript"/>
              </w:rPr>
              <w:t>1</w:t>
            </w:r>
            <w:r w:rsidR="005B4E34" w:rsidRPr="00781DB4">
              <w:rPr>
                <w:color w:val="auto"/>
                <w:sz w:val="20"/>
                <w:szCs w:val="20"/>
              </w:rPr>
              <w:t>=</w:t>
            </w:r>
            <w:r w:rsidR="00143AAF" w:rsidRPr="00781DB4">
              <w:rPr>
                <w:color w:val="auto"/>
                <w:sz w:val="20"/>
                <w:szCs w:val="20"/>
              </w:rPr>
              <w:t>25</w:t>
            </w:r>
          </w:p>
        </w:tc>
      </w:tr>
      <w:tr w:rsidR="00143AAF" w:rsidRPr="00781DB4" w14:paraId="35F24321" w14:textId="77777777" w:rsidTr="00630E5E">
        <w:tc>
          <w:tcPr>
            <w:tcW w:w="540" w:type="dxa"/>
            <w:vAlign w:val="center"/>
          </w:tcPr>
          <w:p w14:paraId="5D9120F0" w14:textId="2ADE36C7" w:rsidR="00143AAF" w:rsidRPr="00781DB4" w:rsidRDefault="00143AAF" w:rsidP="00A50B6D">
            <w:pPr>
              <w:pStyle w:val="Body"/>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color w:val="auto"/>
                <w:sz w:val="20"/>
                <w:szCs w:val="20"/>
              </w:rPr>
            </w:pPr>
          </w:p>
        </w:tc>
        <w:tc>
          <w:tcPr>
            <w:tcW w:w="5834" w:type="dxa"/>
          </w:tcPr>
          <w:p w14:paraId="23A97E37" w14:textId="02DF0059" w:rsidR="00143AAF" w:rsidRPr="00781DB4" w:rsidRDefault="00FB6984" w:rsidP="00143AAF">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color w:val="auto"/>
                <w:sz w:val="20"/>
                <w:szCs w:val="20"/>
              </w:rPr>
            </w:pPr>
            <w:r w:rsidRPr="00781DB4">
              <w:rPr>
                <w:color w:val="auto"/>
                <w:sz w:val="20"/>
                <w:szCs w:val="20"/>
              </w:rPr>
              <w:t xml:space="preserve">Paslaugos teikimo organizavimas </w:t>
            </w:r>
            <w:r w:rsidR="00143AAF" w:rsidRPr="00781DB4">
              <w:rPr>
                <w:color w:val="auto"/>
                <w:sz w:val="20"/>
                <w:szCs w:val="20"/>
              </w:rPr>
              <w:t>(PT</w:t>
            </w:r>
            <w:r w:rsidR="00143AAF" w:rsidRPr="00781DB4">
              <w:rPr>
                <w:color w:val="auto"/>
                <w:sz w:val="20"/>
                <w:szCs w:val="20"/>
                <w:vertAlign w:val="subscript"/>
              </w:rPr>
              <w:t>2</w:t>
            </w:r>
            <w:r w:rsidR="00143AAF" w:rsidRPr="00781DB4">
              <w:rPr>
                <w:color w:val="auto"/>
                <w:sz w:val="20"/>
                <w:szCs w:val="20"/>
              </w:rPr>
              <w:t>)</w:t>
            </w:r>
          </w:p>
        </w:tc>
        <w:tc>
          <w:tcPr>
            <w:tcW w:w="3260" w:type="dxa"/>
            <w:vAlign w:val="center"/>
          </w:tcPr>
          <w:p w14:paraId="385BD474" w14:textId="6FDDBD14" w:rsidR="00143AAF" w:rsidRPr="00781DB4" w:rsidRDefault="00143AAF" w:rsidP="00143AAF">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color w:val="auto"/>
                <w:sz w:val="20"/>
                <w:szCs w:val="20"/>
              </w:rPr>
            </w:pPr>
            <w:r w:rsidRPr="00781DB4">
              <w:rPr>
                <w:color w:val="auto"/>
                <w:sz w:val="20"/>
                <w:szCs w:val="20"/>
              </w:rPr>
              <w:t>PY</w:t>
            </w:r>
            <w:r w:rsidRPr="00781DB4">
              <w:rPr>
                <w:color w:val="auto"/>
                <w:sz w:val="20"/>
                <w:szCs w:val="20"/>
                <w:vertAlign w:val="subscript"/>
              </w:rPr>
              <w:t>2</w:t>
            </w:r>
            <w:r w:rsidRPr="00781DB4">
              <w:rPr>
                <w:color w:val="auto"/>
                <w:sz w:val="20"/>
                <w:szCs w:val="20"/>
              </w:rPr>
              <w:t>=10</w:t>
            </w:r>
          </w:p>
        </w:tc>
      </w:tr>
      <w:tr w:rsidR="00143AAF" w:rsidRPr="00781DB4" w14:paraId="25CEDBC3" w14:textId="77777777" w:rsidTr="00630E5E">
        <w:tc>
          <w:tcPr>
            <w:tcW w:w="540" w:type="dxa"/>
            <w:vAlign w:val="center"/>
          </w:tcPr>
          <w:p w14:paraId="622A43DF" w14:textId="29E831C8" w:rsidR="00143AAF" w:rsidRPr="00781DB4" w:rsidRDefault="00143AAF" w:rsidP="00A50B6D">
            <w:pPr>
              <w:pStyle w:val="Body"/>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color w:val="auto"/>
                <w:sz w:val="20"/>
                <w:szCs w:val="20"/>
              </w:rPr>
            </w:pPr>
          </w:p>
        </w:tc>
        <w:tc>
          <w:tcPr>
            <w:tcW w:w="5834" w:type="dxa"/>
          </w:tcPr>
          <w:p w14:paraId="0A7ABEFF" w14:textId="39BD4AC9" w:rsidR="00143AAF" w:rsidRPr="00781DB4" w:rsidRDefault="00FB6984" w:rsidP="00143AAF">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color w:val="auto"/>
                <w:sz w:val="20"/>
                <w:szCs w:val="20"/>
              </w:rPr>
            </w:pPr>
            <w:r w:rsidRPr="00781DB4">
              <w:rPr>
                <w:color w:val="auto"/>
                <w:sz w:val="20"/>
                <w:szCs w:val="20"/>
              </w:rPr>
              <w:t xml:space="preserve">Aplinkosaugos reikalavimai </w:t>
            </w:r>
            <w:r w:rsidR="00143AAF" w:rsidRPr="00781DB4">
              <w:rPr>
                <w:color w:val="auto"/>
                <w:sz w:val="20"/>
                <w:szCs w:val="20"/>
              </w:rPr>
              <w:t>(PT</w:t>
            </w:r>
            <w:r w:rsidR="00143AAF" w:rsidRPr="00781DB4">
              <w:rPr>
                <w:color w:val="auto"/>
                <w:sz w:val="20"/>
                <w:szCs w:val="20"/>
                <w:vertAlign w:val="subscript"/>
              </w:rPr>
              <w:t>3</w:t>
            </w:r>
            <w:r w:rsidR="00143AAF" w:rsidRPr="00781DB4">
              <w:rPr>
                <w:color w:val="auto"/>
                <w:sz w:val="20"/>
                <w:szCs w:val="20"/>
              </w:rPr>
              <w:t>)</w:t>
            </w:r>
          </w:p>
        </w:tc>
        <w:tc>
          <w:tcPr>
            <w:tcW w:w="3260" w:type="dxa"/>
            <w:vAlign w:val="center"/>
          </w:tcPr>
          <w:p w14:paraId="21FDEF37" w14:textId="3A1D910D" w:rsidR="00143AAF" w:rsidRPr="00781DB4" w:rsidRDefault="00143AAF" w:rsidP="00143AAF">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color w:val="auto"/>
                <w:sz w:val="20"/>
                <w:szCs w:val="20"/>
              </w:rPr>
            </w:pPr>
            <w:r w:rsidRPr="00781DB4">
              <w:rPr>
                <w:color w:val="auto"/>
                <w:sz w:val="20"/>
                <w:szCs w:val="20"/>
              </w:rPr>
              <w:t>PY</w:t>
            </w:r>
            <w:r w:rsidRPr="00781DB4">
              <w:rPr>
                <w:color w:val="auto"/>
                <w:sz w:val="20"/>
                <w:szCs w:val="20"/>
                <w:vertAlign w:val="subscript"/>
              </w:rPr>
              <w:t>3</w:t>
            </w:r>
            <w:r w:rsidRPr="00781DB4">
              <w:rPr>
                <w:color w:val="auto"/>
                <w:sz w:val="20"/>
                <w:szCs w:val="20"/>
              </w:rPr>
              <w:t>=5</w:t>
            </w:r>
          </w:p>
        </w:tc>
      </w:tr>
    </w:tbl>
    <w:p w14:paraId="76519679" w14:textId="77777777" w:rsidR="000C677F" w:rsidRPr="00F2040B" w:rsidRDefault="000C677F">
      <w:pPr>
        <w:pStyle w:val="Body"/>
        <w:jc w:val="both"/>
        <w:rPr>
          <w:b/>
          <w:bCs/>
          <w:sz w:val="24"/>
          <w:szCs w:val="24"/>
        </w:rPr>
      </w:pPr>
    </w:p>
    <w:p w14:paraId="0173459A" w14:textId="04A76EA4" w:rsidR="00811D8B" w:rsidRPr="00F2040B" w:rsidRDefault="004E1E04" w:rsidP="00811D8B">
      <w:pPr>
        <w:pStyle w:val="Body"/>
        <w:numPr>
          <w:ilvl w:val="0"/>
          <w:numId w:val="1"/>
        </w:numPr>
        <w:ind w:left="426"/>
        <w:jc w:val="both"/>
        <w:rPr>
          <w:sz w:val="24"/>
          <w:szCs w:val="24"/>
        </w:rPr>
      </w:pPr>
      <w:r w:rsidRPr="00F2040B">
        <w:rPr>
          <w:sz w:val="24"/>
          <w:szCs w:val="24"/>
        </w:rPr>
        <w:t>Pasiūlymo kainos kriterijus (</w:t>
      </w:r>
      <w:r w:rsidR="005318D6" w:rsidRPr="00F2040B">
        <w:rPr>
          <w:sz w:val="24"/>
          <w:szCs w:val="24"/>
        </w:rPr>
        <w:t>PK</w:t>
      </w:r>
      <w:r w:rsidRPr="00F2040B">
        <w:rPr>
          <w:sz w:val="24"/>
          <w:szCs w:val="24"/>
        </w:rPr>
        <w:t xml:space="preserve">) bus </w:t>
      </w:r>
      <w:r w:rsidR="00845E1C" w:rsidRPr="00F2040B">
        <w:rPr>
          <w:sz w:val="24"/>
          <w:szCs w:val="24"/>
        </w:rPr>
        <w:t xml:space="preserve">vertinamas </w:t>
      </w:r>
      <w:r w:rsidRPr="00F2040B">
        <w:rPr>
          <w:sz w:val="24"/>
          <w:szCs w:val="24"/>
        </w:rPr>
        <w:t xml:space="preserve">pagal tiekėjų </w:t>
      </w:r>
      <w:r w:rsidR="005318D6" w:rsidRPr="00F2040B">
        <w:rPr>
          <w:sz w:val="24"/>
          <w:szCs w:val="24"/>
        </w:rPr>
        <w:t xml:space="preserve">antrosios pirkimo dalies </w:t>
      </w:r>
      <w:r w:rsidR="0041511B" w:rsidRPr="00F2040B">
        <w:rPr>
          <w:sz w:val="24"/>
          <w:szCs w:val="24"/>
        </w:rPr>
        <w:t xml:space="preserve">pasiūlymo </w:t>
      </w:r>
      <w:r w:rsidR="00161FAE" w:rsidRPr="00F2040B">
        <w:rPr>
          <w:sz w:val="24"/>
          <w:szCs w:val="24"/>
        </w:rPr>
        <w:t xml:space="preserve">(PAT) </w:t>
      </w:r>
      <w:r w:rsidRPr="00F2040B">
        <w:rPr>
          <w:sz w:val="24"/>
          <w:szCs w:val="24"/>
        </w:rPr>
        <w:t>kain</w:t>
      </w:r>
      <w:r w:rsidR="00A837C7" w:rsidRPr="00F2040B">
        <w:rPr>
          <w:sz w:val="24"/>
          <w:szCs w:val="24"/>
        </w:rPr>
        <w:t>ą eurais</w:t>
      </w:r>
      <w:r w:rsidR="00EA201C" w:rsidRPr="00F2040B">
        <w:rPr>
          <w:sz w:val="24"/>
          <w:szCs w:val="24"/>
        </w:rPr>
        <w:t xml:space="preserve">, nurodytą </w:t>
      </w:r>
      <w:r w:rsidR="00FE6B8A" w:rsidRPr="00F2040B">
        <w:rPr>
          <w:sz w:val="24"/>
          <w:szCs w:val="24"/>
        </w:rPr>
        <w:t>Te</w:t>
      </w:r>
      <w:r w:rsidR="00EA201C" w:rsidRPr="00F2040B">
        <w:rPr>
          <w:sz w:val="24"/>
          <w:szCs w:val="24"/>
        </w:rPr>
        <w:t xml:space="preserve">chninių specifikacijų </w:t>
      </w:r>
      <w:r w:rsidR="007966F5" w:rsidRPr="00F2040B">
        <w:rPr>
          <w:i/>
          <w:iCs/>
          <w:sz w:val="24"/>
          <w:szCs w:val="24"/>
        </w:rPr>
        <w:t>Excel</w:t>
      </w:r>
      <w:r w:rsidR="007966F5" w:rsidRPr="00F2040B">
        <w:rPr>
          <w:sz w:val="24"/>
          <w:szCs w:val="24"/>
        </w:rPr>
        <w:t xml:space="preserve"> </w:t>
      </w:r>
      <w:r w:rsidR="00EA201C" w:rsidRPr="00F2040B">
        <w:rPr>
          <w:sz w:val="24"/>
          <w:szCs w:val="24"/>
        </w:rPr>
        <w:t>lentelė</w:t>
      </w:r>
      <w:r w:rsidR="00161FAE" w:rsidRPr="00F2040B">
        <w:rPr>
          <w:sz w:val="24"/>
          <w:szCs w:val="24"/>
        </w:rPr>
        <w:t>je</w:t>
      </w:r>
      <w:r w:rsidR="00A52631" w:rsidRPr="00F2040B">
        <w:rPr>
          <w:sz w:val="24"/>
          <w:szCs w:val="24"/>
        </w:rPr>
        <w:t xml:space="preserve"> </w:t>
      </w:r>
      <w:r w:rsidR="00EA201C" w:rsidRPr="00F2040B">
        <w:rPr>
          <w:sz w:val="24"/>
          <w:szCs w:val="24"/>
        </w:rPr>
        <w:t>Nr. 2</w:t>
      </w:r>
      <w:r w:rsidR="0004037F" w:rsidRPr="00F2040B">
        <w:rPr>
          <w:sz w:val="24"/>
          <w:szCs w:val="24"/>
        </w:rPr>
        <w:t>.2</w:t>
      </w:r>
      <w:r w:rsidR="00360F6A" w:rsidRPr="00F2040B">
        <w:rPr>
          <w:sz w:val="24"/>
          <w:szCs w:val="24"/>
        </w:rPr>
        <w:t xml:space="preserve"> </w:t>
      </w:r>
      <w:r w:rsidR="00360F6A" w:rsidRPr="00F2040B">
        <w:rPr>
          <w:i/>
          <w:iCs/>
          <w:sz w:val="24"/>
          <w:szCs w:val="24"/>
        </w:rPr>
        <w:t>„</w:t>
      </w:r>
      <w:r w:rsidR="00B80B15" w:rsidRPr="00F2040B">
        <w:rPr>
          <w:i/>
          <w:iCs/>
          <w:sz w:val="24"/>
          <w:szCs w:val="24"/>
        </w:rPr>
        <w:t>Paslaugų įkainiai</w:t>
      </w:r>
      <w:r w:rsidR="00360F6A" w:rsidRPr="00F2040B">
        <w:rPr>
          <w:i/>
          <w:iCs/>
          <w:sz w:val="24"/>
          <w:szCs w:val="24"/>
        </w:rPr>
        <w:t>“</w:t>
      </w:r>
      <w:r w:rsidR="00EB0C47" w:rsidRPr="00F2040B">
        <w:rPr>
          <w:sz w:val="24"/>
          <w:szCs w:val="24"/>
        </w:rPr>
        <w:t>.</w:t>
      </w:r>
    </w:p>
    <w:p w14:paraId="7AC762A8" w14:textId="77777777" w:rsidR="005567E1" w:rsidRPr="00F2040B" w:rsidRDefault="005567E1" w:rsidP="005567E1">
      <w:pPr>
        <w:pStyle w:val="Body"/>
        <w:ind w:left="426"/>
        <w:jc w:val="both"/>
        <w:rPr>
          <w:kern w:val="24"/>
          <w:sz w:val="24"/>
          <w:szCs w:val="24"/>
        </w:rPr>
      </w:pPr>
    </w:p>
    <w:p w14:paraId="4F3D8E4B" w14:textId="352D43AE" w:rsidR="000828B5" w:rsidRDefault="001E1D34" w:rsidP="000828B5">
      <w:pPr>
        <w:pStyle w:val="Body"/>
        <w:numPr>
          <w:ilvl w:val="0"/>
          <w:numId w:val="1"/>
        </w:numPr>
        <w:ind w:left="426"/>
        <w:jc w:val="both"/>
        <w:rPr>
          <w:sz w:val="24"/>
          <w:szCs w:val="24"/>
        </w:rPr>
      </w:pPr>
      <w:r w:rsidRPr="00F2040B">
        <w:rPr>
          <w:sz w:val="24"/>
          <w:szCs w:val="24"/>
        </w:rPr>
        <w:t xml:space="preserve">Tiekėjų kompetencijos ir profesinio pajėgumo kriterijus </w:t>
      </w:r>
      <w:r w:rsidR="002F7D1C" w:rsidRPr="00F2040B">
        <w:rPr>
          <w:sz w:val="24"/>
          <w:szCs w:val="24"/>
        </w:rPr>
        <w:t>(PT</w:t>
      </w:r>
      <w:r w:rsidR="002F7D1C" w:rsidRPr="00F2040B">
        <w:rPr>
          <w:sz w:val="24"/>
          <w:szCs w:val="24"/>
          <w:vertAlign w:val="subscript"/>
        </w:rPr>
        <w:t>1</w:t>
      </w:r>
      <w:r w:rsidR="002F7D1C" w:rsidRPr="00F2040B">
        <w:rPr>
          <w:sz w:val="24"/>
          <w:szCs w:val="24"/>
        </w:rPr>
        <w:t>) bus vertinamas pagal tiekėjų su pasiūlymais pateiktą techninę dokumentaciją</w:t>
      </w:r>
      <w:r w:rsidR="00DC7564" w:rsidRPr="00F2040B">
        <w:rPr>
          <w:sz w:val="24"/>
          <w:szCs w:val="24"/>
        </w:rPr>
        <w:t>.</w:t>
      </w:r>
    </w:p>
    <w:p w14:paraId="6772CE9F" w14:textId="77777777" w:rsidR="00FB0332" w:rsidRPr="00F2040B" w:rsidRDefault="00FB0332" w:rsidP="00FB0332">
      <w:pPr>
        <w:pStyle w:val="Body"/>
        <w:jc w:val="both"/>
        <w:rPr>
          <w:sz w:val="24"/>
          <w:szCs w:val="24"/>
        </w:rPr>
      </w:pPr>
    </w:p>
    <w:p w14:paraId="0C5FC1FA" w14:textId="3A7EC0CA" w:rsidR="0032271E" w:rsidRPr="00F2040B" w:rsidRDefault="000828B5" w:rsidP="000828B5">
      <w:pPr>
        <w:pStyle w:val="Body"/>
        <w:numPr>
          <w:ilvl w:val="1"/>
          <w:numId w:val="1"/>
        </w:numPr>
        <w:jc w:val="both"/>
        <w:rPr>
          <w:sz w:val="24"/>
          <w:szCs w:val="24"/>
        </w:rPr>
      </w:pPr>
      <w:r w:rsidRPr="00F2040B">
        <w:rPr>
          <w:sz w:val="24"/>
          <w:szCs w:val="24"/>
        </w:rPr>
        <w:t xml:space="preserve">Vertinama paslaugą teikiančių specialistų profesinė patirtis ir kompetencija, galimybė specializuotis, tiekėjo įdiegtų diagnostikai taikomų metodų galimybės. Kriterijus tiesiogiai susijęs su pirkimo objektu bei turi būti užtikrinamas visu sutarties vykdymo laikotarpiu. Išorinių konsultacijų skaičius rodo pasitikėjimą Tiekėjo įstaigoje atliekamų tyrimų kokybe ir kompetencija, patologijos diagnozių patikimumu bei išsamumu. Onkologinių pacientų diagnostikos patirtis leidžia įvertinti, ar teikėjas yra gerai susipažinęs su įvairiomis onkologinėmis diagnozėmis, gali efektyviai valdyti sudėtingus atvejus ir užtikrinti aukštą paslaugų kokybę, reikalingą tiksliai diagnostikai, gydymo sprendimų parinkimui ir pacientų priežiūrai. Tiekėjo laboratorijoje dirbančių gydytojų patologų skaičius indikuoja apie galimybę gydytojams patologams specializuotis konkrečiose patologijos srityse, konsultuotis </w:t>
      </w:r>
      <w:r w:rsidRPr="00F2040B">
        <w:rPr>
          <w:sz w:val="24"/>
          <w:szCs w:val="24"/>
        </w:rPr>
        <w:lastRenderedPageBreak/>
        <w:t xml:space="preserve">retų ir sudėtingų diagnostinių situacijų atveju. Plati įdiegtų </w:t>
      </w:r>
      <w:proofErr w:type="spellStart"/>
      <w:r w:rsidRPr="00F2040B">
        <w:rPr>
          <w:sz w:val="24"/>
          <w:szCs w:val="24"/>
        </w:rPr>
        <w:t>imunohistocheminių</w:t>
      </w:r>
      <w:proofErr w:type="spellEnd"/>
      <w:r w:rsidRPr="00F2040B">
        <w:rPr>
          <w:sz w:val="24"/>
          <w:szCs w:val="24"/>
        </w:rPr>
        <w:t xml:space="preserve"> metodų paletė padeda užtikrinti išsamią pacientų vėžinių susirgimų bei kitų ligų diagnostiką</w:t>
      </w:r>
      <w:r w:rsidR="0032271E" w:rsidRPr="00F2040B">
        <w:rPr>
          <w:sz w:val="24"/>
          <w:szCs w:val="24"/>
        </w:rPr>
        <w:t>.</w:t>
      </w:r>
    </w:p>
    <w:p w14:paraId="007DFACC" w14:textId="77777777" w:rsidR="00FB0332" w:rsidRDefault="00FB0332" w:rsidP="00FB0332">
      <w:pPr>
        <w:pStyle w:val="Body"/>
        <w:ind w:left="360"/>
        <w:jc w:val="both"/>
        <w:rPr>
          <w:sz w:val="24"/>
          <w:szCs w:val="24"/>
        </w:rPr>
      </w:pPr>
    </w:p>
    <w:p w14:paraId="6868991F" w14:textId="59B80BBE" w:rsidR="000C6297" w:rsidRDefault="00C268ED" w:rsidP="000C6297">
      <w:pPr>
        <w:pStyle w:val="Body"/>
        <w:numPr>
          <w:ilvl w:val="1"/>
          <w:numId w:val="1"/>
        </w:numPr>
        <w:jc w:val="both"/>
        <w:rPr>
          <w:sz w:val="24"/>
          <w:szCs w:val="24"/>
        </w:rPr>
      </w:pPr>
      <w:r w:rsidRPr="00F2040B">
        <w:rPr>
          <w:sz w:val="24"/>
          <w:szCs w:val="24"/>
        </w:rPr>
        <w:t>P</w:t>
      </w:r>
      <w:r w:rsidR="002F7D1C" w:rsidRPr="00F2040B">
        <w:rPr>
          <w:sz w:val="24"/>
          <w:szCs w:val="24"/>
        </w:rPr>
        <w:t>T</w:t>
      </w:r>
      <w:r w:rsidR="002F7D1C" w:rsidRPr="00F2040B">
        <w:rPr>
          <w:sz w:val="24"/>
          <w:szCs w:val="24"/>
          <w:vertAlign w:val="subscript"/>
        </w:rPr>
        <w:t>1</w:t>
      </w:r>
      <w:r w:rsidR="002F7D1C" w:rsidRPr="00F2040B">
        <w:rPr>
          <w:sz w:val="24"/>
          <w:szCs w:val="24"/>
        </w:rPr>
        <w:t xml:space="preserve"> kriterij</w:t>
      </w:r>
      <w:r w:rsidR="0032271E" w:rsidRPr="00F2040B">
        <w:rPr>
          <w:sz w:val="24"/>
          <w:szCs w:val="24"/>
        </w:rPr>
        <w:t xml:space="preserve">us sudarytas iš </w:t>
      </w:r>
      <w:r w:rsidR="004445F8" w:rsidRPr="00F2040B">
        <w:rPr>
          <w:sz w:val="24"/>
          <w:szCs w:val="24"/>
        </w:rPr>
        <w:t>parametrų PA</w:t>
      </w:r>
      <w:r w:rsidR="004445F8" w:rsidRPr="00F2040B">
        <w:rPr>
          <w:sz w:val="24"/>
          <w:szCs w:val="24"/>
          <w:vertAlign w:val="subscript"/>
        </w:rPr>
        <w:t>1</w:t>
      </w:r>
      <w:r w:rsidR="004445F8" w:rsidRPr="00F2040B">
        <w:rPr>
          <w:sz w:val="24"/>
          <w:szCs w:val="24"/>
        </w:rPr>
        <w:t xml:space="preserve"> – PA</w:t>
      </w:r>
      <w:r w:rsidR="004445F8" w:rsidRPr="00F2040B">
        <w:rPr>
          <w:sz w:val="24"/>
          <w:szCs w:val="24"/>
          <w:vertAlign w:val="subscript"/>
        </w:rPr>
        <w:t>4</w:t>
      </w:r>
      <w:r w:rsidR="004445F8" w:rsidRPr="00F2040B">
        <w:rPr>
          <w:sz w:val="24"/>
          <w:szCs w:val="24"/>
        </w:rPr>
        <w:t xml:space="preserve"> (</w:t>
      </w:r>
      <w:r w:rsidR="002F7D1C" w:rsidRPr="00F2040B">
        <w:rPr>
          <w:sz w:val="24"/>
          <w:szCs w:val="24"/>
        </w:rPr>
        <w:t xml:space="preserve">lentelė </w:t>
      </w:r>
      <w:r w:rsidR="00FB0332">
        <w:rPr>
          <w:sz w:val="24"/>
          <w:szCs w:val="24"/>
        </w:rPr>
        <w:t>4</w:t>
      </w:r>
      <w:r w:rsidR="002F7D1C" w:rsidRPr="00F2040B">
        <w:rPr>
          <w:sz w:val="24"/>
          <w:szCs w:val="24"/>
        </w:rPr>
        <w:t xml:space="preserve"> žemiau ir Techninės specifikacijos </w:t>
      </w:r>
      <w:r w:rsidR="002F7D1C" w:rsidRPr="00F2040B">
        <w:rPr>
          <w:i/>
          <w:iCs/>
          <w:sz w:val="24"/>
          <w:szCs w:val="24"/>
        </w:rPr>
        <w:t>Excel</w:t>
      </w:r>
      <w:r w:rsidR="002F7D1C" w:rsidRPr="00F2040B">
        <w:rPr>
          <w:sz w:val="24"/>
          <w:szCs w:val="24"/>
        </w:rPr>
        <w:t xml:space="preserve"> lentelė Nr. </w:t>
      </w:r>
      <w:r w:rsidR="006D6017" w:rsidRPr="00F2040B">
        <w:rPr>
          <w:sz w:val="24"/>
          <w:szCs w:val="24"/>
        </w:rPr>
        <w:t>2.4</w:t>
      </w:r>
      <w:r w:rsidR="002F7D1C" w:rsidRPr="00F2040B">
        <w:rPr>
          <w:sz w:val="24"/>
          <w:szCs w:val="24"/>
        </w:rPr>
        <w:t xml:space="preserve">). Kiekvienam </w:t>
      </w:r>
      <w:r w:rsidR="006D6017" w:rsidRPr="00F2040B">
        <w:rPr>
          <w:sz w:val="24"/>
          <w:szCs w:val="24"/>
        </w:rPr>
        <w:t>P</w:t>
      </w:r>
      <w:r w:rsidR="002F7D1C" w:rsidRPr="00F2040B">
        <w:rPr>
          <w:sz w:val="24"/>
          <w:szCs w:val="24"/>
        </w:rPr>
        <w:t>A</w:t>
      </w:r>
      <w:r w:rsidR="002F7D1C" w:rsidRPr="00F2040B">
        <w:rPr>
          <w:sz w:val="24"/>
          <w:szCs w:val="24"/>
          <w:vertAlign w:val="subscript"/>
        </w:rPr>
        <w:t>1</w:t>
      </w:r>
      <w:r w:rsidR="002F7D1C" w:rsidRPr="00F2040B">
        <w:rPr>
          <w:sz w:val="24"/>
          <w:szCs w:val="24"/>
        </w:rPr>
        <w:t xml:space="preserve"> – </w:t>
      </w:r>
      <w:r w:rsidR="006D6017" w:rsidRPr="00F2040B">
        <w:rPr>
          <w:sz w:val="24"/>
          <w:szCs w:val="24"/>
        </w:rPr>
        <w:t>P</w:t>
      </w:r>
      <w:r w:rsidR="002F7D1C" w:rsidRPr="00F2040B">
        <w:rPr>
          <w:sz w:val="24"/>
          <w:szCs w:val="24"/>
        </w:rPr>
        <w:t>A</w:t>
      </w:r>
      <w:r w:rsidR="004445F8" w:rsidRPr="00F2040B">
        <w:rPr>
          <w:sz w:val="24"/>
          <w:szCs w:val="24"/>
          <w:vertAlign w:val="subscript"/>
        </w:rPr>
        <w:t>4</w:t>
      </w:r>
      <w:r w:rsidR="002F7D1C" w:rsidRPr="00F2040B">
        <w:rPr>
          <w:sz w:val="24"/>
          <w:szCs w:val="24"/>
        </w:rPr>
        <w:t xml:space="preserve"> parametrui skiriama po vieną balą.</w:t>
      </w:r>
    </w:p>
    <w:p w14:paraId="61A1D05B" w14:textId="77777777" w:rsidR="00781DB4" w:rsidRDefault="00781DB4" w:rsidP="00781DB4">
      <w:pPr>
        <w:pStyle w:val="Body"/>
        <w:jc w:val="both"/>
        <w:rPr>
          <w:b/>
          <w:bCs/>
        </w:rPr>
      </w:pPr>
    </w:p>
    <w:p w14:paraId="32D4B8DF" w14:textId="2CDB5BF3" w:rsidR="002F7D1C" w:rsidRPr="000C6297" w:rsidRDefault="002F7D1C" w:rsidP="00FB0332">
      <w:pPr>
        <w:pStyle w:val="Body"/>
        <w:jc w:val="both"/>
        <w:rPr>
          <w:sz w:val="24"/>
          <w:szCs w:val="24"/>
        </w:rPr>
      </w:pPr>
      <w:r w:rsidRPr="000C6297">
        <w:rPr>
          <w:b/>
          <w:bCs/>
        </w:rPr>
        <w:t xml:space="preserve">Lentelė </w:t>
      </w:r>
      <w:r w:rsidR="00FB0332">
        <w:rPr>
          <w:b/>
          <w:bCs/>
        </w:rPr>
        <w:t>4</w:t>
      </w:r>
      <w:r w:rsidRPr="000C6297">
        <w:rPr>
          <w:b/>
          <w:bCs/>
        </w:rPr>
        <w:t xml:space="preserve">. </w:t>
      </w:r>
      <w:r w:rsidR="006D6017" w:rsidRPr="000C6297">
        <w:rPr>
          <w:b/>
          <w:bCs/>
        </w:rPr>
        <w:t>P</w:t>
      </w:r>
      <w:r w:rsidRPr="000C6297">
        <w:rPr>
          <w:b/>
          <w:bCs/>
        </w:rPr>
        <w:t>T</w:t>
      </w:r>
      <w:r w:rsidRPr="000C6297">
        <w:rPr>
          <w:b/>
          <w:bCs/>
          <w:vertAlign w:val="subscript"/>
        </w:rPr>
        <w:t>1</w:t>
      </w:r>
      <w:r w:rsidRPr="000C6297">
        <w:rPr>
          <w:b/>
          <w:bCs/>
        </w:rPr>
        <w:t xml:space="preserve"> kriterijaus ekonomiškai naudingų parametrų sąrašas (</w:t>
      </w:r>
      <w:r w:rsidR="006D6017" w:rsidRPr="000C6297">
        <w:rPr>
          <w:b/>
          <w:bCs/>
        </w:rPr>
        <w:t>P</w:t>
      </w:r>
      <w:r w:rsidRPr="000C6297">
        <w:rPr>
          <w:b/>
          <w:bCs/>
        </w:rPr>
        <w:t>A</w:t>
      </w:r>
      <w:r w:rsidRPr="000C6297">
        <w:rPr>
          <w:b/>
          <w:bCs/>
          <w:vertAlign w:val="subscript"/>
        </w:rPr>
        <w:t>1</w:t>
      </w:r>
      <w:r w:rsidRPr="000C6297">
        <w:rPr>
          <w:b/>
          <w:bCs/>
        </w:rPr>
        <w:t xml:space="preserve"> – </w:t>
      </w:r>
      <w:r w:rsidR="006D6017" w:rsidRPr="000C6297">
        <w:rPr>
          <w:b/>
          <w:bCs/>
        </w:rPr>
        <w:t>P</w:t>
      </w:r>
      <w:r w:rsidRPr="000C6297">
        <w:rPr>
          <w:b/>
          <w:bCs/>
        </w:rPr>
        <w:t>A</w:t>
      </w:r>
      <w:r w:rsidR="004445F8" w:rsidRPr="000C6297">
        <w:rPr>
          <w:b/>
          <w:bCs/>
          <w:vertAlign w:val="subscript"/>
        </w:rPr>
        <w:t>4</w:t>
      </w:r>
      <w:r w:rsidRPr="000C6297">
        <w:rPr>
          <w:b/>
          <w:bCs/>
        </w:rPr>
        <w:t>).</w:t>
      </w:r>
    </w:p>
    <w:tbl>
      <w:tblPr>
        <w:tblW w:w="97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gridCol w:w="1763"/>
      </w:tblGrid>
      <w:tr w:rsidR="006F5A85" w:rsidRPr="00781DB4" w14:paraId="30BAA7BF" w14:textId="77777777" w:rsidTr="00FB0332">
        <w:trPr>
          <w:tblHeader/>
        </w:trPr>
        <w:tc>
          <w:tcPr>
            <w:tcW w:w="7938" w:type="dxa"/>
            <w:vAlign w:val="center"/>
            <w:hideMark/>
          </w:tcPr>
          <w:p w14:paraId="57BBCB53" w14:textId="51FABD02" w:rsidR="006F5A85" w:rsidRPr="00781DB4" w:rsidRDefault="00302C0E" w:rsidP="00302C0E">
            <w:pPr>
              <w:rPr>
                <w:b/>
                <w:bCs/>
                <w:sz w:val="20"/>
                <w:szCs w:val="20"/>
                <w:lang w:val="lt-LT" w:eastAsia="lt-LT"/>
              </w:rPr>
            </w:pPr>
            <w:r w:rsidRPr="00781DB4">
              <w:rPr>
                <w:b/>
                <w:bCs/>
                <w:sz w:val="20"/>
                <w:szCs w:val="20"/>
                <w:lang w:val="lt-LT" w:eastAsia="lt-LT"/>
              </w:rPr>
              <w:t>Tiekėjų kompetencijos ir profesinio pajėgumo reikalavimas</w:t>
            </w:r>
          </w:p>
        </w:tc>
        <w:tc>
          <w:tcPr>
            <w:tcW w:w="1763" w:type="dxa"/>
            <w:vAlign w:val="center"/>
            <w:hideMark/>
          </w:tcPr>
          <w:p w14:paraId="5A740A44" w14:textId="7ED703D1" w:rsidR="006F5A85" w:rsidRPr="00781DB4" w:rsidRDefault="006F5A85" w:rsidP="00302C0E">
            <w:pPr>
              <w:rPr>
                <w:sz w:val="20"/>
                <w:szCs w:val="20"/>
                <w:lang w:val="lt-LT" w:eastAsia="lt-LT"/>
              </w:rPr>
            </w:pPr>
            <w:r w:rsidRPr="00781DB4">
              <w:rPr>
                <w:b/>
                <w:bCs/>
                <w:sz w:val="20"/>
                <w:szCs w:val="20"/>
                <w:lang w:val="lt-LT"/>
              </w:rPr>
              <w:t>PT</w:t>
            </w:r>
            <w:r w:rsidRPr="00781DB4">
              <w:rPr>
                <w:b/>
                <w:bCs/>
                <w:sz w:val="20"/>
                <w:szCs w:val="20"/>
                <w:vertAlign w:val="subscript"/>
                <w:lang w:val="lt-LT"/>
              </w:rPr>
              <w:t>1</w:t>
            </w:r>
            <w:r w:rsidRPr="00781DB4">
              <w:rPr>
                <w:b/>
                <w:bCs/>
                <w:sz w:val="20"/>
                <w:szCs w:val="20"/>
                <w:lang w:val="lt-LT"/>
              </w:rPr>
              <w:t xml:space="preserve"> kriterijaus parametrai</w:t>
            </w:r>
          </w:p>
        </w:tc>
      </w:tr>
      <w:tr w:rsidR="00F2040B" w:rsidRPr="00781DB4" w14:paraId="081C2557" w14:textId="77777777" w:rsidTr="00FB0332">
        <w:tc>
          <w:tcPr>
            <w:tcW w:w="7938" w:type="dxa"/>
          </w:tcPr>
          <w:p w14:paraId="03C22A73" w14:textId="4ADA8F5E" w:rsidR="00F2040B" w:rsidRPr="00781DB4" w:rsidRDefault="00F2040B" w:rsidP="00F2040B">
            <w:pPr>
              <w:rPr>
                <w:sz w:val="20"/>
                <w:szCs w:val="20"/>
                <w:lang w:val="lt-LT"/>
              </w:rPr>
            </w:pPr>
            <w:r w:rsidRPr="00781DB4">
              <w:rPr>
                <w:sz w:val="20"/>
                <w:szCs w:val="20"/>
                <w:lang w:val="lt-LT"/>
              </w:rPr>
              <w:t>Per pastaruosius 3 metus arba per laiką nuo teikėjo registravimo dienos (jeigu teikėjas vykdė veiklą mažiau nei 3 metus) teikėjas yra suteikęs ne mažiau nei 1000 konsultavimo paslaugų, suteiktų kitoms patologijos tarnyboms ir/arba ASPĮ.</w:t>
            </w:r>
          </w:p>
        </w:tc>
        <w:tc>
          <w:tcPr>
            <w:tcW w:w="1763" w:type="dxa"/>
            <w:vAlign w:val="center"/>
            <w:hideMark/>
          </w:tcPr>
          <w:p w14:paraId="4AE32C02" w14:textId="09C0E4A5" w:rsidR="00F2040B" w:rsidRPr="00781DB4" w:rsidRDefault="00F2040B" w:rsidP="00F2040B">
            <w:pPr>
              <w:jc w:val="center"/>
              <w:rPr>
                <w:sz w:val="20"/>
                <w:szCs w:val="20"/>
                <w:lang w:val="lt-LT" w:eastAsia="lt-LT"/>
              </w:rPr>
            </w:pPr>
            <w:r w:rsidRPr="00781DB4">
              <w:rPr>
                <w:sz w:val="20"/>
                <w:szCs w:val="20"/>
                <w:lang w:val="lt-LT"/>
              </w:rPr>
              <w:t>PA</w:t>
            </w:r>
            <w:r w:rsidRPr="00781DB4">
              <w:rPr>
                <w:sz w:val="20"/>
                <w:szCs w:val="20"/>
                <w:vertAlign w:val="subscript"/>
                <w:lang w:val="lt-LT"/>
              </w:rPr>
              <w:t>1</w:t>
            </w:r>
          </w:p>
        </w:tc>
      </w:tr>
      <w:tr w:rsidR="00F2040B" w:rsidRPr="00781DB4" w14:paraId="3D45C7EF" w14:textId="77777777" w:rsidTr="00FB0332">
        <w:tc>
          <w:tcPr>
            <w:tcW w:w="7938" w:type="dxa"/>
          </w:tcPr>
          <w:p w14:paraId="3AD14190" w14:textId="3DBAD760" w:rsidR="00F2040B" w:rsidRPr="00781DB4" w:rsidRDefault="00F2040B" w:rsidP="00F2040B">
            <w:pPr>
              <w:rPr>
                <w:sz w:val="20"/>
                <w:szCs w:val="20"/>
                <w:lang w:val="lt-LT"/>
              </w:rPr>
            </w:pPr>
            <w:r w:rsidRPr="00781DB4">
              <w:rPr>
                <w:sz w:val="20"/>
                <w:szCs w:val="20"/>
                <w:lang w:val="lt-LT"/>
              </w:rPr>
              <w:t>Per pastaruosius 3 kalendorinius metus (arba per laiką nuo teikėjo registravimo dienos, jeigu teikėjas vykdė veiklą mažiau nei 3 metus) paslaugos teikėjo įstaigoje diagnozuota ne mažiau kaip 10000 piktybinių navikų atvejų (TLK klasifikacijoje diagnozė priskiriama C kategorijai).</w:t>
            </w:r>
          </w:p>
        </w:tc>
        <w:tc>
          <w:tcPr>
            <w:tcW w:w="1763" w:type="dxa"/>
            <w:vAlign w:val="center"/>
            <w:hideMark/>
          </w:tcPr>
          <w:p w14:paraId="08CD0BAE" w14:textId="481053A0" w:rsidR="00F2040B" w:rsidRPr="00781DB4" w:rsidRDefault="00F2040B" w:rsidP="00F2040B">
            <w:pPr>
              <w:jc w:val="center"/>
              <w:rPr>
                <w:sz w:val="20"/>
                <w:szCs w:val="20"/>
                <w:lang w:val="lt-LT" w:eastAsia="lt-LT"/>
              </w:rPr>
            </w:pPr>
            <w:r w:rsidRPr="00781DB4">
              <w:rPr>
                <w:sz w:val="20"/>
                <w:szCs w:val="20"/>
                <w:lang w:val="lt-LT"/>
              </w:rPr>
              <w:t>PA</w:t>
            </w:r>
            <w:r w:rsidRPr="00781DB4">
              <w:rPr>
                <w:sz w:val="20"/>
                <w:szCs w:val="20"/>
                <w:vertAlign w:val="subscript"/>
                <w:lang w:val="lt-LT"/>
              </w:rPr>
              <w:t>2</w:t>
            </w:r>
          </w:p>
        </w:tc>
      </w:tr>
      <w:tr w:rsidR="00F2040B" w:rsidRPr="00781DB4" w14:paraId="1DFCFE1F" w14:textId="77777777" w:rsidTr="00FB0332">
        <w:tc>
          <w:tcPr>
            <w:tcW w:w="7938" w:type="dxa"/>
          </w:tcPr>
          <w:p w14:paraId="3913FEBB" w14:textId="43E549A1" w:rsidR="00F2040B" w:rsidRPr="00781DB4" w:rsidRDefault="00F2040B" w:rsidP="00F2040B">
            <w:pPr>
              <w:rPr>
                <w:sz w:val="20"/>
                <w:szCs w:val="20"/>
                <w:lang w:val="lt-LT"/>
              </w:rPr>
            </w:pPr>
            <w:r w:rsidRPr="00781DB4">
              <w:rPr>
                <w:sz w:val="20"/>
                <w:szCs w:val="20"/>
                <w:lang w:val="lt-LT"/>
              </w:rPr>
              <w:t>Tiekėjo dirbančių gydytojų patologų skaičius didžiausias</w:t>
            </w:r>
          </w:p>
        </w:tc>
        <w:tc>
          <w:tcPr>
            <w:tcW w:w="1763" w:type="dxa"/>
            <w:vAlign w:val="center"/>
            <w:hideMark/>
          </w:tcPr>
          <w:p w14:paraId="4F201CC8" w14:textId="3564F81E" w:rsidR="00F2040B" w:rsidRPr="00781DB4" w:rsidRDefault="00F2040B" w:rsidP="00F2040B">
            <w:pPr>
              <w:jc w:val="center"/>
              <w:rPr>
                <w:sz w:val="20"/>
                <w:szCs w:val="20"/>
                <w:lang w:val="lt-LT" w:eastAsia="lt-LT"/>
              </w:rPr>
            </w:pPr>
            <w:r w:rsidRPr="00781DB4">
              <w:rPr>
                <w:sz w:val="20"/>
                <w:szCs w:val="20"/>
                <w:lang w:val="lt-LT"/>
              </w:rPr>
              <w:t>PA</w:t>
            </w:r>
            <w:r w:rsidRPr="00781DB4">
              <w:rPr>
                <w:sz w:val="20"/>
                <w:szCs w:val="20"/>
                <w:vertAlign w:val="subscript"/>
                <w:lang w:val="lt-LT"/>
              </w:rPr>
              <w:t>3</w:t>
            </w:r>
          </w:p>
        </w:tc>
      </w:tr>
      <w:tr w:rsidR="00F2040B" w:rsidRPr="00781DB4" w14:paraId="3920DB11" w14:textId="77777777" w:rsidTr="00FB0332">
        <w:tc>
          <w:tcPr>
            <w:tcW w:w="7938" w:type="dxa"/>
          </w:tcPr>
          <w:p w14:paraId="0DADC075" w14:textId="4E467177" w:rsidR="00F2040B" w:rsidRPr="00781DB4" w:rsidRDefault="00F2040B" w:rsidP="00F2040B">
            <w:pPr>
              <w:rPr>
                <w:sz w:val="20"/>
                <w:szCs w:val="20"/>
                <w:lang w:val="lt-LT"/>
              </w:rPr>
            </w:pPr>
            <w:r w:rsidRPr="00781DB4">
              <w:rPr>
                <w:sz w:val="20"/>
                <w:szCs w:val="20"/>
                <w:lang w:val="lt-LT"/>
              </w:rPr>
              <w:t xml:space="preserve">Tiekėjo laboratorijoje įdiegta daugiausia </w:t>
            </w:r>
            <w:proofErr w:type="spellStart"/>
            <w:r w:rsidRPr="00781DB4">
              <w:rPr>
                <w:sz w:val="20"/>
                <w:szCs w:val="20"/>
                <w:lang w:val="lt-LT"/>
              </w:rPr>
              <w:t>imunohistocheminių</w:t>
            </w:r>
            <w:proofErr w:type="spellEnd"/>
            <w:r w:rsidRPr="00781DB4">
              <w:rPr>
                <w:sz w:val="20"/>
                <w:szCs w:val="20"/>
                <w:lang w:val="lt-LT"/>
              </w:rPr>
              <w:t xml:space="preserve"> žymenų patologijos diagnostikai.</w:t>
            </w:r>
          </w:p>
        </w:tc>
        <w:tc>
          <w:tcPr>
            <w:tcW w:w="1763" w:type="dxa"/>
            <w:vAlign w:val="center"/>
            <w:hideMark/>
          </w:tcPr>
          <w:p w14:paraId="5DBD1022" w14:textId="7D8F6C50" w:rsidR="00F2040B" w:rsidRPr="00781DB4" w:rsidRDefault="00F2040B" w:rsidP="00F2040B">
            <w:pPr>
              <w:jc w:val="center"/>
              <w:rPr>
                <w:sz w:val="20"/>
                <w:szCs w:val="20"/>
                <w:lang w:val="lt-LT" w:eastAsia="lt-LT"/>
              </w:rPr>
            </w:pPr>
            <w:r w:rsidRPr="00781DB4">
              <w:rPr>
                <w:sz w:val="20"/>
                <w:szCs w:val="20"/>
                <w:lang w:val="lt-LT"/>
              </w:rPr>
              <w:t>PA</w:t>
            </w:r>
            <w:r w:rsidRPr="00781DB4">
              <w:rPr>
                <w:sz w:val="20"/>
                <w:szCs w:val="20"/>
                <w:vertAlign w:val="subscript"/>
                <w:lang w:val="lt-LT"/>
              </w:rPr>
              <w:t>4</w:t>
            </w:r>
          </w:p>
        </w:tc>
      </w:tr>
    </w:tbl>
    <w:p w14:paraId="4208E690" w14:textId="77777777" w:rsidR="00630E5E" w:rsidRDefault="00630E5E" w:rsidP="00630E5E">
      <w:pPr>
        <w:pStyle w:val="Body"/>
        <w:ind w:left="426"/>
        <w:jc w:val="both"/>
        <w:rPr>
          <w:kern w:val="24"/>
          <w:sz w:val="24"/>
          <w:szCs w:val="24"/>
        </w:rPr>
      </w:pPr>
    </w:p>
    <w:p w14:paraId="31C24481" w14:textId="00BEA138" w:rsidR="00C84A7A" w:rsidRPr="00E65521" w:rsidRDefault="00667F51" w:rsidP="00287F6C">
      <w:pPr>
        <w:pStyle w:val="Body"/>
        <w:numPr>
          <w:ilvl w:val="0"/>
          <w:numId w:val="1"/>
        </w:numPr>
        <w:ind w:left="426"/>
        <w:jc w:val="both"/>
        <w:rPr>
          <w:kern w:val="24"/>
          <w:sz w:val="24"/>
          <w:szCs w:val="24"/>
        </w:rPr>
      </w:pPr>
      <w:r w:rsidRPr="00667F51">
        <w:rPr>
          <w:kern w:val="24"/>
          <w:sz w:val="24"/>
          <w:szCs w:val="24"/>
        </w:rPr>
        <w:t>Paslaugų teikimo organizavimo reikalavim</w:t>
      </w:r>
      <w:r>
        <w:rPr>
          <w:kern w:val="24"/>
          <w:sz w:val="24"/>
          <w:szCs w:val="24"/>
        </w:rPr>
        <w:t>ų kriterijus</w:t>
      </w:r>
      <w:r w:rsidRPr="00667F51">
        <w:rPr>
          <w:kern w:val="24"/>
          <w:sz w:val="24"/>
          <w:szCs w:val="24"/>
        </w:rPr>
        <w:t xml:space="preserve"> </w:t>
      </w:r>
      <w:r w:rsidR="009379E5" w:rsidRPr="00F2040B">
        <w:rPr>
          <w:kern w:val="24"/>
          <w:sz w:val="24"/>
          <w:szCs w:val="24"/>
        </w:rPr>
        <w:t>(</w:t>
      </w:r>
      <w:r w:rsidR="00B76FF6" w:rsidRPr="00F2040B">
        <w:rPr>
          <w:kern w:val="24"/>
          <w:sz w:val="24"/>
          <w:szCs w:val="24"/>
        </w:rPr>
        <w:t>P</w:t>
      </w:r>
      <w:r w:rsidR="009379E5" w:rsidRPr="00F2040B">
        <w:rPr>
          <w:kern w:val="24"/>
          <w:sz w:val="24"/>
          <w:szCs w:val="24"/>
        </w:rPr>
        <w:t>T</w:t>
      </w:r>
      <w:r w:rsidR="00B76FF6" w:rsidRPr="00F2040B">
        <w:rPr>
          <w:kern w:val="24"/>
          <w:sz w:val="24"/>
          <w:szCs w:val="24"/>
          <w:vertAlign w:val="subscript"/>
        </w:rPr>
        <w:t>2</w:t>
      </w:r>
      <w:r w:rsidR="009379E5" w:rsidRPr="00F2040B">
        <w:rPr>
          <w:kern w:val="24"/>
          <w:sz w:val="24"/>
          <w:szCs w:val="24"/>
        </w:rPr>
        <w:t xml:space="preserve">) </w:t>
      </w:r>
      <w:r w:rsidR="00C96FE8">
        <w:rPr>
          <w:kern w:val="24"/>
          <w:sz w:val="24"/>
          <w:szCs w:val="24"/>
        </w:rPr>
        <w:t>sudarytas iš vieno parametro (</w:t>
      </w:r>
      <w:r w:rsidR="00B4303C" w:rsidRPr="00F2040B">
        <w:rPr>
          <w:kern w:val="24"/>
          <w:sz w:val="24"/>
          <w:szCs w:val="24"/>
        </w:rPr>
        <w:t>PB</w:t>
      </w:r>
      <w:r w:rsidR="004E1E04" w:rsidRPr="00F2040B">
        <w:rPr>
          <w:kern w:val="24"/>
          <w:sz w:val="24"/>
          <w:szCs w:val="24"/>
          <w:vertAlign w:val="subscript"/>
        </w:rPr>
        <w:t>1</w:t>
      </w:r>
      <w:r w:rsidR="00C96FE8">
        <w:rPr>
          <w:kern w:val="24"/>
          <w:sz w:val="24"/>
          <w:szCs w:val="24"/>
        </w:rPr>
        <w:t>) (</w:t>
      </w:r>
      <w:r w:rsidR="004E1E04" w:rsidRPr="00F2040B">
        <w:rPr>
          <w:kern w:val="24"/>
          <w:sz w:val="24"/>
          <w:szCs w:val="24"/>
        </w:rPr>
        <w:t xml:space="preserve">lentelė </w:t>
      </w:r>
      <w:r w:rsidR="008D51AA">
        <w:rPr>
          <w:kern w:val="24"/>
          <w:sz w:val="24"/>
          <w:szCs w:val="24"/>
        </w:rPr>
        <w:t>5</w:t>
      </w:r>
      <w:r w:rsidR="00A343F5" w:rsidRPr="00F2040B">
        <w:rPr>
          <w:kern w:val="24"/>
          <w:sz w:val="24"/>
          <w:szCs w:val="24"/>
        </w:rPr>
        <w:t xml:space="preserve"> žemiau ir </w:t>
      </w:r>
      <w:r w:rsidR="00A343F5" w:rsidRPr="00F2040B">
        <w:rPr>
          <w:sz w:val="24"/>
          <w:szCs w:val="24"/>
        </w:rPr>
        <w:t xml:space="preserve">Techninės specifikacijos </w:t>
      </w:r>
      <w:r w:rsidR="00A343F5" w:rsidRPr="00F2040B">
        <w:rPr>
          <w:i/>
          <w:iCs/>
          <w:sz w:val="24"/>
          <w:szCs w:val="24"/>
        </w:rPr>
        <w:t>Excel</w:t>
      </w:r>
      <w:r w:rsidR="00A343F5" w:rsidRPr="00F2040B">
        <w:rPr>
          <w:sz w:val="24"/>
          <w:szCs w:val="24"/>
        </w:rPr>
        <w:t xml:space="preserve"> lentelė Nr. </w:t>
      </w:r>
      <w:r w:rsidR="00B4303C" w:rsidRPr="00F2040B">
        <w:rPr>
          <w:sz w:val="24"/>
          <w:szCs w:val="24"/>
        </w:rPr>
        <w:t>2.</w:t>
      </w:r>
      <w:r w:rsidR="00197C96" w:rsidRPr="00F2040B">
        <w:rPr>
          <w:sz w:val="24"/>
          <w:szCs w:val="24"/>
        </w:rPr>
        <w:t>5</w:t>
      </w:r>
      <w:r w:rsidR="00E5342F">
        <w:rPr>
          <w:sz w:val="24"/>
          <w:szCs w:val="24"/>
        </w:rPr>
        <w:t>)</w:t>
      </w:r>
      <w:r w:rsidR="00403125" w:rsidRPr="00F2040B">
        <w:rPr>
          <w:sz w:val="24"/>
          <w:szCs w:val="24"/>
        </w:rPr>
        <w:t>.</w:t>
      </w:r>
      <w:r w:rsidR="00E5342F">
        <w:rPr>
          <w:sz w:val="24"/>
          <w:szCs w:val="24"/>
        </w:rPr>
        <w:t xml:space="preserve"> </w:t>
      </w:r>
      <w:r w:rsidR="00E5342F" w:rsidRPr="00F2040B">
        <w:rPr>
          <w:kern w:val="24"/>
          <w:sz w:val="24"/>
          <w:szCs w:val="24"/>
        </w:rPr>
        <w:t>PB</w:t>
      </w:r>
      <w:r w:rsidR="00E5342F" w:rsidRPr="00F2040B">
        <w:rPr>
          <w:kern w:val="24"/>
          <w:sz w:val="24"/>
          <w:szCs w:val="24"/>
          <w:vertAlign w:val="subscript"/>
        </w:rPr>
        <w:t>1</w:t>
      </w:r>
      <w:r w:rsidR="00E5342F">
        <w:rPr>
          <w:kern w:val="24"/>
          <w:sz w:val="24"/>
          <w:szCs w:val="24"/>
        </w:rPr>
        <w:t xml:space="preserve"> </w:t>
      </w:r>
      <w:r w:rsidR="00D866DC">
        <w:rPr>
          <w:kern w:val="24"/>
          <w:sz w:val="24"/>
          <w:szCs w:val="24"/>
        </w:rPr>
        <w:t>parametrui suteikiama 10 balų.</w:t>
      </w:r>
    </w:p>
    <w:p w14:paraId="18B1AE57" w14:textId="77777777" w:rsidR="00E65521" w:rsidRPr="00C84A7A" w:rsidRDefault="00E65521" w:rsidP="00E65521">
      <w:pPr>
        <w:pStyle w:val="Body"/>
        <w:ind w:left="66"/>
        <w:jc w:val="both"/>
        <w:rPr>
          <w:kern w:val="24"/>
          <w:sz w:val="24"/>
          <w:szCs w:val="24"/>
        </w:rPr>
      </w:pPr>
    </w:p>
    <w:p w14:paraId="5DB07936" w14:textId="1D1F1933" w:rsidR="00667F51" w:rsidRPr="00667F51" w:rsidRDefault="00C84A7A" w:rsidP="0045048F">
      <w:pPr>
        <w:pStyle w:val="Body"/>
        <w:numPr>
          <w:ilvl w:val="1"/>
          <w:numId w:val="1"/>
        </w:numPr>
        <w:tabs>
          <w:tab w:val="left" w:pos="993"/>
        </w:tabs>
        <w:jc w:val="both"/>
        <w:rPr>
          <w:kern w:val="24"/>
          <w:sz w:val="24"/>
          <w:szCs w:val="24"/>
        </w:rPr>
      </w:pPr>
      <w:r w:rsidRPr="00C84A7A">
        <w:rPr>
          <w:kern w:val="24"/>
          <w:sz w:val="24"/>
          <w:szCs w:val="24"/>
        </w:rPr>
        <w:t>Vertinamas paslaugos teikimo organizavimo modelis, t.</w:t>
      </w:r>
      <w:r>
        <w:rPr>
          <w:kern w:val="24"/>
          <w:sz w:val="24"/>
          <w:szCs w:val="24"/>
        </w:rPr>
        <w:t xml:space="preserve"> </w:t>
      </w:r>
      <w:r w:rsidRPr="00C84A7A">
        <w:rPr>
          <w:kern w:val="24"/>
          <w:sz w:val="24"/>
          <w:szCs w:val="24"/>
        </w:rPr>
        <w:t>y. ar tiekėjas, teikdamas paslaugą visas techninėje specifikacijoje išvardintas paciento patologijos ištyrimui reikalingas procedūras atliks savo laboratorijoje ar ketina remtis subrangovų pajėgumais. Perkančiajai organizacijai svarbu, kad visi patologijos tyrimai būtų atliekami toje pačioje laboratorijoje. Tai leidžia užtikrinti sklandų mėginių tvarkymo procesą ir sumažina klaidų riziką, kuri gali kilti pervežant mėginius tarp skirtingų subrangovų. Centralizuotas tyrimų atlikimas leidžia išlaikyti aukštus kokybės standartus, optimizuoti procesus ir užtikrinti greitesnius bei tiksliau interpretuojamus rezultatus, o tai ypač svarbu pacientų sveikatos priežiūrai.</w:t>
      </w:r>
    </w:p>
    <w:p w14:paraId="2F9FEE71" w14:textId="77777777" w:rsidR="00667F51" w:rsidRDefault="00667F51" w:rsidP="00667F51">
      <w:pPr>
        <w:pStyle w:val="Body"/>
        <w:ind w:left="426"/>
        <w:jc w:val="both"/>
        <w:rPr>
          <w:b/>
          <w:bCs/>
        </w:rPr>
      </w:pPr>
    </w:p>
    <w:p w14:paraId="54798BB2" w14:textId="03677DE0" w:rsidR="00287F6C" w:rsidRPr="00667F51" w:rsidRDefault="00287F6C" w:rsidP="00E65521">
      <w:pPr>
        <w:pStyle w:val="Body"/>
        <w:jc w:val="both"/>
        <w:rPr>
          <w:kern w:val="24"/>
          <w:sz w:val="24"/>
          <w:szCs w:val="24"/>
        </w:rPr>
      </w:pPr>
      <w:r w:rsidRPr="00667F51">
        <w:rPr>
          <w:b/>
          <w:bCs/>
        </w:rPr>
        <w:t xml:space="preserve">Lentelė </w:t>
      </w:r>
      <w:r w:rsidR="008D51AA">
        <w:rPr>
          <w:b/>
          <w:bCs/>
        </w:rPr>
        <w:t>5</w:t>
      </w:r>
      <w:r w:rsidRPr="00667F51">
        <w:rPr>
          <w:b/>
          <w:bCs/>
        </w:rPr>
        <w:t>. PT</w:t>
      </w:r>
      <w:r w:rsidRPr="00667F51">
        <w:rPr>
          <w:b/>
          <w:bCs/>
          <w:vertAlign w:val="subscript"/>
        </w:rPr>
        <w:t>2</w:t>
      </w:r>
      <w:r w:rsidRPr="00667F51">
        <w:rPr>
          <w:b/>
          <w:bCs/>
        </w:rPr>
        <w:t xml:space="preserve"> kriterijaus ekonomiškai nauding</w:t>
      </w:r>
      <w:r w:rsidR="00667F51" w:rsidRPr="00667F51">
        <w:rPr>
          <w:b/>
          <w:bCs/>
        </w:rPr>
        <w:t>as</w:t>
      </w:r>
      <w:r w:rsidRPr="00667F51">
        <w:rPr>
          <w:b/>
          <w:bCs/>
        </w:rPr>
        <w:t xml:space="preserve"> parametr</w:t>
      </w:r>
      <w:r w:rsidR="00667F51" w:rsidRPr="00667F51">
        <w:rPr>
          <w:b/>
          <w:bCs/>
        </w:rPr>
        <w:t>as</w:t>
      </w:r>
      <w:r w:rsidRPr="00667F51">
        <w:rPr>
          <w:b/>
          <w:bCs/>
        </w:rPr>
        <w:t xml:space="preserve"> (P</w:t>
      </w:r>
      <w:r w:rsidR="00A91139" w:rsidRPr="00667F51">
        <w:rPr>
          <w:b/>
          <w:bCs/>
        </w:rPr>
        <w:t>B</w:t>
      </w:r>
      <w:r w:rsidRPr="00667F51">
        <w:rPr>
          <w:b/>
          <w:bCs/>
          <w:vertAlign w:val="subscript"/>
        </w:rPr>
        <w:t>1</w:t>
      </w:r>
      <w:r w:rsidRPr="00667F51">
        <w:rPr>
          <w:b/>
          <w:bCs/>
        </w:rPr>
        <w:t>).</w:t>
      </w:r>
    </w:p>
    <w:tbl>
      <w:tblPr>
        <w:tblW w:w="96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gridCol w:w="1706"/>
      </w:tblGrid>
      <w:tr w:rsidR="00287F6C" w:rsidRPr="00781DB4" w14:paraId="4B0F963F" w14:textId="77777777" w:rsidTr="00E65521">
        <w:tc>
          <w:tcPr>
            <w:tcW w:w="7938" w:type="dxa"/>
            <w:vAlign w:val="center"/>
            <w:hideMark/>
          </w:tcPr>
          <w:p w14:paraId="17E92E36" w14:textId="40F73060" w:rsidR="00287F6C" w:rsidRPr="00781DB4" w:rsidRDefault="00EE6179" w:rsidP="00EE6179">
            <w:pPr>
              <w:rPr>
                <w:b/>
                <w:bCs/>
                <w:sz w:val="20"/>
                <w:szCs w:val="20"/>
                <w:lang w:val="lt-LT" w:eastAsia="lt-LT"/>
              </w:rPr>
            </w:pPr>
            <w:r w:rsidRPr="00781DB4">
              <w:rPr>
                <w:b/>
                <w:bCs/>
                <w:sz w:val="20"/>
                <w:szCs w:val="20"/>
                <w:lang w:val="lt-LT" w:eastAsia="lt-LT"/>
              </w:rPr>
              <w:t>Paslaugų teikimo organizavimo reikalavimas</w:t>
            </w:r>
          </w:p>
        </w:tc>
        <w:tc>
          <w:tcPr>
            <w:tcW w:w="1706" w:type="dxa"/>
            <w:vAlign w:val="center"/>
            <w:hideMark/>
          </w:tcPr>
          <w:p w14:paraId="679E9D90" w14:textId="75360695" w:rsidR="00287F6C" w:rsidRPr="00781DB4" w:rsidRDefault="00287F6C" w:rsidP="00EE6179">
            <w:pPr>
              <w:rPr>
                <w:b/>
                <w:bCs/>
                <w:sz w:val="20"/>
                <w:szCs w:val="20"/>
                <w:lang w:val="lt-LT" w:eastAsia="lt-LT"/>
              </w:rPr>
            </w:pPr>
            <w:r w:rsidRPr="00781DB4">
              <w:rPr>
                <w:b/>
                <w:bCs/>
                <w:sz w:val="20"/>
                <w:szCs w:val="20"/>
                <w:lang w:val="lt-LT"/>
              </w:rPr>
              <w:t>PT</w:t>
            </w:r>
            <w:r w:rsidRPr="00781DB4">
              <w:rPr>
                <w:b/>
                <w:bCs/>
                <w:sz w:val="20"/>
                <w:szCs w:val="20"/>
                <w:vertAlign w:val="subscript"/>
                <w:lang w:val="lt-LT"/>
              </w:rPr>
              <w:t>2</w:t>
            </w:r>
            <w:r w:rsidRPr="00781DB4">
              <w:rPr>
                <w:b/>
                <w:bCs/>
                <w:sz w:val="20"/>
                <w:szCs w:val="20"/>
                <w:lang w:val="lt-LT"/>
              </w:rPr>
              <w:t xml:space="preserve"> kriterijaus parametrai</w:t>
            </w:r>
          </w:p>
        </w:tc>
      </w:tr>
      <w:tr w:rsidR="00287F6C" w:rsidRPr="00781DB4" w14:paraId="446C0B83" w14:textId="77777777" w:rsidTr="00E65521">
        <w:tc>
          <w:tcPr>
            <w:tcW w:w="7938" w:type="dxa"/>
            <w:hideMark/>
          </w:tcPr>
          <w:p w14:paraId="3003CF2C" w14:textId="73019778" w:rsidR="00287F6C" w:rsidRPr="00781DB4" w:rsidRDefault="00D866DC" w:rsidP="00287F6C">
            <w:pPr>
              <w:rPr>
                <w:sz w:val="20"/>
                <w:szCs w:val="20"/>
                <w:lang w:val="lt-LT" w:eastAsia="lt-LT"/>
              </w:rPr>
            </w:pPr>
            <w:r w:rsidRPr="00781DB4">
              <w:rPr>
                <w:sz w:val="20"/>
                <w:szCs w:val="20"/>
                <w:lang w:val="lt-LT" w:eastAsia="lt-LT"/>
              </w:rPr>
              <w:t xml:space="preserve">Tiekėjas visus specifikacijoje išvardintus </w:t>
            </w:r>
            <w:proofErr w:type="spellStart"/>
            <w:r w:rsidRPr="00781DB4">
              <w:rPr>
                <w:sz w:val="20"/>
                <w:szCs w:val="20"/>
                <w:lang w:val="lt-LT" w:eastAsia="lt-LT"/>
              </w:rPr>
              <w:t>citopatologijos</w:t>
            </w:r>
            <w:proofErr w:type="spellEnd"/>
            <w:r w:rsidRPr="00781DB4">
              <w:rPr>
                <w:sz w:val="20"/>
                <w:szCs w:val="20"/>
                <w:lang w:val="lt-LT" w:eastAsia="lt-LT"/>
              </w:rPr>
              <w:t xml:space="preserve">, operacinės ir </w:t>
            </w:r>
            <w:proofErr w:type="spellStart"/>
            <w:r w:rsidRPr="00781DB4">
              <w:rPr>
                <w:sz w:val="20"/>
                <w:szCs w:val="20"/>
                <w:lang w:val="lt-LT" w:eastAsia="lt-LT"/>
              </w:rPr>
              <w:t>biopsinės</w:t>
            </w:r>
            <w:proofErr w:type="spellEnd"/>
            <w:r w:rsidRPr="00781DB4">
              <w:rPr>
                <w:sz w:val="20"/>
                <w:szCs w:val="20"/>
                <w:lang w:val="lt-LT" w:eastAsia="lt-LT"/>
              </w:rPr>
              <w:t xml:space="preserve"> medžiagos tyrimus, įskaitant specialiuosius tyrimo metodus atlieka pats, t. y. nepasitelkdamas subrangovo.</w:t>
            </w:r>
          </w:p>
        </w:tc>
        <w:tc>
          <w:tcPr>
            <w:tcW w:w="1706" w:type="dxa"/>
            <w:vAlign w:val="center"/>
            <w:hideMark/>
          </w:tcPr>
          <w:p w14:paraId="1D2F8E1F" w14:textId="594315A5" w:rsidR="00287F6C" w:rsidRPr="00781DB4" w:rsidRDefault="00287F6C" w:rsidP="00287F6C">
            <w:pPr>
              <w:jc w:val="center"/>
              <w:rPr>
                <w:sz w:val="20"/>
                <w:szCs w:val="20"/>
                <w:lang w:val="lt-LT" w:eastAsia="lt-LT"/>
              </w:rPr>
            </w:pPr>
            <w:r w:rsidRPr="00781DB4">
              <w:rPr>
                <w:sz w:val="20"/>
                <w:szCs w:val="20"/>
                <w:lang w:val="lt-LT"/>
              </w:rPr>
              <w:t>PB</w:t>
            </w:r>
            <w:r w:rsidRPr="00781DB4">
              <w:rPr>
                <w:sz w:val="20"/>
                <w:szCs w:val="20"/>
                <w:vertAlign w:val="subscript"/>
                <w:lang w:val="lt-LT"/>
              </w:rPr>
              <w:t>1</w:t>
            </w:r>
          </w:p>
        </w:tc>
      </w:tr>
    </w:tbl>
    <w:p w14:paraId="492D78BD" w14:textId="77777777" w:rsidR="005A3A58" w:rsidRDefault="005A3A58" w:rsidP="00287F6C">
      <w:pPr>
        <w:pStyle w:val="Body"/>
        <w:jc w:val="both"/>
        <w:rPr>
          <w:kern w:val="24"/>
          <w:sz w:val="24"/>
          <w:szCs w:val="24"/>
        </w:rPr>
      </w:pPr>
    </w:p>
    <w:p w14:paraId="5F7F33D9" w14:textId="2E95DD75" w:rsidR="002D10DC" w:rsidRPr="00F41D53" w:rsidRDefault="002D10DC" w:rsidP="002D10DC">
      <w:pPr>
        <w:pStyle w:val="Body"/>
        <w:numPr>
          <w:ilvl w:val="0"/>
          <w:numId w:val="1"/>
        </w:numPr>
        <w:jc w:val="both"/>
        <w:rPr>
          <w:kern w:val="24"/>
          <w:sz w:val="24"/>
          <w:szCs w:val="24"/>
        </w:rPr>
      </w:pPr>
      <w:r w:rsidRPr="002D10DC">
        <w:rPr>
          <w:kern w:val="24"/>
          <w:sz w:val="24"/>
          <w:szCs w:val="24"/>
        </w:rPr>
        <w:t xml:space="preserve">Aplinkosaugos </w:t>
      </w:r>
      <w:r w:rsidRPr="00667F51">
        <w:rPr>
          <w:kern w:val="24"/>
          <w:sz w:val="24"/>
          <w:szCs w:val="24"/>
        </w:rPr>
        <w:t>reikalavim</w:t>
      </w:r>
      <w:r>
        <w:rPr>
          <w:kern w:val="24"/>
          <w:sz w:val="24"/>
          <w:szCs w:val="24"/>
        </w:rPr>
        <w:t>ų kriterijus</w:t>
      </w:r>
      <w:r w:rsidRPr="00667F51">
        <w:rPr>
          <w:kern w:val="24"/>
          <w:sz w:val="24"/>
          <w:szCs w:val="24"/>
        </w:rPr>
        <w:t xml:space="preserve"> </w:t>
      </w:r>
      <w:r w:rsidRPr="00F2040B">
        <w:rPr>
          <w:kern w:val="24"/>
          <w:sz w:val="24"/>
          <w:szCs w:val="24"/>
        </w:rPr>
        <w:t>(PT</w:t>
      </w:r>
      <w:r>
        <w:rPr>
          <w:kern w:val="24"/>
          <w:sz w:val="24"/>
          <w:szCs w:val="24"/>
          <w:vertAlign w:val="subscript"/>
        </w:rPr>
        <w:t>3</w:t>
      </w:r>
      <w:r w:rsidRPr="00F2040B">
        <w:rPr>
          <w:kern w:val="24"/>
          <w:sz w:val="24"/>
          <w:szCs w:val="24"/>
        </w:rPr>
        <w:t xml:space="preserve">) </w:t>
      </w:r>
      <w:r>
        <w:rPr>
          <w:kern w:val="24"/>
          <w:sz w:val="24"/>
          <w:szCs w:val="24"/>
        </w:rPr>
        <w:t>sudarytas iš vieno parametro (</w:t>
      </w:r>
      <w:r w:rsidRPr="00F2040B">
        <w:rPr>
          <w:kern w:val="24"/>
          <w:sz w:val="24"/>
          <w:szCs w:val="24"/>
        </w:rPr>
        <w:t>P</w:t>
      </w:r>
      <w:r>
        <w:rPr>
          <w:kern w:val="24"/>
          <w:sz w:val="24"/>
          <w:szCs w:val="24"/>
        </w:rPr>
        <w:t>C</w:t>
      </w:r>
      <w:r w:rsidRPr="00F2040B">
        <w:rPr>
          <w:kern w:val="24"/>
          <w:sz w:val="24"/>
          <w:szCs w:val="24"/>
          <w:vertAlign w:val="subscript"/>
        </w:rPr>
        <w:t>1</w:t>
      </w:r>
      <w:r>
        <w:rPr>
          <w:kern w:val="24"/>
          <w:sz w:val="24"/>
          <w:szCs w:val="24"/>
        </w:rPr>
        <w:t>) (</w:t>
      </w:r>
      <w:r w:rsidRPr="00F2040B">
        <w:rPr>
          <w:kern w:val="24"/>
          <w:sz w:val="24"/>
          <w:szCs w:val="24"/>
        </w:rPr>
        <w:t xml:space="preserve">lentelė </w:t>
      </w:r>
      <w:r>
        <w:rPr>
          <w:kern w:val="24"/>
          <w:sz w:val="24"/>
          <w:szCs w:val="24"/>
        </w:rPr>
        <w:t>4</w:t>
      </w:r>
      <w:r w:rsidRPr="00F2040B">
        <w:rPr>
          <w:kern w:val="24"/>
          <w:sz w:val="24"/>
          <w:szCs w:val="24"/>
        </w:rPr>
        <w:t xml:space="preserve"> žemiau ir </w:t>
      </w:r>
      <w:r w:rsidRPr="00F2040B">
        <w:rPr>
          <w:sz w:val="24"/>
          <w:szCs w:val="24"/>
        </w:rPr>
        <w:t xml:space="preserve">Techninės specifikacijos </w:t>
      </w:r>
      <w:r w:rsidRPr="00F2040B">
        <w:rPr>
          <w:i/>
          <w:iCs/>
          <w:sz w:val="24"/>
          <w:szCs w:val="24"/>
        </w:rPr>
        <w:t>Excel</w:t>
      </w:r>
      <w:r w:rsidRPr="00F2040B">
        <w:rPr>
          <w:sz w:val="24"/>
          <w:szCs w:val="24"/>
        </w:rPr>
        <w:t xml:space="preserve"> lentelė Nr. 2.</w:t>
      </w:r>
      <w:r>
        <w:rPr>
          <w:sz w:val="24"/>
          <w:szCs w:val="24"/>
        </w:rPr>
        <w:t>6)</w:t>
      </w:r>
      <w:r w:rsidRPr="00F2040B">
        <w:rPr>
          <w:sz w:val="24"/>
          <w:szCs w:val="24"/>
        </w:rPr>
        <w:t>.</w:t>
      </w:r>
      <w:r>
        <w:rPr>
          <w:sz w:val="24"/>
          <w:szCs w:val="24"/>
        </w:rPr>
        <w:t xml:space="preserve"> </w:t>
      </w:r>
      <w:r w:rsidRPr="00F2040B">
        <w:rPr>
          <w:kern w:val="24"/>
          <w:sz w:val="24"/>
          <w:szCs w:val="24"/>
        </w:rPr>
        <w:t>P</w:t>
      </w:r>
      <w:r>
        <w:rPr>
          <w:kern w:val="24"/>
          <w:sz w:val="24"/>
          <w:szCs w:val="24"/>
        </w:rPr>
        <w:t>C</w:t>
      </w:r>
      <w:r w:rsidRPr="00F2040B">
        <w:rPr>
          <w:kern w:val="24"/>
          <w:sz w:val="24"/>
          <w:szCs w:val="24"/>
          <w:vertAlign w:val="subscript"/>
        </w:rPr>
        <w:t>1</w:t>
      </w:r>
      <w:r>
        <w:rPr>
          <w:kern w:val="24"/>
          <w:sz w:val="24"/>
          <w:szCs w:val="24"/>
        </w:rPr>
        <w:t xml:space="preserve"> parametrui suteikiami 5 balai.</w:t>
      </w:r>
    </w:p>
    <w:p w14:paraId="0FCB7FF1" w14:textId="77777777" w:rsidR="00F41D53" w:rsidRPr="00C84A7A" w:rsidRDefault="00F41D53" w:rsidP="00F41D53">
      <w:pPr>
        <w:pStyle w:val="Body"/>
        <w:jc w:val="both"/>
        <w:rPr>
          <w:kern w:val="24"/>
          <w:sz w:val="24"/>
          <w:szCs w:val="24"/>
        </w:rPr>
      </w:pPr>
    </w:p>
    <w:p w14:paraId="2DF4ED64" w14:textId="77777777" w:rsidR="002D10DC" w:rsidRPr="00667F51" w:rsidRDefault="002D10DC" w:rsidP="00F41D53">
      <w:pPr>
        <w:pStyle w:val="Body"/>
        <w:numPr>
          <w:ilvl w:val="1"/>
          <w:numId w:val="1"/>
        </w:numPr>
        <w:tabs>
          <w:tab w:val="left" w:pos="993"/>
        </w:tabs>
        <w:jc w:val="both"/>
        <w:rPr>
          <w:kern w:val="24"/>
          <w:sz w:val="24"/>
          <w:szCs w:val="24"/>
        </w:rPr>
      </w:pPr>
      <w:r w:rsidRPr="00C84A7A">
        <w:rPr>
          <w:kern w:val="24"/>
          <w:sz w:val="24"/>
          <w:szCs w:val="24"/>
        </w:rPr>
        <w:t>Vertinamas paslaugos teikimo organizavimo modelis, t.</w:t>
      </w:r>
      <w:r>
        <w:rPr>
          <w:kern w:val="24"/>
          <w:sz w:val="24"/>
          <w:szCs w:val="24"/>
        </w:rPr>
        <w:t xml:space="preserve"> </w:t>
      </w:r>
      <w:r w:rsidRPr="00C84A7A">
        <w:rPr>
          <w:kern w:val="24"/>
          <w:sz w:val="24"/>
          <w:szCs w:val="24"/>
        </w:rPr>
        <w:t>y. ar tiekėjas, teikdamas paslaugą visas techninėje specifikacijoje išvardintas paciento patologijos ištyrimui reikalingas procedūras atliks savo laboratorijoje ar ketina remtis subrangovų pajėgumais. Perkančiajai organizacijai svarbu, kad visi patologijos tyrimai būtų atliekami toje pačioje laboratorijoje. Tai leidžia užtikrinti sklandų mėginių tvarkymo procesą ir sumažina klaidų riziką, kuri gali kilti pervežant mėginius tarp skirtingų subrangovų. Centralizuotas tyrimų atlikimas leidžia išlaikyti aukštus kokybės standartus, optimizuoti procesus ir užtikrinti greitesnius bei tiksliau interpretuojamus rezultatus, o tai ypač svarbu pacientų sveikatos priežiūrai.</w:t>
      </w:r>
    </w:p>
    <w:p w14:paraId="2843DBD6" w14:textId="77777777" w:rsidR="002D10DC" w:rsidRDefault="002D10DC" w:rsidP="008903AB">
      <w:pPr>
        <w:pStyle w:val="Body"/>
        <w:jc w:val="both"/>
        <w:rPr>
          <w:b/>
          <w:bCs/>
        </w:rPr>
      </w:pPr>
    </w:p>
    <w:p w14:paraId="51A25C72" w14:textId="77777777" w:rsidR="008903AB" w:rsidRDefault="008903AB" w:rsidP="008903AB">
      <w:pPr>
        <w:pStyle w:val="Body"/>
        <w:jc w:val="both"/>
        <w:rPr>
          <w:b/>
          <w:bCs/>
        </w:rPr>
      </w:pPr>
    </w:p>
    <w:p w14:paraId="02CDA7A8" w14:textId="77777777" w:rsidR="008903AB" w:rsidRDefault="008903AB" w:rsidP="008903AB">
      <w:pPr>
        <w:pStyle w:val="Body"/>
        <w:jc w:val="both"/>
        <w:rPr>
          <w:b/>
          <w:bCs/>
        </w:rPr>
      </w:pPr>
    </w:p>
    <w:p w14:paraId="38FC9F5B" w14:textId="77777777" w:rsidR="008903AB" w:rsidRDefault="008903AB" w:rsidP="008903AB">
      <w:pPr>
        <w:pStyle w:val="Body"/>
        <w:jc w:val="both"/>
        <w:rPr>
          <w:b/>
          <w:bCs/>
        </w:rPr>
      </w:pPr>
    </w:p>
    <w:p w14:paraId="43E9611B" w14:textId="77777777" w:rsidR="008903AB" w:rsidRDefault="008903AB" w:rsidP="008903AB">
      <w:pPr>
        <w:pStyle w:val="Body"/>
        <w:jc w:val="both"/>
        <w:rPr>
          <w:b/>
          <w:bCs/>
        </w:rPr>
      </w:pPr>
    </w:p>
    <w:p w14:paraId="6EB11C87" w14:textId="77777777" w:rsidR="008903AB" w:rsidRDefault="008903AB" w:rsidP="008903AB">
      <w:pPr>
        <w:pStyle w:val="Body"/>
        <w:jc w:val="both"/>
        <w:rPr>
          <w:b/>
          <w:bCs/>
        </w:rPr>
      </w:pPr>
    </w:p>
    <w:p w14:paraId="722A3EB4" w14:textId="77777777" w:rsidR="008903AB" w:rsidRDefault="008903AB" w:rsidP="008903AB">
      <w:pPr>
        <w:pStyle w:val="Body"/>
        <w:jc w:val="both"/>
        <w:rPr>
          <w:b/>
          <w:bCs/>
        </w:rPr>
      </w:pPr>
    </w:p>
    <w:p w14:paraId="4E5577A9" w14:textId="7126AD64" w:rsidR="002D10DC" w:rsidRPr="00667F51" w:rsidRDefault="002D10DC" w:rsidP="004D6E71">
      <w:pPr>
        <w:pStyle w:val="Body"/>
        <w:jc w:val="both"/>
        <w:rPr>
          <w:kern w:val="24"/>
          <w:sz w:val="24"/>
          <w:szCs w:val="24"/>
        </w:rPr>
      </w:pPr>
      <w:r w:rsidRPr="00667F51">
        <w:rPr>
          <w:b/>
          <w:bCs/>
        </w:rPr>
        <w:lastRenderedPageBreak/>
        <w:t xml:space="preserve">Lentelė </w:t>
      </w:r>
      <w:r w:rsidR="00CA52C1">
        <w:rPr>
          <w:b/>
          <w:bCs/>
        </w:rPr>
        <w:t>4</w:t>
      </w:r>
      <w:r w:rsidRPr="00667F51">
        <w:rPr>
          <w:b/>
          <w:bCs/>
        </w:rPr>
        <w:t>. PT</w:t>
      </w:r>
      <w:r w:rsidR="00CA52C1">
        <w:rPr>
          <w:b/>
          <w:bCs/>
          <w:vertAlign w:val="subscript"/>
        </w:rPr>
        <w:t>3</w:t>
      </w:r>
      <w:r w:rsidRPr="00667F51">
        <w:rPr>
          <w:b/>
          <w:bCs/>
        </w:rPr>
        <w:t xml:space="preserve"> kriterijaus ekonomiškai naudingas parametras (P</w:t>
      </w:r>
      <w:r w:rsidR="00CA52C1">
        <w:rPr>
          <w:b/>
          <w:bCs/>
        </w:rPr>
        <w:t>C</w:t>
      </w:r>
      <w:r w:rsidRPr="00667F51">
        <w:rPr>
          <w:b/>
          <w:bCs/>
          <w:vertAlign w:val="subscript"/>
        </w:rPr>
        <w:t>1</w:t>
      </w:r>
      <w:r w:rsidRPr="00667F51">
        <w:rPr>
          <w:b/>
          <w:bCs/>
        </w:rPr>
        <w:t>).</w:t>
      </w:r>
    </w:p>
    <w:tbl>
      <w:tblPr>
        <w:tblW w:w="96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gridCol w:w="1706"/>
      </w:tblGrid>
      <w:tr w:rsidR="002D10DC" w:rsidRPr="00781DB4" w14:paraId="29CBD09B" w14:textId="77777777" w:rsidTr="004D6E71">
        <w:trPr>
          <w:cantSplit/>
        </w:trPr>
        <w:tc>
          <w:tcPr>
            <w:tcW w:w="7938" w:type="dxa"/>
            <w:vAlign w:val="center"/>
            <w:hideMark/>
          </w:tcPr>
          <w:p w14:paraId="3FDC5CD8" w14:textId="5CB9F831" w:rsidR="002D10DC" w:rsidRPr="00781DB4" w:rsidRDefault="00E45959" w:rsidP="003D5641">
            <w:pPr>
              <w:rPr>
                <w:b/>
                <w:bCs/>
                <w:sz w:val="20"/>
                <w:szCs w:val="20"/>
                <w:lang w:val="lt-LT" w:eastAsia="lt-LT"/>
              </w:rPr>
            </w:pPr>
            <w:r w:rsidRPr="00781DB4">
              <w:rPr>
                <w:b/>
                <w:bCs/>
                <w:sz w:val="20"/>
                <w:szCs w:val="20"/>
                <w:lang w:val="lt-LT" w:eastAsia="lt-LT"/>
              </w:rPr>
              <w:t>Aplinkosaugos reikalavimas</w:t>
            </w:r>
          </w:p>
        </w:tc>
        <w:tc>
          <w:tcPr>
            <w:tcW w:w="1706" w:type="dxa"/>
            <w:vAlign w:val="center"/>
            <w:hideMark/>
          </w:tcPr>
          <w:p w14:paraId="03E2AB21" w14:textId="3DBD7222" w:rsidR="002D10DC" w:rsidRPr="00781DB4" w:rsidRDefault="002D10DC" w:rsidP="003D5641">
            <w:pPr>
              <w:rPr>
                <w:b/>
                <w:bCs/>
                <w:sz w:val="20"/>
                <w:szCs w:val="20"/>
                <w:lang w:val="lt-LT" w:eastAsia="lt-LT"/>
              </w:rPr>
            </w:pPr>
            <w:r w:rsidRPr="00781DB4">
              <w:rPr>
                <w:b/>
                <w:bCs/>
                <w:sz w:val="20"/>
                <w:szCs w:val="20"/>
                <w:lang w:val="lt-LT"/>
              </w:rPr>
              <w:t>PT</w:t>
            </w:r>
            <w:r w:rsidR="00CA52C1" w:rsidRPr="00781DB4">
              <w:rPr>
                <w:b/>
                <w:bCs/>
                <w:sz w:val="20"/>
                <w:szCs w:val="20"/>
                <w:vertAlign w:val="subscript"/>
                <w:lang w:val="lt-LT"/>
              </w:rPr>
              <w:t>3</w:t>
            </w:r>
            <w:r w:rsidRPr="00781DB4">
              <w:rPr>
                <w:b/>
                <w:bCs/>
                <w:sz w:val="20"/>
                <w:szCs w:val="20"/>
                <w:lang w:val="lt-LT"/>
              </w:rPr>
              <w:t xml:space="preserve"> kriterijaus parametrai</w:t>
            </w:r>
          </w:p>
        </w:tc>
      </w:tr>
      <w:tr w:rsidR="002D10DC" w:rsidRPr="00781DB4" w14:paraId="7104CAC5" w14:textId="77777777" w:rsidTr="004D6E71">
        <w:trPr>
          <w:cantSplit/>
        </w:trPr>
        <w:tc>
          <w:tcPr>
            <w:tcW w:w="7938" w:type="dxa"/>
          </w:tcPr>
          <w:p w14:paraId="64532517" w14:textId="77777777" w:rsidR="00E45959" w:rsidRPr="00781DB4" w:rsidRDefault="00E45959" w:rsidP="00E45959">
            <w:pPr>
              <w:rPr>
                <w:sz w:val="20"/>
                <w:szCs w:val="20"/>
                <w:lang w:val="lt-LT" w:eastAsia="lt-LT"/>
              </w:rPr>
            </w:pPr>
            <w:r w:rsidRPr="00781DB4">
              <w:rPr>
                <w:sz w:val="20"/>
                <w:szCs w:val="20"/>
                <w:lang w:val="lt-LT" w:eastAsia="lt-LT"/>
              </w:rPr>
              <w:t>Pavojingųjų cheminių medžiagų naudojimo mažinimas.</w:t>
            </w:r>
          </w:p>
          <w:p w14:paraId="0B0E85F4" w14:textId="64C2C549" w:rsidR="002D10DC" w:rsidRPr="00781DB4" w:rsidRDefault="00E45959" w:rsidP="00E45959">
            <w:pPr>
              <w:rPr>
                <w:sz w:val="20"/>
                <w:szCs w:val="20"/>
                <w:lang w:val="lt-LT" w:eastAsia="lt-LT"/>
              </w:rPr>
            </w:pPr>
            <w:r w:rsidRPr="00781DB4">
              <w:rPr>
                <w:sz w:val="20"/>
                <w:szCs w:val="20"/>
                <w:lang w:val="lt-LT" w:eastAsia="lt-LT"/>
              </w:rPr>
              <w:t xml:space="preserve">Vertinama, ar paslaugos teikimo metu naudojama mažiau arba nenaudojama pavojingųjų cheminių medžiagų, neteršiama aplinka ir nekeliamas pavojus žmonių sveikatai, t. y. ar taikomos priemonės, užtikrinančios pavojingųjų cheminių medžiagų pakartotinį panaudojimą, pavyzdžiui, laboratorijoje naudoto </w:t>
            </w:r>
            <w:proofErr w:type="spellStart"/>
            <w:r w:rsidRPr="00781DB4">
              <w:rPr>
                <w:sz w:val="20"/>
                <w:szCs w:val="20"/>
                <w:lang w:val="lt-LT" w:eastAsia="lt-LT"/>
              </w:rPr>
              <w:t>ksileno</w:t>
            </w:r>
            <w:proofErr w:type="spellEnd"/>
            <w:r w:rsidRPr="00781DB4">
              <w:rPr>
                <w:sz w:val="20"/>
                <w:szCs w:val="20"/>
                <w:lang w:val="lt-LT" w:eastAsia="lt-LT"/>
              </w:rPr>
              <w:t xml:space="preserve"> ir (arba) etilo alkoholio </w:t>
            </w:r>
            <w:proofErr w:type="spellStart"/>
            <w:r w:rsidRPr="00781DB4">
              <w:rPr>
                <w:sz w:val="20"/>
                <w:szCs w:val="20"/>
                <w:lang w:val="lt-LT" w:eastAsia="lt-LT"/>
              </w:rPr>
              <w:t>reciklinimas</w:t>
            </w:r>
            <w:proofErr w:type="spellEnd"/>
            <w:r w:rsidRPr="00781DB4">
              <w:rPr>
                <w:sz w:val="20"/>
                <w:szCs w:val="20"/>
                <w:lang w:val="lt-LT" w:eastAsia="lt-LT"/>
              </w:rPr>
              <w:t xml:space="preserve"> (pakartotinis naudojimas), mažinant jų suvartojimą ir poveikį aplinkai.</w:t>
            </w:r>
          </w:p>
        </w:tc>
        <w:tc>
          <w:tcPr>
            <w:tcW w:w="1706" w:type="dxa"/>
            <w:vAlign w:val="center"/>
            <w:hideMark/>
          </w:tcPr>
          <w:p w14:paraId="4735AB98" w14:textId="015EDF1A" w:rsidR="002D10DC" w:rsidRPr="00781DB4" w:rsidRDefault="002D10DC" w:rsidP="003D5641">
            <w:pPr>
              <w:jc w:val="center"/>
              <w:rPr>
                <w:sz w:val="20"/>
                <w:szCs w:val="20"/>
                <w:lang w:val="lt-LT" w:eastAsia="lt-LT"/>
              </w:rPr>
            </w:pPr>
            <w:r w:rsidRPr="00781DB4">
              <w:rPr>
                <w:sz w:val="20"/>
                <w:szCs w:val="20"/>
                <w:lang w:val="lt-LT"/>
              </w:rPr>
              <w:t>P</w:t>
            </w:r>
            <w:r w:rsidR="00CA52C1" w:rsidRPr="00781DB4">
              <w:rPr>
                <w:sz w:val="20"/>
                <w:szCs w:val="20"/>
                <w:lang w:val="lt-LT"/>
              </w:rPr>
              <w:t>C</w:t>
            </w:r>
            <w:r w:rsidRPr="00781DB4">
              <w:rPr>
                <w:sz w:val="20"/>
                <w:szCs w:val="20"/>
                <w:vertAlign w:val="subscript"/>
                <w:lang w:val="lt-LT"/>
              </w:rPr>
              <w:t>1</w:t>
            </w:r>
          </w:p>
        </w:tc>
      </w:tr>
    </w:tbl>
    <w:p w14:paraId="19A163D2" w14:textId="77777777" w:rsidR="002D10DC" w:rsidRPr="00F2040B" w:rsidRDefault="002D10DC" w:rsidP="00287F6C">
      <w:pPr>
        <w:pStyle w:val="Body"/>
        <w:jc w:val="both"/>
        <w:rPr>
          <w:kern w:val="24"/>
          <w:sz w:val="24"/>
          <w:szCs w:val="24"/>
        </w:rPr>
      </w:pPr>
    </w:p>
    <w:p w14:paraId="41D1F5B2" w14:textId="77777777" w:rsidR="001D4926" w:rsidRPr="00F2040B" w:rsidRDefault="004E1E04" w:rsidP="002D10DC">
      <w:pPr>
        <w:pStyle w:val="Body"/>
        <w:numPr>
          <w:ilvl w:val="0"/>
          <w:numId w:val="1"/>
        </w:numPr>
        <w:ind w:left="426"/>
        <w:jc w:val="both"/>
        <w:rPr>
          <w:sz w:val="24"/>
          <w:szCs w:val="24"/>
        </w:rPr>
      </w:pPr>
      <w:r w:rsidRPr="00F2040B">
        <w:rPr>
          <w:sz w:val="24"/>
          <w:szCs w:val="24"/>
        </w:rPr>
        <w:t>Pasiūlymo ekonominio naudingumo (kainos ir kokybės santykio) apskaičiavimo tvarka (formulės) yra pateikiama žemiau:</w:t>
      </w:r>
    </w:p>
    <w:p w14:paraId="0769779D" w14:textId="77777777" w:rsidR="002D2B2E" w:rsidRPr="00F2040B" w:rsidRDefault="002D2B2E" w:rsidP="002D2B2E">
      <w:pPr>
        <w:pStyle w:val="Body"/>
        <w:ind w:left="426"/>
        <w:jc w:val="both"/>
        <w:rPr>
          <w:sz w:val="24"/>
          <w:szCs w:val="24"/>
        </w:rPr>
      </w:pPr>
    </w:p>
    <w:p w14:paraId="1556CEF6" w14:textId="268F3F22" w:rsidR="005A3A58" w:rsidRPr="00F2040B" w:rsidRDefault="00F41D53" w:rsidP="002D10DC">
      <w:pPr>
        <w:pStyle w:val="Body"/>
        <w:numPr>
          <w:ilvl w:val="1"/>
          <w:numId w:val="1"/>
        </w:numPr>
        <w:ind w:left="851"/>
        <w:jc w:val="both"/>
        <w:rPr>
          <w:sz w:val="24"/>
          <w:szCs w:val="24"/>
        </w:rPr>
      </w:pPr>
      <w:r>
        <w:rPr>
          <w:b/>
          <w:bCs/>
          <w:sz w:val="24"/>
          <w:szCs w:val="24"/>
        </w:rPr>
        <w:t>Antrosios prikimo dalies p</w:t>
      </w:r>
      <w:r w:rsidR="004E1E04" w:rsidRPr="00F2040B">
        <w:rPr>
          <w:b/>
          <w:bCs/>
          <w:sz w:val="24"/>
          <w:szCs w:val="24"/>
        </w:rPr>
        <w:t>asiūlymo ekonominis naudingumas (kainos ir kokybės santykis)</w:t>
      </w:r>
      <w:r w:rsidR="004E1E04" w:rsidRPr="00F2040B">
        <w:rPr>
          <w:sz w:val="24"/>
          <w:szCs w:val="24"/>
        </w:rPr>
        <w:t xml:space="preserve"> (</w:t>
      </w:r>
      <w:r w:rsidR="00D43178" w:rsidRPr="00F2040B">
        <w:rPr>
          <w:sz w:val="24"/>
          <w:szCs w:val="24"/>
        </w:rPr>
        <w:t>P</w:t>
      </w:r>
      <w:r w:rsidR="004E1E04" w:rsidRPr="00F2040B">
        <w:rPr>
          <w:sz w:val="24"/>
          <w:szCs w:val="24"/>
        </w:rPr>
        <w:t>S) apskaičiuojamas sudedant tiekėjo pasiūlymo kainos (</w:t>
      </w:r>
      <w:r w:rsidR="00D43178" w:rsidRPr="00F2040B">
        <w:rPr>
          <w:sz w:val="24"/>
          <w:szCs w:val="24"/>
        </w:rPr>
        <w:t>P</w:t>
      </w:r>
      <w:r w:rsidR="004E1E04" w:rsidRPr="00F2040B">
        <w:rPr>
          <w:sz w:val="24"/>
          <w:szCs w:val="24"/>
        </w:rPr>
        <w:t xml:space="preserve">K) ir </w:t>
      </w:r>
      <w:r w:rsidR="00F6747A" w:rsidRPr="00F2040B">
        <w:rPr>
          <w:sz w:val="24"/>
          <w:szCs w:val="24"/>
        </w:rPr>
        <w:t>ekonomiškai naudingų kriterijų (PT</w:t>
      </w:r>
      <w:r w:rsidR="00F6747A" w:rsidRPr="00F2040B">
        <w:rPr>
          <w:sz w:val="24"/>
          <w:szCs w:val="24"/>
          <w:vertAlign w:val="subscript"/>
        </w:rPr>
        <w:t>1</w:t>
      </w:r>
      <w:r w:rsidR="003B5515">
        <w:rPr>
          <w:sz w:val="24"/>
          <w:szCs w:val="24"/>
        </w:rPr>
        <w:t xml:space="preserve">, </w:t>
      </w:r>
      <w:r w:rsidR="00F6747A" w:rsidRPr="00F2040B">
        <w:rPr>
          <w:sz w:val="24"/>
          <w:szCs w:val="24"/>
        </w:rPr>
        <w:t>PT</w:t>
      </w:r>
      <w:r w:rsidR="00F6747A" w:rsidRPr="00F2040B">
        <w:rPr>
          <w:sz w:val="24"/>
          <w:szCs w:val="24"/>
          <w:vertAlign w:val="subscript"/>
        </w:rPr>
        <w:t>2</w:t>
      </w:r>
      <w:r w:rsidR="003B5515">
        <w:rPr>
          <w:sz w:val="24"/>
          <w:szCs w:val="24"/>
        </w:rPr>
        <w:t xml:space="preserve"> ir </w:t>
      </w:r>
      <w:r w:rsidR="003B5515" w:rsidRPr="00F2040B">
        <w:rPr>
          <w:sz w:val="24"/>
          <w:szCs w:val="24"/>
        </w:rPr>
        <w:t>PT</w:t>
      </w:r>
      <w:r w:rsidR="003B5515">
        <w:rPr>
          <w:sz w:val="24"/>
          <w:szCs w:val="24"/>
          <w:vertAlign w:val="subscript"/>
        </w:rPr>
        <w:t>3</w:t>
      </w:r>
      <w:r w:rsidR="003B5515">
        <w:rPr>
          <w:sz w:val="24"/>
          <w:szCs w:val="24"/>
        </w:rPr>
        <w:t xml:space="preserve">) </w:t>
      </w:r>
      <w:r w:rsidR="00F6747A" w:rsidRPr="00F2040B">
        <w:rPr>
          <w:sz w:val="24"/>
          <w:szCs w:val="24"/>
        </w:rPr>
        <w:t>lyginamuosius svorius</w:t>
      </w:r>
      <w:r w:rsidR="004E1E04" w:rsidRPr="00F2040B">
        <w:rPr>
          <w:sz w:val="24"/>
          <w:szCs w:val="24"/>
        </w:rPr>
        <w:t>:</w:t>
      </w:r>
    </w:p>
    <w:p w14:paraId="5226F663" w14:textId="77777777" w:rsidR="002D2B2E" w:rsidRPr="00F2040B" w:rsidRDefault="002D2B2E" w:rsidP="002D2B2E">
      <w:pPr>
        <w:pStyle w:val="Body"/>
        <w:ind w:left="851"/>
        <w:jc w:val="both"/>
        <w:rPr>
          <w:sz w:val="24"/>
          <w:szCs w:val="24"/>
        </w:rPr>
      </w:pPr>
    </w:p>
    <w:p w14:paraId="733A35F3" w14:textId="198D455D" w:rsidR="001D4926" w:rsidRPr="00F2040B" w:rsidRDefault="00D43178" w:rsidP="003E7508">
      <w:pPr>
        <w:pStyle w:val="Body"/>
        <w:jc w:val="both"/>
        <w:rPr>
          <w:sz w:val="24"/>
          <w:szCs w:val="24"/>
        </w:rPr>
      </w:pPr>
      <m:oMathPara>
        <m:oMath>
          <m:r>
            <w:rPr>
              <w:rFonts w:ascii="Cambria Math" w:hAnsi="Cambria Math"/>
              <w:sz w:val="24"/>
              <w:szCs w:val="24"/>
            </w:rPr>
            <m:t>PS=PK+</m:t>
          </m:r>
          <m:sSub>
            <m:sSubPr>
              <m:ctrlPr>
                <w:rPr>
                  <w:rFonts w:ascii="Cambria Math" w:hAnsi="Cambria Math"/>
                  <w:i/>
                  <w:sz w:val="24"/>
                  <w:szCs w:val="24"/>
                </w:rPr>
              </m:ctrlPr>
            </m:sSubPr>
            <m:e>
              <m:r>
                <w:rPr>
                  <w:rFonts w:ascii="Cambria Math" w:hAnsi="Cambria Math"/>
                  <w:sz w:val="24"/>
                  <w:szCs w:val="24"/>
                </w:rPr>
                <m:t>PT</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PT</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PT</m:t>
              </m:r>
            </m:e>
            <m:sub>
              <m:r>
                <w:rPr>
                  <w:rFonts w:ascii="Cambria Math" w:hAnsi="Cambria Math"/>
                  <w:sz w:val="24"/>
                  <w:szCs w:val="24"/>
                </w:rPr>
                <m:t>3</m:t>
              </m:r>
            </m:sub>
          </m:sSub>
        </m:oMath>
      </m:oMathPara>
    </w:p>
    <w:p w14:paraId="789B2755" w14:textId="77777777" w:rsidR="005A3A58" w:rsidRPr="00F2040B" w:rsidRDefault="005A3A58" w:rsidP="003E7508">
      <w:pPr>
        <w:pStyle w:val="Body"/>
        <w:rPr>
          <w:sz w:val="24"/>
          <w:szCs w:val="24"/>
        </w:rPr>
      </w:pPr>
    </w:p>
    <w:p w14:paraId="7340D14D" w14:textId="58BA9C9A" w:rsidR="005A3A58" w:rsidRPr="00F2040B" w:rsidRDefault="004E1E04" w:rsidP="002D10DC">
      <w:pPr>
        <w:pStyle w:val="Body"/>
        <w:numPr>
          <w:ilvl w:val="1"/>
          <w:numId w:val="1"/>
        </w:numPr>
        <w:jc w:val="both"/>
        <w:rPr>
          <w:sz w:val="24"/>
          <w:szCs w:val="24"/>
        </w:rPr>
      </w:pPr>
      <w:r w:rsidRPr="00F2040B">
        <w:rPr>
          <w:b/>
          <w:bCs/>
          <w:sz w:val="24"/>
          <w:szCs w:val="24"/>
        </w:rPr>
        <w:t>Tiekėjo pasiūlymo kainos (</w:t>
      </w:r>
      <w:r w:rsidR="00F6747A" w:rsidRPr="00F2040B">
        <w:rPr>
          <w:b/>
          <w:bCs/>
          <w:sz w:val="24"/>
          <w:szCs w:val="24"/>
        </w:rPr>
        <w:t>P</w:t>
      </w:r>
      <w:r w:rsidRPr="00F2040B">
        <w:rPr>
          <w:b/>
          <w:bCs/>
          <w:sz w:val="24"/>
          <w:szCs w:val="24"/>
        </w:rPr>
        <w:t xml:space="preserve">K) </w:t>
      </w:r>
      <w:r w:rsidR="00EE4E21" w:rsidRPr="00F2040B">
        <w:rPr>
          <w:b/>
          <w:bCs/>
          <w:sz w:val="24"/>
          <w:szCs w:val="24"/>
        </w:rPr>
        <w:t>lyginamasis svoris</w:t>
      </w:r>
      <w:r w:rsidRPr="00F2040B">
        <w:rPr>
          <w:sz w:val="24"/>
          <w:szCs w:val="24"/>
        </w:rPr>
        <w:t xml:space="preserve"> yra apskaičiuojamas mažiausios </w:t>
      </w:r>
      <w:r w:rsidR="006E27C1" w:rsidRPr="00F2040B">
        <w:rPr>
          <w:sz w:val="24"/>
          <w:szCs w:val="24"/>
        </w:rPr>
        <w:t xml:space="preserve">pasiūlytos </w:t>
      </w:r>
      <w:r w:rsidR="00F41D53">
        <w:rPr>
          <w:sz w:val="24"/>
          <w:szCs w:val="24"/>
        </w:rPr>
        <w:t xml:space="preserve">antrosios pirkimo dalies </w:t>
      </w:r>
      <w:r w:rsidR="006E27C1" w:rsidRPr="00F2040B">
        <w:rPr>
          <w:sz w:val="24"/>
          <w:szCs w:val="24"/>
        </w:rPr>
        <w:t xml:space="preserve">pasiūlymo kainos eurais </w:t>
      </w:r>
      <w:r w:rsidRPr="00F2040B">
        <w:rPr>
          <w:sz w:val="24"/>
          <w:szCs w:val="24"/>
        </w:rPr>
        <w:t>(</w:t>
      </w:r>
      <w:proofErr w:type="spellStart"/>
      <w:r w:rsidR="00F6747A" w:rsidRPr="00F2040B">
        <w:rPr>
          <w:sz w:val="24"/>
          <w:szCs w:val="24"/>
        </w:rPr>
        <w:t>PAT</w:t>
      </w:r>
      <w:r w:rsidRPr="00F2040B">
        <w:rPr>
          <w:sz w:val="24"/>
          <w:szCs w:val="24"/>
          <w:vertAlign w:val="subscript"/>
        </w:rPr>
        <w:t>min</w:t>
      </w:r>
      <w:proofErr w:type="spellEnd"/>
      <w:r w:rsidRPr="00F2040B">
        <w:rPr>
          <w:sz w:val="24"/>
          <w:szCs w:val="24"/>
        </w:rPr>
        <w:t>) ir vertinamo</w:t>
      </w:r>
      <w:r w:rsidR="006334DC" w:rsidRPr="00F2040B">
        <w:rPr>
          <w:sz w:val="24"/>
          <w:szCs w:val="24"/>
        </w:rPr>
        <w:t xml:space="preserve"> pasiūlymo kainos eurais </w:t>
      </w:r>
      <w:r w:rsidRPr="00F2040B">
        <w:rPr>
          <w:sz w:val="24"/>
          <w:szCs w:val="24"/>
        </w:rPr>
        <w:t>(</w:t>
      </w:r>
      <w:r w:rsidR="00F6747A" w:rsidRPr="00F2040B">
        <w:rPr>
          <w:sz w:val="24"/>
          <w:szCs w:val="24"/>
        </w:rPr>
        <w:t>PAT</w:t>
      </w:r>
      <w:r w:rsidRPr="00F2040B">
        <w:rPr>
          <w:sz w:val="24"/>
          <w:szCs w:val="24"/>
          <w:vertAlign w:val="subscript"/>
        </w:rPr>
        <w:t>P</w:t>
      </w:r>
      <w:r w:rsidRPr="00F2040B">
        <w:rPr>
          <w:sz w:val="24"/>
          <w:szCs w:val="24"/>
        </w:rPr>
        <w:t>) santykį padauginant iš kainos lyginamojo svorio (</w:t>
      </w:r>
      <w:r w:rsidR="00F6747A" w:rsidRPr="00F2040B">
        <w:rPr>
          <w:sz w:val="24"/>
          <w:szCs w:val="24"/>
        </w:rPr>
        <w:t>P</w:t>
      </w:r>
      <w:r w:rsidRPr="00F2040B">
        <w:rPr>
          <w:sz w:val="24"/>
          <w:szCs w:val="24"/>
        </w:rPr>
        <w:t>X</w:t>
      </w:r>
      <w:r w:rsidR="008F2E65" w:rsidRPr="00F2040B">
        <w:rPr>
          <w:sz w:val="24"/>
          <w:szCs w:val="24"/>
        </w:rPr>
        <w:t>=</w:t>
      </w:r>
      <w:r w:rsidR="003B5515">
        <w:rPr>
          <w:sz w:val="24"/>
          <w:szCs w:val="24"/>
        </w:rPr>
        <w:t>6</w:t>
      </w:r>
      <w:r w:rsidR="008F2E65" w:rsidRPr="00F2040B">
        <w:rPr>
          <w:sz w:val="24"/>
          <w:szCs w:val="24"/>
        </w:rPr>
        <w:t>0</w:t>
      </w:r>
      <w:r w:rsidRPr="00F2040B">
        <w:rPr>
          <w:sz w:val="24"/>
          <w:szCs w:val="24"/>
        </w:rPr>
        <w:t>):</w:t>
      </w:r>
    </w:p>
    <w:p w14:paraId="5F6C1DDE" w14:textId="77777777" w:rsidR="002D2B2E" w:rsidRPr="00F2040B" w:rsidRDefault="002D2B2E" w:rsidP="002D2B2E">
      <w:pPr>
        <w:pStyle w:val="Body"/>
        <w:ind w:left="792"/>
        <w:jc w:val="both"/>
        <w:rPr>
          <w:sz w:val="24"/>
          <w:szCs w:val="24"/>
        </w:rPr>
      </w:pPr>
    </w:p>
    <w:p w14:paraId="5C32678B" w14:textId="71FDBF19" w:rsidR="005A3A58" w:rsidRPr="00F2040B" w:rsidRDefault="00F6747A" w:rsidP="003E7508">
      <w:pPr>
        <w:pStyle w:val="Body"/>
        <w:jc w:val="center"/>
        <w:rPr>
          <w:sz w:val="24"/>
          <w:szCs w:val="24"/>
        </w:rPr>
      </w:pPr>
      <m:oMathPara>
        <m:oMathParaPr>
          <m:jc m:val="center"/>
        </m:oMathParaPr>
        <m:oMath>
          <m:r>
            <w:rPr>
              <w:rFonts w:ascii="Cambria Math" w:hAnsi="Cambria Math"/>
              <w:sz w:val="24"/>
              <w:szCs w:val="24"/>
            </w:rPr>
            <m:t>PK=</m:t>
          </m:r>
          <m:f>
            <m:fPr>
              <m:ctrlPr>
                <w:rPr>
                  <w:rFonts w:ascii="Cambria Math" w:hAnsi="Cambria Math"/>
                  <w:i/>
                  <w:sz w:val="24"/>
                  <w:szCs w:val="24"/>
                </w:rPr>
              </m:ctrlPr>
            </m:fPr>
            <m:num>
              <m:sSub>
                <m:sSubPr>
                  <m:ctrlPr>
                    <w:rPr>
                      <w:rFonts w:ascii="Cambria Math" w:hAnsi="Cambria Math"/>
                    </w:rPr>
                  </m:ctrlPr>
                </m:sSubPr>
                <m:e>
                  <m:r>
                    <w:rPr>
                      <w:rFonts w:ascii="Cambria Math" w:hAnsi="Cambria Math"/>
                      <w:sz w:val="24"/>
                      <w:szCs w:val="24"/>
                    </w:rPr>
                    <m:t>PAT</m:t>
                  </m:r>
                </m:e>
                <m:sub>
                  <m:r>
                    <w:rPr>
                      <w:rFonts w:ascii="Cambria Math" w:hAnsi="Cambria Math"/>
                      <w:sz w:val="24"/>
                      <w:szCs w:val="24"/>
                    </w:rPr>
                    <m:t>min</m:t>
                  </m:r>
                </m:sub>
              </m:sSub>
            </m:num>
            <m:den>
              <m:sSub>
                <m:sSubPr>
                  <m:ctrlPr>
                    <w:rPr>
                      <w:rFonts w:ascii="Cambria Math" w:hAnsi="Cambria Math"/>
                    </w:rPr>
                  </m:ctrlPr>
                </m:sSubPr>
                <m:e>
                  <m:r>
                    <w:rPr>
                      <w:rFonts w:ascii="Cambria Math" w:hAnsi="Cambria Math"/>
                      <w:sz w:val="24"/>
                      <w:szCs w:val="24"/>
                    </w:rPr>
                    <m:t>PAT</m:t>
                  </m:r>
                </m:e>
                <m:sub>
                  <m:r>
                    <w:rPr>
                      <w:rFonts w:ascii="Cambria Math" w:hAnsi="Cambria Math"/>
                      <w:sz w:val="24"/>
                      <w:szCs w:val="24"/>
                    </w:rPr>
                    <m:t>P</m:t>
                  </m:r>
                </m:sub>
              </m:sSub>
            </m:den>
          </m:f>
          <m:r>
            <w:rPr>
              <w:rFonts w:ascii="Cambria Math" w:hAnsi="Cambria Math"/>
              <w:sz w:val="24"/>
              <w:szCs w:val="24"/>
            </w:rPr>
            <m:t>×PX</m:t>
          </m:r>
        </m:oMath>
      </m:oMathPara>
    </w:p>
    <w:p w14:paraId="183A5B23" w14:textId="77777777" w:rsidR="008F2E65" w:rsidRPr="00F2040B" w:rsidRDefault="008F2E65" w:rsidP="008F2E65">
      <w:pPr>
        <w:pStyle w:val="Body"/>
        <w:ind w:left="792"/>
        <w:jc w:val="both"/>
        <w:rPr>
          <w:sz w:val="24"/>
          <w:szCs w:val="24"/>
        </w:rPr>
      </w:pPr>
    </w:p>
    <w:p w14:paraId="4B53313C" w14:textId="7BF32B8F" w:rsidR="00984B65" w:rsidRPr="00F2040B" w:rsidRDefault="00984B65" w:rsidP="002D10DC">
      <w:pPr>
        <w:pStyle w:val="Body"/>
        <w:numPr>
          <w:ilvl w:val="1"/>
          <w:numId w:val="1"/>
        </w:numPr>
        <w:jc w:val="both"/>
        <w:rPr>
          <w:sz w:val="24"/>
          <w:szCs w:val="24"/>
        </w:rPr>
      </w:pPr>
      <w:r w:rsidRPr="00F2040B">
        <w:rPr>
          <w:b/>
          <w:bCs/>
          <w:sz w:val="24"/>
          <w:szCs w:val="24"/>
        </w:rPr>
        <w:t>Kriterijaus (PT</w:t>
      </w:r>
      <w:r w:rsidRPr="00F2040B">
        <w:rPr>
          <w:b/>
          <w:bCs/>
          <w:sz w:val="24"/>
          <w:szCs w:val="24"/>
          <w:vertAlign w:val="subscript"/>
        </w:rPr>
        <w:t>1</w:t>
      </w:r>
      <w:r w:rsidRPr="00F2040B">
        <w:rPr>
          <w:b/>
          <w:bCs/>
          <w:sz w:val="24"/>
          <w:szCs w:val="24"/>
        </w:rPr>
        <w:t>) lyginamasis svoris</w:t>
      </w:r>
      <w:r w:rsidRPr="00F2040B">
        <w:rPr>
          <w:sz w:val="24"/>
          <w:szCs w:val="24"/>
        </w:rPr>
        <w:t xml:space="preserve"> yra apskaičiuojamas šio kriterijaus parametrų (PA</w:t>
      </w:r>
      <w:r w:rsidRPr="00F2040B">
        <w:rPr>
          <w:sz w:val="24"/>
          <w:szCs w:val="24"/>
          <w:vertAlign w:val="subscript"/>
        </w:rPr>
        <w:t>1</w:t>
      </w:r>
      <w:r w:rsidRPr="00F2040B">
        <w:rPr>
          <w:sz w:val="24"/>
          <w:szCs w:val="24"/>
        </w:rPr>
        <w:t xml:space="preserve"> – PA</w:t>
      </w:r>
      <w:r w:rsidR="003B5515">
        <w:rPr>
          <w:sz w:val="24"/>
          <w:szCs w:val="24"/>
          <w:vertAlign w:val="subscript"/>
        </w:rPr>
        <w:t>4</w:t>
      </w:r>
      <w:r w:rsidRPr="00F2040B">
        <w:rPr>
          <w:sz w:val="24"/>
          <w:szCs w:val="24"/>
        </w:rPr>
        <w:t>) įvertinimų balais sumą (PA</w:t>
      </w:r>
      <w:r w:rsidRPr="00F2040B">
        <w:rPr>
          <w:sz w:val="24"/>
          <w:szCs w:val="24"/>
          <w:vertAlign w:val="subscript"/>
        </w:rPr>
        <w:t>S</w:t>
      </w:r>
      <w:r w:rsidRPr="00F2040B">
        <w:rPr>
          <w:sz w:val="24"/>
          <w:szCs w:val="24"/>
        </w:rPr>
        <w:t>) padalinant iš didžiausios galimos kriterijaus parametrų įvertinimų sumos (</w:t>
      </w:r>
      <w:proofErr w:type="spellStart"/>
      <w:r w:rsidRPr="00F2040B">
        <w:rPr>
          <w:sz w:val="24"/>
          <w:szCs w:val="24"/>
        </w:rPr>
        <w:t>PA</w:t>
      </w:r>
      <w:r w:rsidRPr="00F2040B">
        <w:rPr>
          <w:sz w:val="24"/>
          <w:szCs w:val="24"/>
          <w:vertAlign w:val="subscript"/>
        </w:rPr>
        <w:t>max</w:t>
      </w:r>
      <w:proofErr w:type="spellEnd"/>
      <w:r w:rsidRPr="00F2040B">
        <w:rPr>
          <w:sz w:val="24"/>
          <w:szCs w:val="24"/>
        </w:rPr>
        <w:t>=</w:t>
      </w:r>
      <w:r w:rsidR="003B5515">
        <w:rPr>
          <w:sz w:val="24"/>
          <w:szCs w:val="24"/>
        </w:rPr>
        <w:t>4</w:t>
      </w:r>
      <w:r w:rsidRPr="00F2040B">
        <w:rPr>
          <w:sz w:val="24"/>
          <w:szCs w:val="24"/>
        </w:rPr>
        <w:t>) ir padauginant iš vertinamo kriterijaus lyginamojo svorio (</w:t>
      </w:r>
      <w:r w:rsidR="000C55B3" w:rsidRPr="00F2040B">
        <w:rPr>
          <w:sz w:val="24"/>
          <w:szCs w:val="24"/>
        </w:rPr>
        <w:t>P</w:t>
      </w:r>
      <w:r w:rsidRPr="00F2040B">
        <w:rPr>
          <w:sz w:val="24"/>
          <w:szCs w:val="24"/>
        </w:rPr>
        <w:t>Y</w:t>
      </w:r>
      <w:r w:rsidRPr="00F2040B">
        <w:rPr>
          <w:sz w:val="24"/>
          <w:szCs w:val="24"/>
          <w:vertAlign w:val="subscript"/>
        </w:rPr>
        <w:t>1</w:t>
      </w:r>
      <w:r w:rsidRPr="00F2040B">
        <w:rPr>
          <w:sz w:val="24"/>
          <w:szCs w:val="24"/>
        </w:rPr>
        <w:t>=</w:t>
      </w:r>
      <w:r w:rsidR="004302A3">
        <w:rPr>
          <w:sz w:val="24"/>
          <w:szCs w:val="24"/>
        </w:rPr>
        <w:t>25</w:t>
      </w:r>
      <w:r w:rsidRPr="00F2040B">
        <w:rPr>
          <w:sz w:val="24"/>
          <w:szCs w:val="24"/>
        </w:rPr>
        <w:t>).</w:t>
      </w:r>
    </w:p>
    <w:p w14:paraId="5194A9F4" w14:textId="77777777" w:rsidR="00984B65" w:rsidRPr="00F2040B" w:rsidRDefault="00984B65" w:rsidP="00984B65">
      <w:pPr>
        <w:pStyle w:val="Body"/>
        <w:ind w:left="792"/>
        <w:jc w:val="both"/>
        <w:rPr>
          <w:sz w:val="24"/>
          <w:szCs w:val="24"/>
        </w:rPr>
      </w:pPr>
    </w:p>
    <w:p w14:paraId="4F48E9B4" w14:textId="0D1253D6" w:rsidR="00984B65" w:rsidRPr="00F2040B" w:rsidRDefault="008903AB" w:rsidP="00984B65">
      <w:pPr>
        <w:pStyle w:val="Body"/>
        <w:jc w:val="center"/>
        <w:rPr>
          <w:sz w:val="24"/>
          <w:szCs w:val="24"/>
        </w:rPr>
      </w:pPr>
      <m:oMathPara>
        <m:oMathParaPr>
          <m:jc m:val="center"/>
        </m:oMathParaPr>
        <m:oMath>
          <m:sSub>
            <m:sSubPr>
              <m:ctrlPr>
                <w:rPr>
                  <w:rFonts w:ascii="Cambria Math" w:hAnsi="Cambria Math"/>
                </w:rPr>
              </m:ctrlPr>
            </m:sSubPr>
            <m:e>
              <m:r>
                <w:rPr>
                  <w:rFonts w:ascii="Cambria Math" w:hAnsi="Cambria Math"/>
                  <w:sz w:val="25"/>
                  <w:szCs w:val="25"/>
                </w:rPr>
                <m:t>PT</m:t>
              </m:r>
            </m:e>
            <m:sub>
              <m:r>
                <w:rPr>
                  <w:rFonts w:ascii="Cambria Math" w:hAnsi="Cambria Math"/>
                  <w:sz w:val="25"/>
                  <w:szCs w:val="25"/>
                </w:rPr>
                <m:t>1</m:t>
              </m:r>
            </m:sub>
          </m:sSub>
          <m:r>
            <w:rPr>
              <w:rFonts w:ascii="Cambria Math" w:hAnsi="Cambria Math"/>
              <w:sz w:val="25"/>
              <w:szCs w:val="25"/>
            </w:rPr>
            <m:t>=</m:t>
          </m:r>
          <m:d>
            <m:dPr>
              <m:ctrlPr>
                <w:rPr>
                  <w:rFonts w:ascii="Cambria Math" w:hAnsi="Cambria Math"/>
                  <w:i/>
                  <w:sz w:val="25"/>
                  <w:szCs w:val="25"/>
                </w:rPr>
              </m:ctrlPr>
            </m:dPr>
            <m:e>
              <m:nary>
                <m:naryPr>
                  <m:chr m:val="∑"/>
                  <m:limLoc m:val="undOvr"/>
                  <m:supHide m:val="1"/>
                  <m:ctrlPr>
                    <w:rPr>
                      <w:rFonts w:ascii="Cambria Math" w:hAnsi="Cambria Math"/>
                      <w:i/>
                      <w:sz w:val="25"/>
                      <w:szCs w:val="25"/>
                    </w:rPr>
                  </m:ctrlPr>
                </m:naryPr>
                <m:sub>
                  <m:r>
                    <w:rPr>
                      <w:rFonts w:ascii="Cambria Math" w:hAnsi="Cambria Math"/>
                      <w:sz w:val="25"/>
                      <w:szCs w:val="25"/>
                    </w:rPr>
                    <m:t>S</m:t>
                  </m:r>
                </m:sub>
                <m:sup/>
                <m:e>
                  <m:sSub>
                    <m:sSubPr>
                      <m:ctrlPr>
                        <w:rPr>
                          <w:rFonts w:ascii="Cambria Math" w:hAnsi="Cambria Math"/>
                        </w:rPr>
                      </m:ctrlPr>
                    </m:sSubPr>
                    <m:e>
                      <m:r>
                        <w:rPr>
                          <w:rFonts w:ascii="Cambria Math" w:hAnsi="Cambria Math"/>
                          <w:sz w:val="25"/>
                          <w:szCs w:val="25"/>
                        </w:rPr>
                        <m:t>PA</m:t>
                      </m:r>
                    </m:e>
                    <m:sub>
                      <m:r>
                        <w:rPr>
                          <w:rFonts w:ascii="Cambria Math" w:hAnsi="Cambria Math"/>
                          <w:sz w:val="25"/>
                          <w:szCs w:val="25"/>
                        </w:rPr>
                        <m:t>S</m:t>
                      </m:r>
                    </m:sub>
                  </m:sSub>
                </m:e>
              </m:nary>
            </m:e>
          </m:d>
          <m:r>
            <w:rPr>
              <w:rFonts w:ascii="Cambria Math" w:hAnsi="Cambria Math"/>
              <w:sz w:val="25"/>
              <w:szCs w:val="25"/>
            </w:rPr>
            <m:t>÷</m:t>
          </m:r>
          <m:sSub>
            <m:sSubPr>
              <m:ctrlPr>
                <w:rPr>
                  <w:rFonts w:ascii="Cambria Math" w:hAnsi="Cambria Math"/>
                </w:rPr>
              </m:ctrlPr>
            </m:sSubPr>
            <m:e>
              <m:r>
                <w:rPr>
                  <w:rFonts w:ascii="Cambria Math" w:hAnsi="Cambria Math"/>
                  <w:sz w:val="25"/>
                  <w:szCs w:val="25"/>
                </w:rPr>
                <m:t>PA</m:t>
              </m:r>
            </m:e>
            <m:sub>
              <m:r>
                <w:rPr>
                  <w:rFonts w:ascii="Cambria Math" w:hAnsi="Cambria Math"/>
                  <w:sz w:val="25"/>
                  <w:szCs w:val="25"/>
                </w:rPr>
                <m:t>max</m:t>
              </m:r>
            </m:sub>
          </m:sSub>
          <m:r>
            <w:rPr>
              <w:rFonts w:ascii="Cambria Math" w:hAnsi="Cambria Math"/>
              <w:sz w:val="25"/>
              <w:szCs w:val="25"/>
            </w:rPr>
            <m:t>×</m:t>
          </m:r>
          <m:sSub>
            <m:sSubPr>
              <m:ctrlPr>
                <w:rPr>
                  <w:rFonts w:ascii="Cambria Math" w:hAnsi="Cambria Math"/>
                </w:rPr>
              </m:ctrlPr>
            </m:sSubPr>
            <m:e>
              <m:r>
                <w:rPr>
                  <w:rFonts w:ascii="Cambria Math" w:hAnsi="Cambria Math"/>
                  <w:sz w:val="25"/>
                  <w:szCs w:val="25"/>
                </w:rPr>
                <m:t>PY</m:t>
              </m:r>
            </m:e>
            <m:sub>
              <m:r>
                <w:rPr>
                  <w:rFonts w:ascii="Cambria Math" w:hAnsi="Cambria Math"/>
                  <w:sz w:val="25"/>
                  <w:szCs w:val="25"/>
                </w:rPr>
                <m:t>1</m:t>
              </m:r>
            </m:sub>
          </m:sSub>
        </m:oMath>
      </m:oMathPara>
    </w:p>
    <w:p w14:paraId="3B3A8618" w14:textId="77777777" w:rsidR="00984B65" w:rsidRPr="00F2040B" w:rsidRDefault="00984B65" w:rsidP="00984B65">
      <w:pPr>
        <w:pStyle w:val="Body"/>
        <w:ind w:left="708"/>
        <w:jc w:val="both"/>
        <w:rPr>
          <w:sz w:val="24"/>
          <w:szCs w:val="24"/>
        </w:rPr>
      </w:pPr>
    </w:p>
    <w:p w14:paraId="4F37092E" w14:textId="6D9EE06B" w:rsidR="00984B65" w:rsidRPr="00F2040B" w:rsidRDefault="00471879" w:rsidP="00984B65">
      <w:pPr>
        <w:pStyle w:val="Body"/>
        <w:ind w:left="708"/>
        <w:jc w:val="both"/>
        <w:rPr>
          <w:sz w:val="24"/>
          <w:szCs w:val="24"/>
        </w:rPr>
      </w:pPr>
      <w:r>
        <w:rPr>
          <w:sz w:val="24"/>
          <w:szCs w:val="24"/>
        </w:rPr>
        <w:t>T</w:t>
      </w:r>
      <w:r w:rsidR="00984B65" w:rsidRPr="00F2040B">
        <w:rPr>
          <w:sz w:val="24"/>
          <w:szCs w:val="24"/>
        </w:rPr>
        <w:t xml:space="preserve">iekėjo </w:t>
      </w:r>
      <w:r>
        <w:rPr>
          <w:sz w:val="24"/>
          <w:szCs w:val="24"/>
        </w:rPr>
        <w:t xml:space="preserve">atitikmuo parametrams </w:t>
      </w:r>
      <w:r w:rsidR="0087322E" w:rsidRPr="00F2040B">
        <w:rPr>
          <w:sz w:val="24"/>
          <w:szCs w:val="24"/>
        </w:rPr>
        <w:t>P</w:t>
      </w:r>
      <w:r w:rsidR="00984B65" w:rsidRPr="00F2040B">
        <w:rPr>
          <w:sz w:val="24"/>
          <w:szCs w:val="24"/>
        </w:rPr>
        <w:t>A</w:t>
      </w:r>
      <w:r w:rsidR="00984B65" w:rsidRPr="00F2040B">
        <w:rPr>
          <w:sz w:val="24"/>
          <w:szCs w:val="24"/>
          <w:vertAlign w:val="subscript"/>
        </w:rPr>
        <w:t>1</w:t>
      </w:r>
      <w:r w:rsidR="00984B65" w:rsidRPr="00F2040B">
        <w:rPr>
          <w:sz w:val="24"/>
          <w:szCs w:val="24"/>
        </w:rPr>
        <w:t xml:space="preserve"> </w:t>
      </w:r>
      <w:r w:rsidR="00965333">
        <w:rPr>
          <w:sz w:val="24"/>
          <w:szCs w:val="24"/>
        </w:rPr>
        <w:t>ir</w:t>
      </w:r>
      <w:r w:rsidR="00984B65" w:rsidRPr="00F2040B">
        <w:rPr>
          <w:sz w:val="24"/>
          <w:szCs w:val="24"/>
        </w:rPr>
        <w:t xml:space="preserve"> </w:t>
      </w:r>
      <w:r w:rsidR="0087322E" w:rsidRPr="00F2040B">
        <w:rPr>
          <w:sz w:val="24"/>
          <w:szCs w:val="24"/>
        </w:rPr>
        <w:t>P</w:t>
      </w:r>
      <w:r w:rsidR="00984B65" w:rsidRPr="00F2040B">
        <w:rPr>
          <w:sz w:val="24"/>
          <w:szCs w:val="24"/>
        </w:rPr>
        <w:t>A</w:t>
      </w:r>
      <w:r>
        <w:rPr>
          <w:sz w:val="24"/>
          <w:szCs w:val="24"/>
          <w:vertAlign w:val="subscript"/>
        </w:rPr>
        <w:t>2</w:t>
      </w:r>
      <w:r w:rsidR="00984B65" w:rsidRPr="00F2040B">
        <w:rPr>
          <w:sz w:val="24"/>
          <w:szCs w:val="24"/>
        </w:rPr>
        <w:t xml:space="preserve"> yra vertinamas 1 balu, o jeigu tiekėjas </w:t>
      </w:r>
      <w:r>
        <w:rPr>
          <w:sz w:val="24"/>
          <w:szCs w:val="24"/>
        </w:rPr>
        <w:t>neatitinka</w:t>
      </w:r>
      <w:r w:rsidR="00984B65" w:rsidRPr="00F2040B">
        <w:rPr>
          <w:sz w:val="24"/>
          <w:szCs w:val="24"/>
        </w:rPr>
        <w:t xml:space="preserve"> parametro – suteikiama 0 balų.</w:t>
      </w:r>
      <w:r>
        <w:rPr>
          <w:sz w:val="24"/>
          <w:szCs w:val="24"/>
        </w:rPr>
        <w:t xml:space="preserve"> </w:t>
      </w:r>
      <w:r w:rsidR="00965333" w:rsidRPr="00965333">
        <w:rPr>
          <w:sz w:val="24"/>
          <w:szCs w:val="24"/>
        </w:rPr>
        <w:t>PA</w:t>
      </w:r>
      <w:r w:rsidR="00965333" w:rsidRPr="00965333">
        <w:rPr>
          <w:sz w:val="24"/>
          <w:szCs w:val="24"/>
          <w:vertAlign w:val="subscript"/>
        </w:rPr>
        <w:t>3</w:t>
      </w:r>
      <w:r w:rsidR="00965333" w:rsidRPr="00965333">
        <w:rPr>
          <w:sz w:val="24"/>
          <w:szCs w:val="24"/>
        </w:rPr>
        <w:t xml:space="preserve"> ir PA</w:t>
      </w:r>
      <w:r w:rsidR="00965333" w:rsidRPr="00965333">
        <w:rPr>
          <w:sz w:val="24"/>
          <w:szCs w:val="24"/>
          <w:vertAlign w:val="subscript"/>
        </w:rPr>
        <w:t>4</w:t>
      </w:r>
      <w:r w:rsidR="00965333" w:rsidRPr="00965333">
        <w:rPr>
          <w:sz w:val="24"/>
          <w:szCs w:val="24"/>
        </w:rPr>
        <w:t xml:space="preserve"> parametrams </w:t>
      </w:r>
      <w:r w:rsidR="00965333">
        <w:rPr>
          <w:sz w:val="24"/>
          <w:szCs w:val="24"/>
        </w:rPr>
        <w:t xml:space="preserve">po 1 </w:t>
      </w:r>
      <w:r w:rsidR="00965333" w:rsidRPr="00965333">
        <w:rPr>
          <w:sz w:val="24"/>
          <w:szCs w:val="24"/>
        </w:rPr>
        <w:t>bal</w:t>
      </w:r>
      <w:r w:rsidR="00965333">
        <w:rPr>
          <w:sz w:val="24"/>
          <w:szCs w:val="24"/>
        </w:rPr>
        <w:t>ą</w:t>
      </w:r>
      <w:r w:rsidR="00965333" w:rsidRPr="00965333">
        <w:rPr>
          <w:sz w:val="24"/>
          <w:szCs w:val="24"/>
        </w:rPr>
        <w:t xml:space="preserve"> suteikiama pagrįstai didžiausią kriterijaus reikšmę nurodžiusiam tiekėjui</w:t>
      </w:r>
      <w:r w:rsidR="00532C09">
        <w:rPr>
          <w:sz w:val="24"/>
          <w:szCs w:val="24"/>
        </w:rPr>
        <w:t>, kitiems tiekėjams – 0 balų</w:t>
      </w:r>
      <w:r w:rsidR="00965333" w:rsidRPr="00965333">
        <w:rPr>
          <w:sz w:val="24"/>
          <w:szCs w:val="24"/>
        </w:rPr>
        <w:t>.</w:t>
      </w:r>
    </w:p>
    <w:p w14:paraId="0D6807F9" w14:textId="77777777" w:rsidR="00984B65" w:rsidRPr="00F2040B" w:rsidRDefault="00984B65" w:rsidP="00984B65">
      <w:pPr>
        <w:pStyle w:val="Body"/>
        <w:ind w:left="708"/>
        <w:jc w:val="both"/>
      </w:pPr>
    </w:p>
    <w:p w14:paraId="6B06A243" w14:textId="51381B7E" w:rsidR="00984B65" w:rsidRPr="00F2040B" w:rsidRDefault="00984B65" w:rsidP="002D10DC">
      <w:pPr>
        <w:pStyle w:val="Body"/>
        <w:numPr>
          <w:ilvl w:val="1"/>
          <w:numId w:val="1"/>
        </w:numPr>
        <w:jc w:val="both"/>
        <w:rPr>
          <w:sz w:val="24"/>
          <w:szCs w:val="24"/>
        </w:rPr>
      </w:pPr>
      <w:r w:rsidRPr="00F2040B">
        <w:rPr>
          <w:b/>
          <w:bCs/>
          <w:sz w:val="24"/>
          <w:szCs w:val="24"/>
        </w:rPr>
        <w:t>Kriterijaus (</w:t>
      </w:r>
      <w:r w:rsidR="00536A7F" w:rsidRPr="00F2040B">
        <w:rPr>
          <w:b/>
          <w:bCs/>
          <w:sz w:val="24"/>
          <w:szCs w:val="24"/>
        </w:rPr>
        <w:t>P</w:t>
      </w:r>
      <w:r w:rsidRPr="00F2040B">
        <w:rPr>
          <w:b/>
          <w:bCs/>
          <w:sz w:val="24"/>
          <w:szCs w:val="24"/>
        </w:rPr>
        <w:t>T</w:t>
      </w:r>
      <w:r w:rsidRPr="00F2040B">
        <w:rPr>
          <w:b/>
          <w:bCs/>
          <w:sz w:val="24"/>
          <w:szCs w:val="24"/>
          <w:vertAlign w:val="subscript"/>
        </w:rPr>
        <w:t>2</w:t>
      </w:r>
      <w:r w:rsidRPr="00F2040B">
        <w:rPr>
          <w:b/>
          <w:bCs/>
          <w:sz w:val="24"/>
          <w:szCs w:val="24"/>
        </w:rPr>
        <w:t>) lyginamasis svoris</w:t>
      </w:r>
      <w:r w:rsidRPr="00F2040B">
        <w:rPr>
          <w:sz w:val="24"/>
          <w:szCs w:val="24"/>
        </w:rPr>
        <w:t xml:space="preserve"> </w:t>
      </w:r>
      <w:r w:rsidR="009A4A5F" w:rsidRPr="00F2040B">
        <w:rPr>
          <w:sz w:val="24"/>
          <w:szCs w:val="24"/>
        </w:rPr>
        <w:t>(PY</w:t>
      </w:r>
      <w:r w:rsidR="009A4A5F">
        <w:rPr>
          <w:sz w:val="24"/>
          <w:szCs w:val="24"/>
          <w:vertAlign w:val="subscript"/>
        </w:rPr>
        <w:t>2</w:t>
      </w:r>
      <w:r w:rsidR="009A4A5F" w:rsidRPr="00F2040B">
        <w:rPr>
          <w:sz w:val="24"/>
          <w:szCs w:val="24"/>
        </w:rPr>
        <w:t>)</w:t>
      </w:r>
      <w:r w:rsidR="009A4A5F">
        <w:rPr>
          <w:sz w:val="24"/>
          <w:szCs w:val="24"/>
        </w:rPr>
        <w:t xml:space="preserve"> </w:t>
      </w:r>
      <w:r w:rsidRPr="00F2040B">
        <w:rPr>
          <w:sz w:val="24"/>
          <w:szCs w:val="24"/>
        </w:rPr>
        <w:t xml:space="preserve">yra </w:t>
      </w:r>
      <w:r w:rsidR="00884585">
        <w:rPr>
          <w:sz w:val="24"/>
          <w:szCs w:val="24"/>
        </w:rPr>
        <w:t>lygus</w:t>
      </w:r>
      <w:r w:rsidRPr="00F2040B">
        <w:rPr>
          <w:sz w:val="24"/>
          <w:szCs w:val="24"/>
        </w:rPr>
        <w:t xml:space="preserve"> šio kriterijaus parametr</w:t>
      </w:r>
      <w:r w:rsidR="003B52FA">
        <w:rPr>
          <w:sz w:val="24"/>
          <w:szCs w:val="24"/>
        </w:rPr>
        <w:t>o</w:t>
      </w:r>
      <w:r w:rsidRPr="00F2040B">
        <w:rPr>
          <w:sz w:val="24"/>
          <w:szCs w:val="24"/>
        </w:rPr>
        <w:t xml:space="preserve"> (</w:t>
      </w:r>
      <w:r w:rsidR="00E96B60" w:rsidRPr="00F2040B">
        <w:rPr>
          <w:sz w:val="24"/>
          <w:szCs w:val="24"/>
        </w:rPr>
        <w:t>P</w:t>
      </w:r>
      <w:r w:rsidRPr="00F2040B">
        <w:rPr>
          <w:sz w:val="24"/>
          <w:szCs w:val="24"/>
        </w:rPr>
        <w:t>B</w:t>
      </w:r>
      <w:r w:rsidRPr="00F2040B">
        <w:rPr>
          <w:sz w:val="24"/>
          <w:szCs w:val="24"/>
          <w:vertAlign w:val="subscript"/>
        </w:rPr>
        <w:t>1</w:t>
      </w:r>
      <w:r w:rsidRPr="00F2040B">
        <w:rPr>
          <w:sz w:val="24"/>
          <w:szCs w:val="24"/>
        </w:rPr>
        <w:t>) bal</w:t>
      </w:r>
      <w:r w:rsidR="003B52FA">
        <w:rPr>
          <w:sz w:val="24"/>
          <w:szCs w:val="24"/>
        </w:rPr>
        <w:t>ų</w:t>
      </w:r>
      <w:r w:rsidRPr="00F2040B">
        <w:rPr>
          <w:sz w:val="24"/>
          <w:szCs w:val="24"/>
        </w:rPr>
        <w:t xml:space="preserve"> </w:t>
      </w:r>
      <w:r w:rsidR="003B52FA">
        <w:rPr>
          <w:sz w:val="24"/>
          <w:szCs w:val="24"/>
        </w:rPr>
        <w:t>skaičiui.</w:t>
      </w:r>
      <w:r w:rsidR="0045319D">
        <w:rPr>
          <w:sz w:val="24"/>
          <w:szCs w:val="24"/>
        </w:rPr>
        <w:t xml:space="preserve"> </w:t>
      </w:r>
      <w:r w:rsidR="0045319D" w:rsidRPr="0045319D">
        <w:rPr>
          <w:sz w:val="24"/>
          <w:szCs w:val="24"/>
        </w:rPr>
        <w:t>Tiekėjo atitikti</w:t>
      </w:r>
      <w:r w:rsidR="0045319D">
        <w:rPr>
          <w:sz w:val="24"/>
          <w:szCs w:val="24"/>
        </w:rPr>
        <w:t>e</w:t>
      </w:r>
      <w:r w:rsidR="0045319D" w:rsidRPr="0045319D">
        <w:rPr>
          <w:sz w:val="24"/>
          <w:szCs w:val="24"/>
        </w:rPr>
        <w:t>s PB</w:t>
      </w:r>
      <w:r w:rsidR="0045319D" w:rsidRPr="0045319D">
        <w:rPr>
          <w:sz w:val="24"/>
          <w:szCs w:val="24"/>
          <w:vertAlign w:val="subscript"/>
        </w:rPr>
        <w:t>1</w:t>
      </w:r>
      <w:r w:rsidR="0045319D" w:rsidRPr="0045319D">
        <w:rPr>
          <w:sz w:val="24"/>
          <w:szCs w:val="24"/>
        </w:rPr>
        <w:t xml:space="preserve"> </w:t>
      </w:r>
      <w:r w:rsidR="0045319D">
        <w:rPr>
          <w:sz w:val="24"/>
          <w:szCs w:val="24"/>
        </w:rPr>
        <w:t>parametrui</w:t>
      </w:r>
      <w:r w:rsidR="0045319D" w:rsidRPr="0045319D">
        <w:rPr>
          <w:sz w:val="24"/>
          <w:szCs w:val="24"/>
        </w:rPr>
        <w:t xml:space="preserve"> atveju skiriama 10 balų, priešingu atveju </w:t>
      </w:r>
      <w:r w:rsidR="0045319D">
        <w:rPr>
          <w:sz w:val="24"/>
          <w:szCs w:val="24"/>
        </w:rPr>
        <w:t>–</w:t>
      </w:r>
      <w:r w:rsidR="0045319D" w:rsidRPr="0045319D">
        <w:rPr>
          <w:sz w:val="24"/>
          <w:szCs w:val="24"/>
        </w:rPr>
        <w:t xml:space="preserve"> 0</w:t>
      </w:r>
      <w:r w:rsidR="0045319D">
        <w:rPr>
          <w:sz w:val="24"/>
          <w:szCs w:val="24"/>
        </w:rPr>
        <w:t xml:space="preserve"> </w:t>
      </w:r>
      <w:r w:rsidR="0045319D" w:rsidRPr="0045319D">
        <w:rPr>
          <w:sz w:val="24"/>
          <w:szCs w:val="24"/>
        </w:rPr>
        <w:t>balų.</w:t>
      </w:r>
    </w:p>
    <w:p w14:paraId="788BD720" w14:textId="77777777" w:rsidR="00984B65" w:rsidRPr="00F2040B" w:rsidRDefault="00984B65" w:rsidP="00984B65">
      <w:pPr>
        <w:pStyle w:val="Body"/>
        <w:ind w:left="792"/>
        <w:jc w:val="both"/>
        <w:rPr>
          <w:sz w:val="24"/>
          <w:szCs w:val="24"/>
        </w:rPr>
      </w:pPr>
    </w:p>
    <w:p w14:paraId="27C8F152" w14:textId="7D048166" w:rsidR="00984B65" w:rsidRPr="00F2040B" w:rsidRDefault="008903AB" w:rsidP="00984B65">
      <w:pPr>
        <w:pStyle w:val="Body"/>
        <w:jc w:val="center"/>
        <w:rPr>
          <w:sz w:val="24"/>
          <w:szCs w:val="24"/>
        </w:rPr>
      </w:pPr>
      <m:oMathPara>
        <m:oMathParaPr>
          <m:jc m:val="center"/>
        </m:oMathParaPr>
        <m:oMath>
          <m:sSub>
            <m:sSubPr>
              <m:ctrlPr>
                <w:rPr>
                  <w:rFonts w:ascii="Cambria Math" w:hAnsi="Cambria Math"/>
                </w:rPr>
              </m:ctrlPr>
            </m:sSubPr>
            <m:e>
              <m:r>
                <w:rPr>
                  <w:rFonts w:ascii="Cambria Math" w:hAnsi="Cambria Math"/>
                  <w:sz w:val="25"/>
                  <w:szCs w:val="25"/>
                </w:rPr>
                <m:t>PT</m:t>
              </m:r>
            </m:e>
            <m:sub>
              <m:r>
                <w:rPr>
                  <w:rFonts w:ascii="Cambria Math" w:hAnsi="Cambria Math"/>
                  <w:sz w:val="25"/>
                  <w:szCs w:val="25"/>
                </w:rPr>
                <m:t>2</m:t>
              </m:r>
            </m:sub>
          </m:sSub>
          <m:r>
            <w:rPr>
              <w:rFonts w:ascii="Cambria Math" w:hAnsi="Cambria Math"/>
              <w:sz w:val="25"/>
              <w:szCs w:val="25"/>
            </w:rPr>
            <m:t>=</m:t>
          </m:r>
          <m:sSub>
            <m:sSubPr>
              <m:ctrlPr>
                <w:rPr>
                  <w:rFonts w:ascii="Cambria Math" w:hAnsi="Cambria Math"/>
                </w:rPr>
              </m:ctrlPr>
            </m:sSubPr>
            <m:e>
              <m:r>
                <w:rPr>
                  <w:rFonts w:ascii="Cambria Math" w:hAnsi="Cambria Math"/>
                  <w:sz w:val="25"/>
                  <w:szCs w:val="25"/>
                </w:rPr>
                <m:t>PB</m:t>
              </m:r>
            </m:e>
            <m:sub>
              <m:r>
                <w:rPr>
                  <w:rFonts w:ascii="Cambria Math" w:hAnsi="Cambria Math"/>
                  <w:sz w:val="25"/>
                  <w:szCs w:val="25"/>
                </w:rPr>
                <m:t>1</m:t>
              </m:r>
            </m:sub>
          </m:sSub>
          <m:r>
            <w:rPr>
              <w:rFonts w:ascii="Cambria Math" w:hAnsi="Cambria Math"/>
              <w:sz w:val="25"/>
              <w:szCs w:val="25"/>
            </w:rPr>
            <m:t>=</m:t>
          </m:r>
          <m:sSub>
            <m:sSubPr>
              <m:ctrlPr>
                <w:rPr>
                  <w:rFonts w:ascii="Cambria Math" w:hAnsi="Cambria Math"/>
                </w:rPr>
              </m:ctrlPr>
            </m:sSubPr>
            <m:e>
              <m:r>
                <w:rPr>
                  <w:rFonts w:ascii="Cambria Math" w:hAnsi="Cambria Math"/>
                  <w:sz w:val="25"/>
                  <w:szCs w:val="25"/>
                </w:rPr>
                <m:t>PY</m:t>
              </m:r>
            </m:e>
            <m:sub>
              <m:r>
                <w:rPr>
                  <w:rFonts w:ascii="Cambria Math" w:hAnsi="Cambria Math"/>
                  <w:sz w:val="25"/>
                  <w:szCs w:val="25"/>
                </w:rPr>
                <m:t>2</m:t>
              </m:r>
            </m:sub>
          </m:sSub>
        </m:oMath>
      </m:oMathPara>
    </w:p>
    <w:p w14:paraId="2263B38B" w14:textId="77777777" w:rsidR="0045319D" w:rsidRPr="0045319D" w:rsidRDefault="0045319D" w:rsidP="0045319D">
      <w:pPr>
        <w:pStyle w:val="Body"/>
        <w:ind w:left="792"/>
        <w:jc w:val="both"/>
        <w:rPr>
          <w:sz w:val="24"/>
          <w:szCs w:val="24"/>
        </w:rPr>
      </w:pPr>
    </w:p>
    <w:p w14:paraId="6EC57FC0" w14:textId="1718469E" w:rsidR="0045319D" w:rsidRPr="00F2040B" w:rsidRDefault="0045319D" w:rsidP="0045319D">
      <w:pPr>
        <w:pStyle w:val="Body"/>
        <w:numPr>
          <w:ilvl w:val="1"/>
          <w:numId w:val="1"/>
        </w:numPr>
        <w:jc w:val="both"/>
        <w:rPr>
          <w:sz w:val="24"/>
          <w:szCs w:val="24"/>
        </w:rPr>
      </w:pPr>
      <w:r w:rsidRPr="00F2040B">
        <w:rPr>
          <w:b/>
          <w:bCs/>
          <w:sz w:val="24"/>
          <w:szCs w:val="24"/>
        </w:rPr>
        <w:t>Kriterijaus (PT</w:t>
      </w:r>
      <w:r>
        <w:rPr>
          <w:b/>
          <w:bCs/>
          <w:sz w:val="24"/>
          <w:szCs w:val="24"/>
          <w:vertAlign w:val="subscript"/>
        </w:rPr>
        <w:t>3</w:t>
      </w:r>
      <w:r w:rsidRPr="00F2040B">
        <w:rPr>
          <w:b/>
          <w:bCs/>
          <w:sz w:val="24"/>
          <w:szCs w:val="24"/>
        </w:rPr>
        <w:t>) lyginamasis svoris</w:t>
      </w:r>
      <w:r w:rsidRPr="00F2040B">
        <w:rPr>
          <w:sz w:val="24"/>
          <w:szCs w:val="24"/>
        </w:rPr>
        <w:t xml:space="preserve"> (PY</w:t>
      </w:r>
      <w:r>
        <w:rPr>
          <w:sz w:val="24"/>
          <w:szCs w:val="24"/>
          <w:vertAlign w:val="subscript"/>
        </w:rPr>
        <w:t>3</w:t>
      </w:r>
      <w:r w:rsidRPr="00F2040B">
        <w:rPr>
          <w:sz w:val="24"/>
          <w:szCs w:val="24"/>
        </w:rPr>
        <w:t>)</w:t>
      </w:r>
      <w:r>
        <w:rPr>
          <w:sz w:val="24"/>
          <w:szCs w:val="24"/>
        </w:rPr>
        <w:t xml:space="preserve"> </w:t>
      </w:r>
      <w:r w:rsidRPr="00F2040B">
        <w:rPr>
          <w:sz w:val="24"/>
          <w:szCs w:val="24"/>
        </w:rPr>
        <w:t xml:space="preserve">yra </w:t>
      </w:r>
      <w:r>
        <w:rPr>
          <w:sz w:val="24"/>
          <w:szCs w:val="24"/>
        </w:rPr>
        <w:t>lygus</w:t>
      </w:r>
      <w:r w:rsidRPr="00F2040B">
        <w:rPr>
          <w:sz w:val="24"/>
          <w:szCs w:val="24"/>
        </w:rPr>
        <w:t xml:space="preserve"> šio kriterijaus parametr</w:t>
      </w:r>
      <w:r>
        <w:rPr>
          <w:sz w:val="24"/>
          <w:szCs w:val="24"/>
        </w:rPr>
        <w:t>o</w:t>
      </w:r>
      <w:r w:rsidRPr="00F2040B">
        <w:rPr>
          <w:sz w:val="24"/>
          <w:szCs w:val="24"/>
        </w:rPr>
        <w:t xml:space="preserve"> (P</w:t>
      </w:r>
      <w:r>
        <w:rPr>
          <w:sz w:val="24"/>
          <w:szCs w:val="24"/>
        </w:rPr>
        <w:t>C</w:t>
      </w:r>
      <w:r w:rsidRPr="00F2040B">
        <w:rPr>
          <w:sz w:val="24"/>
          <w:szCs w:val="24"/>
          <w:vertAlign w:val="subscript"/>
        </w:rPr>
        <w:t>1</w:t>
      </w:r>
      <w:r w:rsidRPr="00F2040B">
        <w:rPr>
          <w:sz w:val="24"/>
          <w:szCs w:val="24"/>
        </w:rPr>
        <w:t>) bal</w:t>
      </w:r>
      <w:r>
        <w:rPr>
          <w:sz w:val="24"/>
          <w:szCs w:val="24"/>
        </w:rPr>
        <w:t>ų</w:t>
      </w:r>
      <w:r w:rsidRPr="00F2040B">
        <w:rPr>
          <w:sz w:val="24"/>
          <w:szCs w:val="24"/>
        </w:rPr>
        <w:t xml:space="preserve"> </w:t>
      </w:r>
      <w:r>
        <w:rPr>
          <w:sz w:val="24"/>
          <w:szCs w:val="24"/>
        </w:rPr>
        <w:t xml:space="preserve">skaičiui. </w:t>
      </w:r>
      <w:r w:rsidRPr="0045319D">
        <w:rPr>
          <w:sz w:val="24"/>
          <w:szCs w:val="24"/>
        </w:rPr>
        <w:t>Tiekėjo atitikti</w:t>
      </w:r>
      <w:r>
        <w:rPr>
          <w:sz w:val="24"/>
          <w:szCs w:val="24"/>
        </w:rPr>
        <w:t>e</w:t>
      </w:r>
      <w:r w:rsidRPr="0045319D">
        <w:rPr>
          <w:sz w:val="24"/>
          <w:szCs w:val="24"/>
        </w:rPr>
        <w:t>s P</w:t>
      </w:r>
      <w:r>
        <w:rPr>
          <w:sz w:val="24"/>
          <w:szCs w:val="24"/>
        </w:rPr>
        <w:t>C</w:t>
      </w:r>
      <w:r w:rsidRPr="0045319D">
        <w:rPr>
          <w:sz w:val="24"/>
          <w:szCs w:val="24"/>
          <w:vertAlign w:val="subscript"/>
        </w:rPr>
        <w:t>1</w:t>
      </w:r>
      <w:r w:rsidRPr="0045319D">
        <w:rPr>
          <w:sz w:val="24"/>
          <w:szCs w:val="24"/>
        </w:rPr>
        <w:t xml:space="preserve"> </w:t>
      </w:r>
      <w:r>
        <w:rPr>
          <w:sz w:val="24"/>
          <w:szCs w:val="24"/>
        </w:rPr>
        <w:t>parametrui</w:t>
      </w:r>
      <w:r w:rsidRPr="0045319D">
        <w:rPr>
          <w:sz w:val="24"/>
          <w:szCs w:val="24"/>
        </w:rPr>
        <w:t xml:space="preserve"> atveju skiriam</w:t>
      </w:r>
      <w:r>
        <w:rPr>
          <w:sz w:val="24"/>
          <w:szCs w:val="24"/>
        </w:rPr>
        <w:t>i</w:t>
      </w:r>
      <w:r w:rsidRPr="0045319D">
        <w:rPr>
          <w:sz w:val="24"/>
          <w:szCs w:val="24"/>
        </w:rPr>
        <w:t xml:space="preserve"> </w:t>
      </w:r>
      <w:r>
        <w:rPr>
          <w:sz w:val="24"/>
          <w:szCs w:val="24"/>
        </w:rPr>
        <w:t>5</w:t>
      </w:r>
      <w:r w:rsidRPr="0045319D">
        <w:rPr>
          <w:sz w:val="24"/>
          <w:szCs w:val="24"/>
        </w:rPr>
        <w:t xml:space="preserve"> bal</w:t>
      </w:r>
      <w:r>
        <w:rPr>
          <w:sz w:val="24"/>
          <w:szCs w:val="24"/>
        </w:rPr>
        <w:t>ai</w:t>
      </w:r>
      <w:r w:rsidRPr="0045319D">
        <w:rPr>
          <w:sz w:val="24"/>
          <w:szCs w:val="24"/>
        </w:rPr>
        <w:t xml:space="preserve">, priešingu atveju </w:t>
      </w:r>
      <w:r>
        <w:rPr>
          <w:sz w:val="24"/>
          <w:szCs w:val="24"/>
        </w:rPr>
        <w:t>–</w:t>
      </w:r>
      <w:r w:rsidRPr="0045319D">
        <w:rPr>
          <w:sz w:val="24"/>
          <w:szCs w:val="24"/>
        </w:rPr>
        <w:t xml:space="preserve"> 0</w:t>
      </w:r>
      <w:r>
        <w:rPr>
          <w:sz w:val="24"/>
          <w:szCs w:val="24"/>
        </w:rPr>
        <w:t xml:space="preserve"> </w:t>
      </w:r>
      <w:r w:rsidRPr="0045319D">
        <w:rPr>
          <w:sz w:val="24"/>
          <w:szCs w:val="24"/>
        </w:rPr>
        <w:t>balų.</w:t>
      </w:r>
    </w:p>
    <w:p w14:paraId="29C2D399" w14:textId="77777777" w:rsidR="0045319D" w:rsidRPr="00F2040B" w:rsidRDefault="0045319D" w:rsidP="0045319D">
      <w:pPr>
        <w:pStyle w:val="Body"/>
        <w:ind w:left="792"/>
        <w:jc w:val="both"/>
        <w:rPr>
          <w:sz w:val="24"/>
          <w:szCs w:val="24"/>
        </w:rPr>
      </w:pPr>
    </w:p>
    <w:p w14:paraId="323C6F52" w14:textId="099AF438" w:rsidR="0045319D" w:rsidRPr="00F2040B" w:rsidRDefault="008903AB" w:rsidP="0045319D">
      <w:pPr>
        <w:pStyle w:val="Body"/>
        <w:jc w:val="center"/>
        <w:rPr>
          <w:sz w:val="24"/>
          <w:szCs w:val="24"/>
        </w:rPr>
      </w:pPr>
      <m:oMathPara>
        <m:oMathParaPr>
          <m:jc m:val="center"/>
        </m:oMathParaPr>
        <m:oMath>
          <m:sSub>
            <m:sSubPr>
              <m:ctrlPr>
                <w:rPr>
                  <w:rFonts w:ascii="Cambria Math" w:hAnsi="Cambria Math"/>
                </w:rPr>
              </m:ctrlPr>
            </m:sSubPr>
            <m:e>
              <m:r>
                <w:rPr>
                  <w:rFonts w:ascii="Cambria Math" w:hAnsi="Cambria Math"/>
                  <w:sz w:val="25"/>
                  <w:szCs w:val="25"/>
                </w:rPr>
                <m:t>PT</m:t>
              </m:r>
            </m:e>
            <m:sub>
              <m:r>
                <w:rPr>
                  <w:rFonts w:ascii="Cambria Math" w:hAnsi="Cambria Math"/>
                  <w:sz w:val="25"/>
                  <w:szCs w:val="25"/>
                </w:rPr>
                <m:t>3</m:t>
              </m:r>
            </m:sub>
          </m:sSub>
          <m:r>
            <w:rPr>
              <w:rFonts w:ascii="Cambria Math" w:hAnsi="Cambria Math"/>
              <w:sz w:val="25"/>
              <w:szCs w:val="25"/>
            </w:rPr>
            <m:t>=</m:t>
          </m:r>
          <m:sSub>
            <m:sSubPr>
              <m:ctrlPr>
                <w:rPr>
                  <w:rFonts w:ascii="Cambria Math" w:hAnsi="Cambria Math"/>
                </w:rPr>
              </m:ctrlPr>
            </m:sSubPr>
            <m:e>
              <m:r>
                <w:rPr>
                  <w:rFonts w:ascii="Cambria Math" w:hAnsi="Cambria Math"/>
                  <w:sz w:val="25"/>
                  <w:szCs w:val="25"/>
                </w:rPr>
                <m:t>PC</m:t>
              </m:r>
            </m:e>
            <m:sub>
              <m:r>
                <w:rPr>
                  <w:rFonts w:ascii="Cambria Math" w:hAnsi="Cambria Math"/>
                  <w:sz w:val="25"/>
                  <w:szCs w:val="25"/>
                </w:rPr>
                <m:t>1</m:t>
              </m:r>
            </m:sub>
          </m:sSub>
          <m:r>
            <w:rPr>
              <w:rFonts w:ascii="Cambria Math" w:hAnsi="Cambria Math"/>
              <w:sz w:val="25"/>
              <w:szCs w:val="25"/>
            </w:rPr>
            <m:t>=</m:t>
          </m:r>
          <m:sSub>
            <m:sSubPr>
              <m:ctrlPr>
                <w:rPr>
                  <w:rFonts w:ascii="Cambria Math" w:hAnsi="Cambria Math"/>
                </w:rPr>
              </m:ctrlPr>
            </m:sSubPr>
            <m:e>
              <m:r>
                <w:rPr>
                  <w:rFonts w:ascii="Cambria Math" w:hAnsi="Cambria Math"/>
                  <w:sz w:val="25"/>
                  <w:szCs w:val="25"/>
                </w:rPr>
                <m:t>PY</m:t>
              </m:r>
            </m:e>
            <m:sub>
              <m:r>
                <w:rPr>
                  <w:rFonts w:ascii="Cambria Math" w:hAnsi="Cambria Math"/>
                  <w:sz w:val="25"/>
                  <w:szCs w:val="25"/>
                </w:rPr>
                <m:t>3</m:t>
              </m:r>
            </m:sub>
          </m:sSub>
        </m:oMath>
      </m:oMathPara>
    </w:p>
    <w:p w14:paraId="5387755A" w14:textId="77777777" w:rsidR="0045319D" w:rsidRPr="00F2040B" w:rsidRDefault="0045319D" w:rsidP="0045319D">
      <w:pPr>
        <w:pStyle w:val="Body"/>
        <w:jc w:val="both"/>
        <w:rPr>
          <w:sz w:val="24"/>
          <w:szCs w:val="24"/>
        </w:rPr>
      </w:pPr>
    </w:p>
    <w:sectPr w:rsidR="0045319D" w:rsidRPr="00F2040B" w:rsidSect="007D4E98">
      <w:pgSz w:w="11900" w:h="16840"/>
      <w:pgMar w:top="1134" w:right="1134"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62191" w14:textId="77777777" w:rsidR="007B1A27" w:rsidRDefault="007B1A27">
      <w:r>
        <w:separator/>
      </w:r>
    </w:p>
  </w:endnote>
  <w:endnote w:type="continuationSeparator" w:id="0">
    <w:p w14:paraId="37D52598" w14:textId="77777777" w:rsidR="007B1A27" w:rsidRDefault="007B1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2D7B0" w14:textId="77777777" w:rsidR="007B1A27" w:rsidRDefault="007B1A27">
      <w:r>
        <w:separator/>
      </w:r>
    </w:p>
  </w:footnote>
  <w:footnote w:type="continuationSeparator" w:id="0">
    <w:p w14:paraId="46A9758F" w14:textId="77777777" w:rsidR="007B1A27" w:rsidRDefault="007B1A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A234A"/>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C8655F8"/>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3EE0AAC"/>
    <w:multiLevelType w:val="hybridMultilevel"/>
    <w:tmpl w:val="DB340A60"/>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3" w15:restartNumberingAfterBreak="0">
    <w:nsid w:val="65791947"/>
    <w:multiLevelType w:val="hybridMultilevel"/>
    <w:tmpl w:val="F28A3DC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684E3A9E"/>
    <w:multiLevelType w:val="hybridMultilevel"/>
    <w:tmpl w:val="F28A3DC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691802C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B7711B8"/>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78946063">
    <w:abstractNumId w:val="0"/>
  </w:num>
  <w:num w:numId="2" w16cid:durableId="544606133">
    <w:abstractNumId w:val="2"/>
  </w:num>
  <w:num w:numId="3" w16cid:durableId="1699238953">
    <w:abstractNumId w:val="5"/>
  </w:num>
  <w:num w:numId="4" w16cid:durableId="821509519">
    <w:abstractNumId w:val="3"/>
  </w:num>
  <w:num w:numId="5" w16cid:durableId="1992826126">
    <w:abstractNumId w:val="6"/>
  </w:num>
  <w:num w:numId="6" w16cid:durableId="1426002385">
    <w:abstractNumId w:val="1"/>
  </w:num>
  <w:num w:numId="7" w16cid:durableId="19942901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08"/>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A58"/>
    <w:rsid w:val="000213BB"/>
    <w:rsid w:val="000253CB"/>
    <w:rsid w:val="00026967"/>
    <w:rsid w:val="00035114"/>
    <w:rsid w:val="0004037F"/>
    <w:rsid w:val="000425B4"/>
    <w:rsid w:val="00043F85"/>
    <w:rsid w:val="00046736"/>
    <w:rsid w:val="00046F02"/>
    <w:rsid w:val="00055483"/>
    <w:rsid w:val="000828B5"/>
    <w:rsid w:val="00083FF5"/>
    <w:rsid w:val="000A582D"/>
    <w:rsid w:val="000A7EBB"/>
    <w:rsid w:val="000C0C31"/>
    <w:rsid w:val="000C1DDB"/>
    <w:rsid w:val="000C50C5"/>
    <w:rsid w:val="000C55B3"/>
    <w:rsid w:val="000C6297"/>
    <w:rsid w:val="000C677F"/>
    <w:rsid w:val="000D1CDA"/>
    <w:rsid w:val="000F7F08"/>
    <w:rsid w:val="00120E26"/>
    <w:rsid w:val="00121F69"/>
    <w:rsid w:val="00123114"/>
    <w:rsid w:val="001265BB"/>
    <w:rsid w:val="00127473"/>
    <w:rsid w:val="00143AAF"/>
    <w:rsid w:val="001451C7"/>
    <w:rsid w:val="001453A2"/>
    <w:rsid w:val="00155796"/>
    <w:rsid w:val="001557AB"/>
    <w:rsid w:val="00161FAE"/>
    <w:rsid w:val="00170C07"/>
    <w:rsid w:val="001919E0"/>
    <w:rsid w:val="00197C96"/>
    <w:rsid w:val="001A69CF"/>
    <w:rsid w:val="001C4CFB"/>
    <w:rsid w:val="001D4926"/>
    <w:rsid w:val="001E1639"/>
    <w:rsid w:val="001E1D34"/>
    <w:rsid w:val="001E2158"/>
    <w:rsid w:val="002119ED"/>
    <w:rsid w:val="00231CDF"/>
    <w:rsid w:val="0023637E"/>
    <w:rsid w:val="00237E38"/>
    <w:rsid w:val="002612B8"/>
    <w:rsid w:val="00267364"/>
    <w:rsid w:val="0026788E"/>
    <w:rsid w:val="00287F6C"/>
    <w:rsid w:val="00291F04"/>
    <w:rsid w:val="00293AC6"/>
    <w:rsid w:val="002A04FE"/>
    <w:rsid w:val="002A2B9F"/>
    <w:rsid w:val="002A317E"/>
    <w:rsid w:val="002C70A0"/>
    <w:rsid w:val="002D10DC"/>
    <w:rsid w:val="002D2B2E"/>
    <w:rsid w:val="002D3014"/>
    <w:rsid w:val="002E013A"/>
    <w:rsid w:val="002E6361"/>
    <w:rsid w:val="002F7D1C"/>
    <w:rsid w:val="00302C0E"/>
    <w:rsid w:val="003056E1"/>
    <w:rsid w:val="0032271E"/>
    <w:rsid w:val="003239CB"/>
    <w:rsid w:val="00326116"/>
    <w:rsid w:val="003347F3"/>
    <w:rsid w:val="00345267"/>
    <w:rsid w:val="00345A6D"/>
    <w:rsid w:val="00350CF1"/>
    <w:rsid w:val="00360F6A"/>
    <w:rsid w:val="003644D3"/>
    <w:rsid w:val="00371C43"/>
    <w:rsid w:val="00373EB6"/>
    <w:rsid w:val="0038162E"/>
    <w:rsid w:val="0038483A"/>
    <w:rsid w:val="003B01AB"/>
    <w:rsid w:val="003B11B3"/>
    <w:rsid w:val="003B52FA"/>
    <w:rsid w:val="003B5515"/>
    <w:rsid w:val="003C5F9B"/>
    <w:rsid w:val="003E3555"/>
    <w:rsid w:val="003E7508"/>
    <w:rsid w:val="00403125"/>
    <w:rsid w:val="00404969"/>
    <w:rsid w:val="00405046"/>
    <w:rsid w:val="00410861"/>
    <w:rsid w:val="0041511B"/>
    <w:rsid w:val="004302A3"/>
    <w:rsid w:val="00431AEC"/>
    <w:rsid w:val="00433477"/>
    <w:rsid w:val="004445F8"/>
    <w:rsid w:val="0045048F"/>
    <w:rsid w:val="0045319D"/>
    <w:rsid w:val="0046660F"/>
    <w:rsid w:val="0047058E"/>
    <w:rsid w:val="00471879"/>
    <w:rsid w:val="00472B69"/>
    <w:rsid w:val="004949B6"/>
    <w:rsid w:val="004A38AB"/>
    <w:rsid w:val="004A55A0"/>
    <w:rsid w:val="004D5A6C"/>
    <w:rsid w:val="004D6E71"/>
    <w:rsid w:val="004E1E04"/>
    <w:rsid w:val="004E4393"/>
    <w:rsid w:val="004E44DA"/>
    <w:rsid w:val="004E5F7A"/>
    <w:rsid w:val="004F30DB"/>
    <w:rsid w:val="00500590"/>
    <w:rsid w:val="00517AAC"/>
    <w:rsid w:val="0052240F"/>
    <w:rsid w:val="005260C4"/>
    <w:rsid w:val="00527E47"/>
    <w:rsid w:val="005318D6"/>
    <w:rsid w:val="00532C09"/>
    <w:rsid w:val="00532EB2"/>
    <w:rsid w:val="00536A7F"/>
    <w:rsid w:val="005435A7"/>
    <w:rsid w:val="005567E1"/>
    <w:rsid w:val="00564E38"/>
    <w:rsid w:val="005673D1"/>
    <w:rsid w:val="00570A35"/>
    <w:rsid w:val="00575FE6"/>
    <w:rsid w:val="00592A33"/>
    <w:rsid w:val="005975C3"/>
    <w:rsid w:val="00597C59"/>
    <w:rsid w:val="005A1FC4"/>
    <w:rsid w:val="005A3A58"/>
    <w:rsid w:val="005B4E34"/>
    <w:rsid w:val="005B5302"/>
    <w:rsid w:val="005C4930"/>
    <w:rsid w:val="005D1195"/>
    <w:rsid w:val="005D374D"/>
    <w:rsid w:val="005D4FF6"/>
    <w:rsid w:val="005F01A6"/>
    <w:rsid w:val="005F359B"/>
    <w:rsid w:val="0061164A"/>
    <w:rsid w:val="00613D57"/>
    <w:rsid w:val="006173E0"/>
    <w:rsid w:val="00625528"/>
    <w:rsid w:val="00630E5E"/>
    <w:rsid w:val="006334DC"/>
    <w:rsid w:val="006428F0"/>
    <w:rsid w:val="00665E76"/>
    <w:rsid w:val="006662A8"/>
    <w:rsid w:val="00666964"/>
    <w:rsid w:val="00667F51"/>
    <w:rsid w:val="00690EEA"/>
    <w:rsid w:val="006A5517"/>
    <w:rsid w:val="006D4FF5"/>
    <w:rsid w:val="006D6017"/>
    <w:rsid w:val="006D6B34"/>
    <w:rsid w:val="006E23BF"/>
    <w:rsid w:val="006E27C1"/>
    <w:rsid w:val="006F5A85"/>
    <w:rsid w:val="006F6383"/>
    <w:rsid w:val="00707274"/>
    <w:rsid w:val="0072246A"/>
    <w:rsid w:val="0072287E"/>
    <w:rsid w:val="0072614E"/>
    <w:rsid w:val="00740B33"/>
    <w:rsid w:val="00741E74"/>
    <w:rsid w:val="007535D2"/>
    <w:rsid w:val="007666F3"/>
    <w:rsid w:val="00776066"/>
    <w:rsid w:val="00781DB4"/>
    <w:rsid w:val="00795C93"/>
    <w:rsid w:val="007966F5"/>
    <w:rsid w:val="007B1A27"/>
    <w:rsid w:val="007B2FC2"/>
    <w:rsid w:val="007D4E98"/>
    <w:rsid w:val="007F4AA1"/>
    <w:rsid w:val="007F6E1F"/>
    <w:rsid w:val="008032C2"/>
    <w:rsid w:val="008049ED"/>
    <w:rsid w:val="00807414"/>
    <w:rsid w:val="00811D8B"/>
    <w:rsid w:val="00830BB3"/>
    <w:rsid w:val="00845E1C"/>
    <w:rsid w:val="00847518"/>
    <w:rsid w:val="0085530D"/>
    <w:rsid w:val="0087322E"/>
    <w:rsid w:val="00884585"/>
    <w:rsid w:val="008903AB"/>
    <w:rsid w:val="008B544B"/>
    <w:rsid w:val="008D51AA"/>
    <w:rsid w:val="008D6FA9"/>
    <w:rsid w:val="008F2E65"/>
    <w:rsid w:val="008F3174"/>
    <w:rsid w:val="0090180E"/>
    <w:rsid w:val="00906BF3"/>
    <w:rsid w:val="0092565D"/>
    <w:rsid w:val="00931CD8"/>
    <w:rsid w:val="009379E5"/>
    <w:rsid w:val="00937D4D"/>
    <w:rsid w:val="00945D3E"/>
    <w:rsid w:val="00952944"/>
    <w:rsid w:val="00960E30"/>
    <w:rsid w:val="00965333"/>
    <w:rsid w:val="00974D77"/>
    <w:rsid w:val="00984B65"/>
    <w:rsid w:val="00985FCA"/>
    <w:rsid w:val="00991EAB"/>
    <w:rsid w:val="00992099"/>
    <w:rsid w:val="00996871"/>
    <w:rsid w:val="009A4A5F"/>
    <w:rsid w:val="009A654A"/>
    <w:rsid w:val="009B70BE"/>
    <w:rsid w:val="009D2E99"/>
    <w:rsid w:val="009F4C64"/>
    <w:rsid w:val="00A0027D"/>
    <w:rsid w:val="00A25EA0"/>
    <w:rsid w:val="00A343F5"/>
    <w:rsid w:val="00A50B6D"/>
    <w:rsid w:val="00A52631"/>
    <w:rsid w:val="00A73117"/>
    <w:rsid w:val="00A76F04"/>
    <w:rsid w:val="00A82DAD"/>
    <w:rsid w:val="00A837C7"/>
    <w:rsid w:val="00A83AB8"/>
    <w:rsid w:val="00A876FD"/>
    <w:rsid w:val="00A91139"/>
    <w:rsid w:val="00AF1CB7"/>
    <w:rsid w:val="00AF7772"/>
    <w:rsid w:val="00B304C5"/>
    <w:rsid w:val="00B4303C"/>
    <w:rsid w:val="00B477AC"/>
    <w:rsid w:val="00B513AE"/>
    <w:rsid w:val="00B61C6A"/>
    <w:rsid w:val="00B76C23"/>
    <w:rsid w:val="00B76FF6"/>
    <w:rsid w:val="00B80B15"/>
    <w:rsid w:val="00B91DA9"/>
    <w:rsid w:val="00B94C8C"/>
    <w:rsid w:val="00B964A1"/>
    <w:rsid w:val="00BA7BFE"/>
    <w:rsid w:val="00BB3CD5"/>
    <w:rsid w:val="00BC23A7"/>
    <w:rsid w:val="00BD3E60"/>
    <w:rsid w:val="00BD6C1B"/>
    <w:rsid w:val="00C079EF"/>
    <w:rsid w:val="00C2142C"/>
    <w:rsid w:val="00C24C1B"/>
    <w:rsid w:val="00C268ED"/>
    <w:rsid w:val="00C328AC"/>
    <w:rsid w:val="00C52886"/>
    <w:rsid w:val="00C721BA"/>
    <w:rsid w:val="00C84A7A"/>
    <w:rsid w:val="00C923C5"/>
    <w:rsid w:val="00C96FE8"/>
    <w:rsid w:val="00CA12AF"/>
    <w:rsid w:val="00CA2844"/>
    <w:rsid w:val="00CA52C1"/>
    <w:rsid w:val="00CB0940"/>
    <w:rsid w:val="00CC5DFC"/>
    <w:rsid w:val="00CC6D19"/>
    <w:rsid w:val="00CD5BF8"/>
    <w:rsid w:val="00D062D1"/>
    <w:rsid w:val="00D179E9"/>
    <w:rsid w:val="00D25F00"/>
    <w:rsid w:val="00D400FD"/>
    <w:rsid w:val="00D43178"/>
    <w:rsid w:val="00D46323"/>
    <w:rsid w:val="00D47A69"/>
    <w:rsid w:val="00D5006B"/>
    <w:rsid w:val="00D60AE7"/>
    <w:rsid w:val="00D61996"/>
    <w:rsid w:val="00D657BC"/>
    <w:rsid w:val="00D670AF"/>
    <w:rsid w:val="00D866DC"/>
    <w:rsid w:val="00D92FE8"/>
    <w:rsid w:val="00DA27C7"/>
    <w:rsid w:val="00DB4017"/>
    <w:rsid w:val="00DC7564"/>
    <w:rsid w:val="00DD6EA4"/>
    <w:rsid w:val="00DE4812"/>
    <w:rsid w:val="00E0514F"/>
    <w:rsid w:val="00E14C1C"/>
    <w:rsid w:val="00E24751"/>
    <w:rsid w:val="00E40308"/>
    <w:rsid w:val="00E45959"/>
    <w:rsid w:val="00E52851"/>
    <w:rsid w:val="00E5342F"/>
    <w:rsid w:val="00E65521"/>
    <w:rsid w:val="00E73A4E"/>
    <w:rsid w:val="00E765E5"/>
    <w:rsid w:val="00E77B70"/>
    <w:rsid w:val="00E86696"/>
    <w:rsid w:val="00E96B60"/>
    <w:rsid w:val="00EA1B84"/>
    <w:rsid w:val="00EA201C"/>
    <w:rsid w:val="00EA42D4"/>
    <w:rsid w:val="00EA739D"/>
    <w:rsid w:val="00EB0C47"/>
    <w:rsid w:val="00EE2BF6"/>
    <w:rsid w:val="00EE4E21"/>
    <w:rsid w:val="00EE6179"/>
    <w:rsid w:val="00EE73FF"/>
    <w:rsid w:val="00F0145B"/>
    <w:rsid w:val="00F2040B"/>
    <w:rsid w:val="00F41D53"/>
    <w:rsid w:val="00F65875"/>
    <w:rsid w:val="00F6747A"/>
    <w:rsid w:val="00F679FE"/>
    <w:rsid w:val="00F7295F"/>
    <w:rsid w:val="00F86099"/>
    <w:rsid w:val="00F92EC4"/>
    <w:rsid w:val="00FA6FFA"/>
    <w:rsid w:val="00FB0332"/>
    <w:rsid w:val="00FB23F5"/>
    <w:rsid w:val="00FB6984"/>
    <w:rsid w:val="00FC6F58"/>
    <w:rsid w:val="00FE6B8A"/>
    <w:rsid w:val="00FF0E47"/>
    <w:rsid w:val="00FF367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738CF"/>
  <w15:docId w15:val="{39EE0622-00F0-486B-A3B6-A1FBDE999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F7F08"/>
    <w:rPr>
      <w:sz w:val="24"/>
      <w:szCs w:val="24"/>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0F7F08"/>
    <w:rPr>
      <w:u w:val="single"/>
    </w:rPr>
  </w:style>
  <w:style w:type="paragraph" w:customStyle="1" w:styleId="HeaderFooter">
    <w:name w:val="Header &amp; Footer"/>
    <w:rsid w:val="000F7F08"/>
    <w:pPr>
      <w:tabs>
        <w:tab w:val="right" w:pos="9020"/>
      </w:tabs>
    </w:pPr>
    <w:rPr>
      <w:rFonts w:ascii="Helvetica Neue" w:hAnsi="Helvetica Neue" w:cs="Arial Unicode MS"/>
      <w:color w:val="000000"/>
      <w:sz w:val="24"/>
      <w:szCs w:val="24"/>
    </w:rPr>
  </w:style>
  <w:style w:type="paragraph" w:styleId="Porat">
    <w:name w:val="footer"/>
    <w:rsid w:val="000F7F08"/>
    <w:pPr>
      <w:tabs>
        <w:tab w:val="center" w:pos="4535"/>
        <w:tab w:val="right" w:pos="9071"/>
      </w:tabs>
      <w:spacing w:before="60" w:after="60"/>
      <w:jc w:val="both"/>
    </w:pPr>
    <w:rPr>
      <w:rFonts w:cs="Arial Unicode MS"/>
      <w:color w:val="000000"/>
      <w:u w:color="000000"/>
      <w:lang w:val="en-US"/>
    </w:rPr>
  </w:style>
  <w:style w:type="paragraph" w:customStyle="1" w:styleId="Body">
    <w:name w:val="Body"/>
    <w:rsid w:val="000F7F08"/>
    <w:rPr>
      <w:rFonts w:eastAsia="Times New Roman"/>
      <w:color w:val="000000"/>
      <w:sz w:val="22"/>
      <w:szCs w:val="22"/>
      <w:u w:color="000000"/>
    </w:rPr>
  </w:style>
  <w:style w:type="character" w:customStyle="1" w:styleId="None1">
    <w:name w:val="None 1"/>
    <w:rsid w:val="000F7F08"/>
    <w:rPr>
      <w:sz w:val="24"/>
      <w:szCs w:val="24"/>
      <w:lang w:val="en-US"/>
    </w:rPr>
  </w:style>
  <w:style w:type="paragraph" w:styleId="Debesliotekstas">
    <w:name w:val="Balloon Text"/>
    <w:basedOn w:val="prastasis"/>
    <w:link w:val="DebesliotekstasDiagrama"/>
    <w:uiPriority w:val="99"/>
    <w:semiHidden/>
    <w:unhideWhenUsed/>
    <w:rsid w:val="00D92FE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92FE8"/>
    <w:rPr>
      <w:rFonts w:ascii="Tahoma" w:hAnsi="Tahoma" w:cs="Tahoma"/>
      <w:sz w:val="16"/>
      <w:szCs w:val="16"/>
      <w:lang w:val="en-US" w:eastAsia="en-US"/>
    </w:rPr>
  </w:style>
  <w:style w:type="paragraph" w:styleId="Pataisymai">
    <w:name w:val="Revision"/>
    <w:hidden/>
    <w:uiPriority w:val="99"/>
    <w:semiHidden/>
    <w:rsid w:val="00CC5DFC"/>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table" w:styleId="Lentelstinklelis">
    <w:name w:val="Table Grid"/>
    <w:basedOn w:val="prastojilentel"/>
    <w:uiPriority w:val="39"/>
    <w:rsid w:val="000C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E4812"/>
    <w:pPr>
      <w:tabs>
        <w:tab w:val="center" w:pos="4819"/>
        <w:tab w:val="right" w:pos="9638"/>
      </w:tabs>
    </w:pPr>
  </w:style>
  <w:style w:type="character" w:customStyle="1" w:styleId="AntratsDiagrama">
    <w:name w:val="Antraštės Diagrama"/>
    <w:basedOn w:val="Numatytasispastraiposriftas"/>
    <w:link w:val="Antrats"/>
    <w:uiPriority w:val="99"/>
    <w:rsid w:val="00DE4812"/>
    <w:rPr>
      <w:sz w:val="24"/>
      <w:szCs w:val="24"/>
      <w:lang w:val="en-US" w:eastAsia="en-US"/>
    </w:rPr>
  </w:style>
  <w:style w:type="paragraph" w:styleId="Sraopastraipa">
    <w:name w:val="List Paragraph"/>
    <w:basedOn w:val="prastasis"/>
    <w:uiPriority w:val="34"/>
    <w:qFormat/>
    <w:rsid w:val="000828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974133">
      <w:bodyDiv w:val="1"/>
      <w:marLeft w:val="0"/>
      <w:marRight w:val="0"/>
      <w:marTop w:val="0"/>
      <w:marBottom w:val="0"/>
      <w:divBdr>
        <w:top w:val="none" w:sz="0" w:space="0" w:color="auto"/>
        <w:left w:val="none" w:sz="0" w:space="0" w:color="auto"/>
        <w:bottom w:val="none" w:sz="0" w:space="0" w:color="auto"/>
        <w:right w:val="none" w:sz="0" w:space="0" w:color="auto"/>
      </w:divBdr>
    </w:div>
    <w:div w:id="1709526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DD3185-8CAA-482D-BADB-0B31B57FC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4</Pages>
  <Words>7068</Words>
  <Characters>4030</Characters>
  <Application>Microsoft Office Word</Application>
  <DocSecurity>0</DocSecurity>
  <Lines>33</Lines>
  <Paragraphs>22</Paragraphs>
  <ScaleCrop>false</ScaleCrop>
  <Company/>
  <LinksUpToDate>false</LinksUpToDate>
  <CharactersWithSpaces>11076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Valdas Banys</cp:lastModifiedBy>
  <cp:revision>119</cp:revision>
  <cp:lastPrinted>2020-08-21T06:17:00Z</cp:lastPrinted>
  <dcterms:created xsi:type="dcterms:W3CDTF">2025-11-27T06:45:00Z</dcterms:created>
  <dcterms:modified xsi:type="dcterms:W3CDTF">2026-01-26T11:44:00Z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LabbisDVSAttachmentId">
    <vt:lpwstr>55263238-d5ea-48d6-869a-1e720f5610dd</vt:lpwstr>
  </op:property>
</op:Properties>
</file>