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2DB246" w14:textId="77777777" w:rsidR="00C85E2B" w:rsidRPr="00C45CEE" w:rsidRDefault="00C85E2B" w:rsidP="00C85E2B">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781D072F" w14:textId="77777777" w:rsidR="00C85E2B" w:rsidRPr="00C45CEE" w:rsidRDefault="00C85E2B" w:rsidP="00C85E2B">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0CA99B86"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61C02A7C"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242AC9D7" w14:textId="77777777" w:rsidR="00C85E2B" w:rsidRDefault="00C85E2B" w:rsidP="00C85E2B">
          <w:pPr>
            <w:spacing w:after="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37E062DF" w:rsidR="00C85E2B" w:rsidRPr="00291881" w:rsidRDefault="00C85E2B" w:rsidP="00C85E2B">
          <w:pPr>
            <w:spacing w:after="120" w:line="20" w:lineRule="atLeast"/>
            <w:ind w:left="5103"/>
            <w:contextualSpacing/>
            <w:rPr>
              <w:rFonts w:cstheme="minorHAnsi"/>
              <w:sz w:val="24"/>
              <w:szCs w:val="24"/>
            </w:rPr>
          </w:pPr>
          <w:r>
            <w:rPr>
              <w:rFonts w:cstheme="minorHAnsi"/>
              <w:sz w:val="24"/>
              <w:szCs w:val="24"/>
            </w:rPr>
            <w:t xml:space="preserve">  </w:t>
          </w:r>
          <w:r w:rsidRPr="00D9297B">
            <w:rPr>
              <w:rFonts w:cstheme="minorHAnsi"/>
              <w:sz w:val="24"/>
              <w:szCs w:val="24"/>
            </w:rPr>
            <w:t>202</w:t>
          </w:r>
          <w:r w:rsidR="00914B32">
            <w:rPr>
              <w:rFonts w:cstheme="minorHAnsi"/>
              <w:sz w:val="24"/>
              <w:szCs w:val="24"/>
            </w:rPr>
            <w:t>6</w:t>
          </w:r>
          <w:r w:rsidRPr="00D9297B">
            <w:rPr>
              <w:rFonts w:cstheme="minorHAnsi"/>
              <w:sz w:val="24"/>
              <w:szCs w:val="24"/>
            </w:rPr>
            <w:t xml:space="preserve"> m. </w:t>
          </w:r>
          <w:r w:rsidR="00914B32">
            <w:rPr>
              <w:rFonts w:cstheme="minorHAnsi"/>
              <w:sz w:val="24"/>
              <w:szCs w:val="24"/>
            </w:rPr>
            <w:t>sausio</w:t>
          </w:r>
          <w:r w:rsidR="00176FFA">
            <w:rPr>
              <w:rFonts w:cstheme="minorHAnsi"/>
              <w:sz w:val="24"/>
              <w:szCs w:val="24"/>
            </w:rPr>
            <w:t xml:space="preserve"> 29 </w:t>
          </w:r>
          <w:r w:rsidRPr="00D9297B">
            <w:rPr>
              <w:rFonts w:cstheme="minorHAnsi"/>
              <w:sz w:val="24"/>
              <w:szCs w:val="24"/>
            </w:rPr>
            <w:t>d. protokolu Nr. VPN(C)-</w:t>
          </w:r>
          <w:r w:rsidR="00176FFA">
            <w:rPr>
              <w:rFonts w:cstheme="minorHAnsi"/>
              <w:sz w:val="24"/>
              <w:szCs w:val="24"/>
            </w:rPr>
            <w:t>19</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19BB0146" w14:textId="5F401628" w:rsidR="00C85E2B" w:rsidRPr="00F41C8E"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r w:rsidR="00BD24A8" w:rsidRPr="00BD24A8">
            <w:rPr>
              <w:rFonts w:cstheme="minorHAnsi"/>
              <w:b/>
              <w:bCs/>
              <w:caps/>
              <w:sz w:val="28"/>
              <w:szCs w:val="28"/>
            </w:rPr>
            <w:t xml:space="preserve">Automobilio, pritaikyto mobilioms </w:t>
          </w:r>
          <w:r w:rsidR="00286014">
            <w:rPr>
              <w:rFonts w:cstheme="minorHAnsi"/>
              <w:b/>
              <w:bCs/>
              <w:caps/>
              <w:sz w:val="28"/>
              <w:szCs w:val="28"/>
            </w:rPr>
            <w:t>ambulatorinėms</w:t>
          </w:r>
          <w:r w:rsidR="00BD24A8" w:rsidRPr="00BD24A8">
            <w:rPr>
              <w:rFonts w:cstheme="minorHAnsi"/>
              <w:b/>
              <w:bCs/>
              <w:caps/>
              <w:sz w:val="28"/>
              <w:szCs w:val="28"/>
            </w:rPr>
            <w:t xml:space="preserve"> paslaugoms teikti, pirkimas</w:t>
          </w:r>
          <w:r w:rsidR="00C85E2B" w:rsidRPr="00F41C8E">
            <w:rPr>
              <w:rFonts w:cstheme="minorHAnsi"/>
              <w:b/>
              <w:bCs/>
              <w:caps/>
              <w:sz w:val="28"/>
              <w:szCs w:val="28"/>
            </w:rPr>
            <w:t xml:space="preserve">“ 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1D41DB23"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7D0432">
                  <w:rPr>
                    <w:noProof/>
                    <w:webHidden/>
                  </w:rPr>
                  <w:t>2</w:t>
                </w:r>
                <w:r w:rsidR="0045054E">
                  <w:rPr>
                    <w:noProof/>
                    <w:webHidden/>
                  </w:rPr>
                  <w:fldChar w:fldCharType="end"/>
                </w:r>
              </w:hyperlink>
            </w:p>
            <w:p w14:paraId="2ED4DCA6" w14:textId="3A563271"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7D0432">
                  <w:rPr>
                    <w:noProof/>
                    <w:webHidden/>
                  </w:rPr>
                  <w:t>2</w:t>
                </w:r>
                <w:r>
                  <w:rPr>
                    <w:noProof/>
                    <w:webHidden/>
                  </w:rPr>
                  <w:fldChar w:fldCharType="end"/>
                </w:r>
              </w:hyperlink>
            </w:p>
            <w:p w14:paraId="3721930A" w14:textId="3F17A6FE"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7D0432">
                  <w:rPr>
                    <w:noProof/>
                    <w:webHidden/>
                  </w:rPr>
                  <w:t>3</w:t>
                </w:r>
                <w:r>
                  <w:rPr>
                    <w:noProof/>
                    <w:webHidden/>
                  </w:rPr>
                  <w:fldChar w:fldCharType="end"/>
                </w:r>
              </w:hyperlink>
            </w:p>
            <w:p w14:paraId="1E12AC18" w14:textId="7703F756"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7D0432">
                  <w:rPr>
                    <w:noProof/>
                    <w:webHidden/>
                  </w:rPr>
                  <w:t>3</w:t>
                </w:r>
                <w:r>
                  <w:rPr>
                    <w:noProof/>
                    <w:webHidden/>
                  </w:rPr>
                  <w:fldChar w:fldCharType="end"/>
                </w:r>
              </w:hyperlink>
            </w:p>
            <w:p w14:paraId="4D60D6CE" w14:textId="0F498852"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7D0432">
                  <w:rPr>
                    <w:noProof/>
                    <w:webHidden/>
                  </w:rPr>
                  <w:t>3</w:t>
                </w:r>
                <w:r>
                  <w:rPr>
                    <w:noProof/>
                    <w:webHidden/>
                  </w:rPr>
                  <w:fldChar w:fldCharType="end"/>
                </w:r>
              </w:hyperlink>
            </w:p>
            <w:p w14:paraId="171D7E9F" w14:textId="1F5131A3"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7D0432">
                  <w:rPr>
                    <w:noProof/>
                    <w:webHidden/>
                  </w:rPr>
                  <w:t>3</w:t>
                </w:r>
                <w:r>
                  <w:rPr>
                    <w:noProof/>
                    <w:webHidden/>
                  </w:rPr>
                  <w:fldChar w:fldCharType="end"/>
                </w:r>
              </w:hyperlink>
            </w:p>
            <w:p w14:paraId="618F4ECF" w14:textId="02E2A758"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7D0432">
                  <w:rPr>
                    <w:noProof/>
                    <w:webHidden/>
                  </w:rPr>
                  <w:t>4</w:t>
                </w:r>
                <w:r>
                  <w:rPr>
                    <w:noProof/>
                    <w:webHidden/>
                  </w:rPr>
                  <w:fldChar w:fldCharType="end"/>
                </w:r>
              </w:hyperlink>
            </w:p>
            <w:p w14:paraId="51CF4C1E" w14:textId="1F5DE13C"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7D0432">
                  <w:rPr>
                    <w:noProof/>
                    <w:webHidden/>
                  </w:rPr>
                  <w:t>4</w:t>
                </w:r>
                <w:r>
                  <w:rPr>
                    <w:noProof/>
                    <w:webHidden/>
                  </w:rPr>
                  <w:fldChar w:fldCharType="end"/>
                </w:r>
              </w:hyperlink>
            </w:p>
            <w:p w14:paraId="18A7EA7A" w14:textId="01D42795"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7D0432">
                  <w:rPr>
                    <w:noProof/>
                    <w:webHidden/>
                  </w:rPr>
                  <w:t>4</w:t>
                </w:r>
                <w:r>
                  <w:rPr>
                    <w:noProof/>
                    <w:webHidden/>
                  </w:rPr>
                  <w:fldChar w:fldCharType="end"/>
                </w:r>
              </w:hyperlink>
            </w:p>
            <w:p w14:paraId="7CDAFA0C" w14:textId="5730EEF3"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7D0432">
                  <w:rPr>
                    <w:noProof/>
                    <w:webHidden/>
                  </w:rPr>
                  <w:t>4</w:t>
                </w:r>
                <w:r>
                  <w:rPr>
                    <w:noProof/>
                    <w:webHidden/>
                  </w:rPr>
                  <w:fldChar w:fldCharType="end"/>
                </w:r>
              </w:hyperlink>
            </w:p>
            <w:p w14:paraId="77B7933F" w14:textId="5AF29264"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7D0432">
                  <w:rPr>
                    <w:noProof/>
                    <w:webHidden/>
                  </w:rPr>
                  <w:t>5</w:t>
                </w:r>
                <w:r>
                  <w:rPr>
                    <w:noProof/>
                    <w:webHidden/>
                  </w:rPr>
                  <w:fldChar w:fldCharType="end"/>
                </w:r>
              </w:hyperlink>
            </w:p>
            <w:p w14:paraId="5898BF83" w14:textId="0DC98167"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7D0432">
                  <w:rPr>
                    <w:noProof/>
                    <w:webHidden/>
                  </w:rPr>
                  <w:t>6</w:t>
                </w:r>
                <w:r>
                  <w:rPr>
                    <w:noProof/>
                    <w:webHidden/>
                  </w:rPr>
                  <w:fldChar w:fldCharType="end"/>
                </w:r>
              </w:hyperlink>
            </w:p>
            <w:p w14:paraId="76F7E685" w14:textId="5126E269"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7D0432">
                  <w:rPr>
                    <w:noProof/>
                    <w:webHidden/>
                  </w:rPr>
                  <w:t>9</w:t>
                </w:r>
                <w:r>
                  <w:rPr>
                    <w:noProof/>
                    <w:webHidden/>
                  </w:rPr>
                  <w:fldChar w:fldCharType="end"/>
                </w:r>
              </w:hyperlink>
            </w:p>
            <w:p w14:paraId="1F5365AB" w14:textId="6CD16D91"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7D0432">
                  <w:rPr>
                    <w:noProof/>
                    <w:webHidden/>
                  </w:rPr>
                  <w:t>10</w:t>
                </w:r>
                <w:r>
                  <w:rPr>
                    <w:noProof/>
                    <w:webHidden/>
                  </w:rPr>
                  <w:fldChar w:fldCharType="end"/>
                </w:r>
              </w:hyperlink>
            </w:p>
            <w:p w14:paraId="5D701395" w14:textId="42287F62"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7D0432">
                  <w:rPr>
                    <w:noProof/>
                    <w:webHidden/>
                  </w:rPr>
                  <w:t>11</w:t>
                </w:r>
                <w:r>
                  <w:rPr>
                    <w:noProof/>
                    <w:webHidden/>
                  </w:rPr>
                  <w:fldChar w:fldCharType="end"/>
                </w:r>
              </w:hyperlink>
            </w:p>
            <w:p w14:paraId="2FAC1964" w14:textId="390D6AC0"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7D0432">
                  <w:rPr>
                    <w:noProof/>
                    <w:webHidden/>
                  </w:rPr>
                  <w:t>13</w:t>
                </w:r>
                <w:r>
                  <w:rPr>
                    <w:noProof/>
                    <w:webHidden/>
                  </w:rPr>
                  <w:fldChar w:fldCharType="end"/>
                </w:r>
              </w:hyperlink>
            </w:p>
            <w:p w14:paraId="7856D822" w14:textId="62444737"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7D0432">
                  <w:rPr>
                    <w:noProof/>
                    <w:webHidden/>
                  </w:rPr>
                  <w:t>14</w:t>
                </w:r>
                <w:r>
                  <w:rPr>
                    <w:noProof/>
                    <w:webHidden/>
                  </w:rPr>
                  <w:fldChar w:fldCharType="end"/>
                </w:r>
              </w:hyperlink>
            </w:p>
            <w:p w14:paraId="36AE8325" w14:textId="2459C494"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7D0432">
                  <w:rPr>
                    <w:noProof/>
                    <w:webHidden/>
                  </w:rPr>
                  <w:t>15</w:t>
                </w:r>
                <w:r>
                  <w:rPr>
                    <w:noProof/>
                    <w:webHidden/>
                  </w:rPr>
                  <w:fldChar w:fldCharType="end"/>
                </w:r>
              </w:hyperlink>
            </w:p>
            <w:p w14:paraId="5FE9E068" w14:textId="53156A29" w:rsidR="0045054E" w:rsidRDefault="0045054E">
              <w:pPr>
                <w:pStyle w:val="TOC2"/>
                <w:rPr>
                  <w:noProof/>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7D0432">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4B3E81B2" w:rsidR="00E443AB"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w:t>
      </w:r>
      <w:r w:rsidR="0015462B">
        <w:rPr>
          <w:rFonts w:cstheme="minorHAnsi"/>
        </w:rPr>
        <w:t xml:space="preserve"> </w:t>
      </w:r>
      <w:r w:rsidR="00E443AB" w:rsidRPr="00E443AB">
        <w:rPr>
          <w:rFonts w:cstheme="minorHAnsi"/>
        </w:rPr>
        <w:t>VšĮ Kėdainių pirminės sveikatos priežiūros centras, juridinio asmens kodas 191045757, adresas Budrio g. 5, 57164 Kėdainiai, administracijos darbo laikas: pirmadienį–ketvirtadienį 7.00–15.45, penktadienį 7.00–14.30. Perkančioji organizacija nėra PVM mokėtoja.</w:t>
      </w:r>
    </w:p>
    <w:p w14:paraId="0089E86A" w14:textId="1DE7AD9A"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01658188" w14:textId="66B12142" w:rsidR="007A11FF" w:rsidRPr="007A11FF" w:rsidRDefault="003A502A" w:rsidP="007A11FF">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B27F71">
        <w:rPr>
          <w:rFonts w:cstheme="minorHAnsi"/>
        </w:rPr>
        <w:t>4</w:t>
      </w:r>
      <w:r w:rsidR="00F85BC0" w:rsidRPr="00255883">
        <w:rPr>
          <w:rFonts w:cstheme="minorHAnsi"/>
        </w:rPr>
        <w:t xml:space="preserve"> pa</w:t>
      </w:r>
      <w:r w:rsidRPr="00255883">
        <w:rPr>
          <w:rFonts w:cstheme="minorHAnsi"/>
        </w:rPr>
        <w:t>punk</w:t>
      </w:r>
      <w:r w:rsidR="00F85BC0" w:rsidRPr="00255883">
        <w:rPr>
          <w:rFonts w:cstheme="minorHAnsi"/>
        </w:rPr>
        <w:t>čiu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punkte.</w:t>
      </w:r>
    </w:p>
    <w:p w14:paraId="72817D83" w14:textId="6655B74A" w:rsidR="007A11FF" w:rsidRPr="00393EA7" w:rsidRDefault="007A11FF" w:rsidP="007A11FF">
      <w:pPr>
        <w:pStyle w:val="ListParagraph"/>
        <w:numPr>
          <w:ilvl w:val="1"/>
          <w:numId w:val="7"/>
        </w:numPr>
        <w:spacing w:after="0" w:line="240" w:lineRule="auto"/>
        <w:ind w:left="0" w:firstLine="567"/>
        <w:jc w:val="both"/>
        <w:rPr>
          <w:rFonts w:eastAsia="Arial"/>
          <w:color w:val="000000" w:themeColor="text1"/>
        </w:rPr>
      </w:pPr>
      <w:r w:rsidRPr="00393EA7">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393EA7">
          <w:rPr>
            <w:rStyle w:val="Hyperlink"/>
            <w:rFonts w:eastAsia="Times New Roman"/>
            <w:color w:val="000000" w:themeColor="text1"/>
          </w:rPr>
          <w:t>www.kedainiai.lt</w:t>
        </w:r>
      </w:hyperlink>
      <w:r w:rsidRPr="00393EA7">
        <w:rPr>
          <w:rFonts w:eastAsia="Times New Roman"/>
          <w:color w:val="000000" w:themeColor="text1"/>
        </w:rPr>
        <w:t xml:space="preserve">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7516E65"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B06153" w:rsidRPr="00B06153">
        <w:rPr>
          <w:rFonts w:eastAsia="Calibri"/>
        </w:rPr>
        <w:t>automobil</w:t>
      </w:r>
      <w:r w:rsidR="00B06153">
        <w:rPr>
          <w:rFonts w:eastAsia="Calibri"/>
        </w:rPr>
        <w:t>į</w:t>
      </w:r>
      <w:r w:rsidR="00B06153" w:rsidRPr="00B06153">
        <w:rPr>
          <w:rFonts w:eastAsia="Calibri"/>
        </w:rPr>
        <w:t>, pritaikyt</w:t>
      </w:r>
      <w:r w:rsidR="00B06153">
        <w:rPr>
          <w:rFonts w:eastAsia="Calibri"/>
        </w:rPr>
        <w:t>ą</w:t>
      </w:r>
      <w:r w:rsidR="00B06153" w:rsidRPr="00B06153">
        <w:rPr>
          <w:rFonts w:eastAsia="Calibri"/>
        </w:rPr>
        <w:t xml:space="preserve"> mobilioms </w:t>
      </w:r>
      <w:r w:rsidR="00286014">
        <w:rPr>
          <w:rFonts w:eastAsia="Calibri"/>
        </w:rPr>
        <w:t>ambulatorinėms</w:t>
      </w:r>
      <w:r w:rsidR="00B06153" w:rsidRPr="00B06153">
        <w:rPr>
          <w:rFonts w:eastAsia="Calibri"/>
        </w:rPr>
        <w:t xml:space="preserve"> paslaugoms teikti</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2168C49B"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B4B41EE" w:rsidR="00004521" w:rsidRPr="000157DF" w:rsidRDefault="00004521" w:rsidP="00FA3F98">
      <w:pPr>
        <w:pStyle w:val="ListParagraph"/>
        <w:spacing w:after="0" w:line="240" w:lineRule="auto"/>
        <w:ind w:left="0" w:firstLine="709"/>
        <w:jc w:val="both"/>
        <w:rPr>
          <w:rFonts w:cstheme="minorHAnsi"/>
          <w:sz w:val="24"/>
          <w:szCs w:val="24"/>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023F599E" w14:textId="66F143B3" w:rsidR="00E07B83" w:rsidRPr="000157DF" w:rsidRDefault="00E07B83" w:rsidP="00E07B83">
      <w:pPr>
        <w:pStyle w:val="NoSpacing"/>
        <w:spacing w:after="120"/>
        <w:ind w:firstLine="709"/>
        <w:contextualSpacing/>
        <w:jc w:val="both"/>
        <w:rPr>
          <w:rFonts w:cstheme="minorHAnsi"/>
          <w:b/>
          <w:bCs/>
        </w:rPr>
      </w:pPr>
      <w:bookmarkStart w:id="7" w:name="_Toc201909994"/>
      <w:r w:rsidRPr="000157DF">
        <w:rPr>
          <w:rFonts w:cstheme="minorHAnsi"/>
          <w:b/>
          <w:bCs/>
        </w:rPr>
        <w:t xml:space="preserve">2.5. Maksimali perkančiajai organizacijai priimtina pasiūlymo kaina –  </w:t>
      </w:r>
      <w:r w:rsidR="00176FFA" w:rsidRPr="000157DF">
        <w:rPr>
          <w:rFonts w:cstheme="minorHAnsi"/>
          <w:b/>
          <w:bCs/>
        </w:rPr>
        <w:t>171 818,18 €</w:t>
      </w:r>
      <w:r w:rsidRPr="000157DF">
        <w:rPr>
          <w:rFonts w:cstheme="minorHAnsi"/>
          <w:b/>
          <w:bCs/>
        </w:rPr>
        <w:t xml:space="preserve"> (</w:t>
      </w:r>
      <w:r w:rsidR="00176FFA" w:rsidRPr="000157DF">
        <w:rPr>
          <w:rFonts w:cstheme="minorHAnsi"/>
          <w:b/>
          <w:bCs/>
        </w:rPr>
        <w:t>vienas šimtas septyniasdešimt</w:t>
      </w:r>
      <w:r w:rsidRPr="000157DF">
        <w:rPr>
          <w:rFonts w:cstheme="minorHAnsi"/>
          <w:b/>
          <w:bCs/>
        </w:rPr>
        <w:t xml:space="preserve"> </w:t>
      </w:r>
      <w:r w:rsidR="00176FFA" w:rsidRPr="000157DF">
        <w:rPr>
          <w:rFonts w:cstheme="minorHAnsi"/>
          <w:b/>
          <w:bCs/>
        </w:rPr>
        <w:t xml:space="preserve">vienas tūkstantis aštuoni šimtai aštuoniolika </w:t>
      </w:r>
      <w:r w:rsidRPr="000157DF">
        <w:rPr>
          <w:rFonts w:cstheme="minorHAnsi"/>
          <w:b/>
          <w:bCs/>
        </w:rPr>
        <w:t xml:space="preserve">Eur, </w:t>
      </w:r>
      <w:r w:rsidR="00176FFA" w:rsidRPr="000157DF">
        <w:rPr>
          <w:rFonts w:cstheme="minorHAnsi"/>
          <w:b/>
          <w:bCs/>
        </w:rPr>
        <w:t>18</w:t>
      </w:r>
      <w:r w:rsidRPr="000157DF">
        <w:rPr>
          <w:rFonts w:cstheme="minorHAnsi"/>
          <w:b/>
          <w:bCs/>
        </w:rPr>
        <w:t xml:space="preserve"> ct) be PVM;</w:t>
      </w:r>
    </w:p>
    <w:p w14:paraId="535DBFD7" w14:textId="77777777" w:rsidR="00E07B83" w:rsidRPr="000157DF" w:rsidRDefault="00E07B83" w:rsidP="00E07B83">
      <w:pPr>
        <w:pStyle w:val="NoSpacing"/>
        <w:ind w:firstLine="709"/>
        <w:contextualSpacing/>
        <w:rPr>
          <w:rFonts w:cstheme="minorHAnsi"/>
          <w:b/>
          <w:bCs/>
        </w:rPr>
      </w:pPr>
      <w:r w:rsidRPr="000157DF">
        <w:rPr>
          <w:rFonts w:cstheme="minorHAnsi"/>
          <w:b/>
          <w:bCs/>
        </w:rPr>
        <w:t>Pasiūlyta kaina viršijanti nurodytą sumą bus laikoma per didele kaina ir toks pasiūlymas, vadovaujantis bendrųjų pirkimo sąlygų 18.1.8 papunkčiu, bus atmetamas.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F467CE0" w:rsidR="00C723A5" w:rsidRPr="007A11FF" w:rsidRDefault="00970624" w:rsidP="00970624">
      <w:pPr>
        <w:pStyle w:val="ListParagraph"/>
        <w:tabs>
          <w:tab w:val="left" w:pos="851"/>
        </w:tabs>
        <w:spacing w:after="0" w:line="20" w:lineRule="atLeast"/>
        <w:ind w:left="0" w:firstLine="567"/>
        <w:jc w:val="both"/>
        <w:rPr>
          <w:strike/>
          <w:color w:val="EE0000"/>
        </w:rPr>
      </w:pPr>
      <w:r w:rsidRPr="007A11FF">
        <w:t>4.2.</w:t>
      </w:r>
      <w:r w:rsidR="00C723A5" w:rsidRPr="007A11FF">
        <w:t xml:space="preserve"> Tiekėjams</w:t>
      </w:r>
      <w:r w:rsidR="007A11FF">
        <w:t xml:space="preserve"> kvalifikacijos reikalavimai nenustatomi.</w:t>
      </w:r>
      <w:r w:rsidR="00C723A5" w:rsidRPr="007A11FF">
        <w:t xml:space="preserve"> </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0105C7E3" w14:textId="250F1450" w:rsidR="00FB2390" w:rsidRPr="000157DF" w:rsidRDefault="00FB2390" w:rsidP="00FB2390">
      <w:pPr>
        <w:tabs>
          <w:tab w:val="left" w:pos="1276"/>
        </w:tabs>
        <w:spacing w:after="0" w:line="240" w:lineRule="auto"/>
        <w:ind w:firstLine="709"/>
        <w:jc w:val="both"/>
        <w:rPr>
          <w:rFonts w:cstheme="minorHAnsi"/>
          <w:sz w:val="22"/>
          <w:szCs w:val="22"/>
        </w:rPr>
      </w:pPr>
      <w:r w:rsidRPr="000157DF">
        <w:rPr>
          <w:rFonts w:cstheme="minorHAnsi"/>
          <w:sz w:val="22"/>
          <w:szCs w:val="22"/>
        </w:rPr>
        <w:t xml:space="preserve">6.1.9. </w:t>
      </w:r>
      <w:r w:rsidR="007A11FF" w:rsidRPr="000157DF">
        <w:rPr>
          <w:rFonts w:cstheme="minorHAnsi"/>
          <w:color w:val="000000" w:themeColor="text1"/>
          <w:sz w:val="22"/>
          <w:szCs w:val="22"/>
        </w:rPr>
        <w:t>d</w:t>
      </w:r>
      <w:r w:rsidRPr="000157DF">
        <w:rPr>
          <w:rFonts w:cstheme="minorHAnsi"/>
          <w:color w:val="000000" w:themeColor="text1"/>
          <w:sz w:val="22"/>
          <w:szCs w:val="22"/>
        </w:rPr>
        <w:t>ok</w:t>
      </w:r>
      <w:r w:rsidRPr="000157DF">
        <w:rPr>
          <w:rFonts w:cstheme="minorHAnsi"/>
          <w:sz w:val="22"/>
          <w:szCs w:val="22"/>
        </w:rPr>
        <w:t xml:space="preserve">umentai, nurodyti specialiųjų pirkimo sąlygų 6 priede „Pasiūlymo forma“ </w:t>
      </w:r>
      <w:r w:rsidR="00D10C65" w:rsidRPr="000157DF">
        <w:rPr>
          <w:rFonts w:cstheme="minorHAnsi"/>
          <w:sz w:val="22"/>
          <w:szCs w:val="22"/>
        </w:rPr>
        <w:t>5</w:t>
      </w:r>
      <w:r w:rsidRPr="000157DF">
        <w:rPr>
          <w:rFonts w:cstheme="minorHAnsi"/>
          <w:sz w:val="22"/>
          <w:szCs w:val="22"/>
        </w:rPr>
        <w:t xml:space="preserve"> lentelės pastaboje.</w:t>
      </w:r>
    </w:p>
    <w:p w14:paraId="55169E1D" w14:textId="564B8C15" w:rsidR="00D37459" w:rsidRPr="000157DF" w:rsidRDefault="00D37459" w:rsidP="00DF6A09">
      <w:pPr>
        <w:spacing w:after="0" w:line="240" w:lineRule="auto"/>
        <w:ind w:firstLine="709"/>
        <w:jc w:val="both"/>
        <w:rPr>
          <w:rFonts w:ascii="Calibri" w:hAnsi="Calibri" w:cs="Calibri"/>
          <w:sz w:val="22"/>
          <w:szCs w:val="22"/>
        </w:rPr>
      </w:pPr>
      <w:r w:rsidRPr="000157DF">
        <w:rPr>
          <w:rFonts w:ascii="Calibri" w:hAnsi="Calibri" w:cs="Calibri"/>
          <w:sz w:val="22"/>
          <w:szCs w:val="22"/>
        </w:rPr>
        <w:t>6.1.</w:t>
      </w:r>
      <w:r w:rsidR="00FB2390" w:rsidRPr="000157DF">
        <w:rPr>
          <w:rFonts w:ascii="Calibri" w:hAnsi="Calibri" w:cs="Calibri"/>
          <w:sz w:val="22"/>
          <w:szCs w:val="22"/>
        </w:rPr>
        <w:t>10</w:t>
      </w:r>
      <w:r w:rsidRPr="000157DF">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ListParagraph"/>
        <w:spacing w:after="0" w:line="240" w:lineRule="auto"/>
        <w:ind w:left="0" w:firstLine="567"/>
        <w:jc w:val="both"/>
        <w:rPr>
          <w:rFonts w:eastAsia="Calibri" w:cstheme="minorHAnsi"/>
          <w:bCs/>
          <w:iCs/>
        </w:rPr>
      </w:pPr>
      <w:r>
        <w:rPr>
          <w:rFonts w:eastAsia="Calibri" w:cstheme="minorHAnsi"/>
          <w:bCs/>
          <w:iCs/>
        </w:rPr>
        <w:lastRenderedPageBreak/>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ListParagraph"/>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65FF82B8"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6.1.1</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Heading2"/>
        <w:ind w:left="5103"/>
        <w:rPr>
          <w:rFonts w:cstheme="minorHAnsi"/>
          <w:b/>
          <w:bCs/>
          <w:smallCaps/>
          <w:sz w:val="22"/>
          <w:szCs w:val="22"/>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7"/>
      <w:bookmarkEnd w:id="58"/>
      <w:bookmarkEnd w:id="59"/>
      <w:bookmarkEnd w:id="60"/>
    </w:p>
    <w:p w14:paraId="72DB67DA" w14:textId="77777777" w:rsidR="00AD1437" w:rsidRDefault="00AD1437" w:rsidP="00BE1858">
      <w:pPr>
        <w:pStyle w:val="Subtitle"/>
        <w:jc w:val="center"/>
      </w:pPr>
    </w:p>
    <w:p w14:paraId="4F6E9F95" w14:textId="3A809B87"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8CFE" w14:textId="77777777" w:rsidR="002F02C9" w:rsidRDefault="002F02C9" w:rsidP="00D05666">
      <w:r>
        <w:separator/>
      </w:r>
    </w:p>
  </w:endnote>
  <w:endnote w:type="continuationSeparator" w:id="0">
    <w:p w14:paraId="199AF1D1" w14:textId="77777777" w:rsidR="002F02C9" w:rsidRDefault="002F02C9" w:rsidP="00D05666">
      <w:r>
        <w:continuationSeparator/>
      </w:r>
    </w:p>
  </w:endnote>
  <w:endnote w:type="continuationNotice" w:id="1">
    <w:p w14:paraId="51E7BA05" w14:textId="77777777" w:rsidR="002F02C9" w:rsidRDefault="002F0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B406" w14:textId="77777777" w:rsidR="002F02C9" w:rsidRDefault="002F02C9" w:rsidP="00D05666">
      <w:r>
        <w:separator/>
      </w:r>
    </w:p>
  </w:footnote>
  <w:footnote w:type="continuationSeparator" w:id="0">
    <w:p w14:paraId="40F59023" w14:textId="77777777" w:rsidR="002F02C9" w:rsidRDefault="002F02C9" w:rsidP="00D05666">
      <w:r>
        <w:continuationSeparator/>
      </w:r>
    </w:p>
  </w:footnote>
  <w:footnote w:type="continuationNotice" w:id="1">
    <w:p w14:paraId="593565DB" w14:textId="77777777" w:rsidR="002F02C9" w:rsidRDefault="002F0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3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2947</Words>
  <Characters>16800</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7</cp:revision>
  <dcterms:created xsi:type="dcterms:W3CDTF">2026-01-19T12:07:00Z</dcterms:created>
  <dcterms:modified xsi:type="dcterms:W3CDTF">2026-01-29T09:25:00Z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