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62173E" w:rsidRDefault="008D4800" w:rsidP="007C7568">
      <w:pPr>
        <w:jc w:val="center"/>
        <w:rPr>
          <w:rFonts w:asciiTheme="majorHAnsi" w:hAnsiTheme="majorHAnsi"/>
          <w:b/>
          <w:bCs/>
          <w:sz w:val="22"/>
          <w:szCs w:val="22"/>
          <w:lang w:val="lt-LT"/>
        </w:rPr>
      </w:pPr>
      <w:r w:rsidRPr="008D4800">
        <w:rPr>
          <w:rFonts w:asciiTheme="majorHAnsi" w:hAnsiTheme="majorHAnsi"/>
          <w:b/>
          <w:bCs/>
          <w:sz w:val="22"/>
          <w:szCs w:val="22"/>
          <w:lang w:val="lt-LT"/>
        </w:rPr>
        <w:t>INDIKATORIAI FORMALDEHIDO STERILIZATORIUI</w:t>
      </w:r>
    </w:p>
    <w:p w:rsidR="008D4800" w:rsidRPr="00D02107" w:rsidRDefault="008D4800"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C94064"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C94064"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C94064"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C94064"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C94064"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8D4800" w:rsidRPr="008D4800">
        <w:rPr>
          <w:rFonts w:asciiTheme="majorHAnsi" w:hAnsiTheme="majorHAnsi"/>
          <w:b/>
          <w:bCs/>
          <w:color w:val="548DD4" w:themeColor="text2" w:themeTint="99"/>
          <w:sz w:val="22"/>
          <w:szCs w:val="22"/>
        </w:rPr>
        <w:t>indikatori</w:t>
      </w:r>
      <w:r w:rsidR="008D4800">
        <w:rPr>
          <w:rFonts w:asciiTheme="majorHAnsi" w:hAnsiTheme="majorHAnsi"/>
          <w:b/>
          <w:bCs/>
          <w:color w:val="548DD4" w:themeColor="text2" w:themeTint="99"/>
          <w:sz w:val="22"/>
          <w:szCs w:val="22"/>
        </w:rPr>
        <w:t>us</w:t>
      </w:r>
      <w:r w:rsidR="008D4800" w:rsidRPr="008D4800">
        <w:rPr>
          <w:rFonts w:asciiTheme="majorHAnsi" w:hAnsiTheme="majorHAnsi"/>
          <w:b/>
          <w:bCs/>
          <w:color w:val="548DD4" w:themeColor="text2" w:themeTint="99"/>
          <w:sz w:val="22"/>
          <w:szCs w:val="22"/>
        </w:rPr>
        <w:t xml:space="preserve"> formaldehido sterilizatoriui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12582D">
        <w:rPr>
          <w:rFonts w:asciiTheme="majorHAnsi" w:hAnsiTheme="majorHAnsi" w:cs="Times New Roman"/>
        </w:rPr>
        <w:t xml:space="preserve"> </w:t>
      </w:r>
      <w:r w:rsidR="0012582D" w:rsidRPr="00D02107">
        <w:rPr>
          <w:rFonts w:asciiTheme="majorHAnsi" w:hAnsiTheme="majorHAnsi" w:cs="Times New Roman"/>
          <w:lang w:val="pt-PT"/>
        </w:rPr>
        <w:t xml:space="preserve">(toliau - </w:t>
      </w:r>
      <w:r w:rsidR="0012582D">
        <w:rPr>
          <w:rFonts w:asciiTheme="majorHAnsi" w:hAnsiTheme="majorHAnsi" w:cs="Times New Roman"/>
          <w:lang w:val="pt-PT"/>
        </w:rPr>
        <w:t>VPĮ</w:t>
      </w:r>
      <w:r w:rsidR="0012582D" w:rsidRPr="00D02107">
        <w:rPr>
          <w:rFonts w:asciiTheme="majorHAnsi" w:hAnsiTheme="majorHAnsi" w:cs="Times New Roman"/>
          <w:lang w:val="pt-PT"/>
        </w:rPr>
        <w:t>)</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 xml:space="preserve">šųjų pirkimų informacinės sistemos priemonėmis </w:t>
      </w:r>
      <w:bookmarkStart w:id="7" w:name="_Hlk214260766"/>
      <w:r w:rsidRPr="00D02107">
        <w:rPr>
          <w:rFonts w:asciiTheme="majorHAnsi" w:hAnsiTheme="majorHAnsi" w:cs="Times New Roman"/>
          <w:lang w:val="pt-PT"/>
        </w:rPr>
        <w:t xml:space="preserve">(toliau - CVP IS). </w:t>
      </w:r>
      <w:bookmarkEnd w:id="7"/>
      <w:r w:rsidRPr="00D02107">
        <w:rPr>
          <w:rFonts w:asciiTheme="majorHAnsi" w:hAnsiTheme="majorHAnsi" w:cs="Times New Roman"/>
          <w:lang w:val="pt-PT"/>
        </w:rPr>
        <w:t>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8" w:name="_Toc487805677"/>
      <w:bookmarkStart w:id="9" w:name="_Toc490665140"/>
      <w:r w:rsidRPr="00D02107">
        <w:rPr>
          <w:rFonts w:asciiTheme="majorHAnsi" w:hAnsiTheme="majorHAnsi"/>
          <w:b/>
          <w:sz w:val="22"/>
        </w:rPr>
        <w:t>PIRKIMO OBJEKTAS</w:t>
      </w:r>
      <w:bookmarkEnd w:id="8"/>
      <w:bookmarkEnd w:id="9"/>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706D59">
        <w:rPr>
          <w:rFonts w:asciiTheme="majorHAnsi" w:hAnsiTheme="majorHAnsi"/>
          <w:b/>
          <w:bCs/>
          <w:color w:val="548DD4" w:themeColor="text2" w:themeTint="99"/>
        </w:rPr>
        <w:t>In</w:t>
      </w:r>
      <w:r w:rsidR="008D4800" w:rsidRPr="008D4800">
        <w:rPr>
          <w:rFonts w:asciiTheme="majorHAnsi" w:hAnsiTheme="majorHAnsi"/>
          <w:b/>
          <w:bCs/>
          <w:color w:val="548DD4" w:themeColor="text2" w:themeTint="99"/>
        </w:rPr>
        <w:t>dikatoriai formaldehido sterilizatoriui</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10" w:name="_Toc60525484"/>
      <w:bookmarkStart w:id="11" w:name="_Toc47844930"/>
      <w:bookmarkStart w:id="12" w:name="_Toc227136939"/>
      <w:r w:rsidR="00496649" w:rsidRPr="005B70D7">
        <w:rPr>
          <w:rFonts w:asciiTheme="majorHAnsi" w:hAnsiTheme="majorHAnsi"/>
          <w:sz w:val="22"/>
          <w:szCs w:val="22"/>
          <w:lang w:val="lt-LT"/>
        </w:rPr>
        <w:t xml:space="preserve"> </w:t>
      </w:r>
    </w:p>
    <w:p w:rsidR="0012582D" w:rsidRPr="0012582D" w:rsidRDefault="00C8482E" w:rsidP="0012582D">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2582D">
        <w:rPr>
          <w:rFonts w:asciiTheme="majorHAnsi" w:hAnsiTheme="majorHAnsi"/>
        </w:rPr>
        <w:t xml:space="preserve">Šis </w:t>
      </w:r>
      <w:r w:rsidR="0012582D" w:rsidRPr="0012582D">
        <w:rPr>
          <w:rFonts w:asciiTheme="majorHAnsi" w:hAnsiTheme="majorHAnsi"/>
        </w:rPr>
        <w:t>pirkimas yra skirstomas į atskiras pirkimo dalis (</w:t>
      </w:r>
      <w:r w:rsidR="0012582D" w:rsidRPr="0012582D">
        <w:rPr>
          <w:rFonts w:asciiTheme="majorHAnsi" w:hAnsiTheme="majorHAnsi"/>
          <w:b/>
        </w:rPr>
        <w:t xml:space="preserve">viso </w:t>
      </w:r>
      <w:r w:rsidR="00706D59">
        <w:rPr>
          <w:rFonts w:asciiTheme="majorHAnsi" w:hAnsiTheme="majorHAnsi"/>
          <w:b/>
        </w:rPr>
        <w:t>4</w:t>
      </w:r>
      <w:r w:rsidR="0012582D" w:rsidRPr="0012582D">
        <w:rPr>
          <w:rFonts w:asciiTheme="majorHAnsi" w:hAnsiTheme="majorHAnsi"/>
          <w:b/>
        </w:rPr>
        <w:t xml:space="preserve"> pirkimo dal</w:t>
      </w:r>
      <w:r w:rsidR="008D4800">
        <w:rPr>
          <w:rFonts w:asciiTheme="majorHAnsi" w:hAnsiTheme="majorHAnsi"/>
          <w:b/>
        </w:rPr>
        <w:t>y</w:t>
      </w:r>
      <w:r w:rsidR="0012582D" w:rsidRPr="0012582D">
        <w:rPr>
          <w:rFonts w:asciiTheme="majorHAnsi" w:hAnsiTheme="majorHAnsi"/>
          <w:b/>
        </w:rPr>
        <w:t>s</w:t>
      </w:r>
      <w:r w:rsidR="0012582D" w:rsidRPr="0012582D">
        <w:rPr>
          <w:rFonts w:asciiTheme="majorHAnsi" w:hAnsiTheme="majorHAnsi"/>
        </w:rPr>
        <w:t>).</w:t>
      </w:r>
    </w:p>
    <w:p w:rsidR="0012582D" w:rsidRPr="00101D6C" w:rsidRDefault="0012582D" w:rsidP="0012582D">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12582D" w:rsidRDefault="0012582D" w:rsidP="0012582D">
      <w:pPr>
        <w:pStyle w:val="NoSpacing"/>
        <w:tabs>
          <w:tab w:val="left" w:pos="1560"/>
        </w:tabs>
        <w:ind w:firstLine="1134"/>
        <w:jc w:val="both"/>
        <w:rPr>
          <w:rFonts w:asciiTheme="majorHAnsi" w:hAnsiTheme="majorHAnsi"/>
          <w:sz w:val="22"/>
          <w:szCs w:val="22"/>
          <w:lang w:val="lt-LT"/>
        </w:rPr>
      </w:pPr>
      <w:r>
        <w:rPr>
          <w:rFonts w:asciiTheme="majorHAnsi" w:hAnsiTheme="majorHAnsi"/>
          <w:sz w:val="22"/>
          <w:szCs w:val="22"/>
          <w:lang w:val="lt-LT"/>
        </w:rPr>
        <w:t xml:space="preserve">2.4. </w:t>
      </w:r>
      <w:r w:rsidR="00DF624F" w:rsidRPr="0012582D">
        <w:rPr>
          <w:rFonts w:asciiTheme="majorHAnsi" w:hAnsiTheme="majorHAnsi"/>
          <w:sz w:val="22"/>
          <w:szCs w:val="22"/>
          <w:lang w:val="lt-LT"/>
        </w:rPr>
        <w:t xml:space="preserve">Prekių pristatymo vieta yra Lietuvos sveikatos mokslų universiteto ligoninė Kauno klinikos, adresas Eivenių g. 2, LT-50161 Kaunas. </w:t>
      </w:r>
    </w:p>
    <w:p w:rsidR="00BE5253" w:rsidRPr="005B70D7" w:rsidRDefault="00BE5253" w:rsidP="0012582D">
      <w:pPr>
        <w:pStyle w:val="NoSpacing"/>
        <w:tabs>
          <w:tab w:val="left" w:pos="1560"/>
        </w:tabs>
        <w:ind w:firstLine="1134"/>
        <w:jc w:val="both"/>
        <w:rPr>
          <w:rFonts w:asciiTheme="majorHAnsi" w:hAnsiTheme="majorHAnsi"/>
          <w:sz w:val="22"/>
          <w:szCs w:val="22"/>
          <w:lang w:val="lt-LT"/>
        </w:rPr>
      </w:pPr>
      <w:r w:rsidRPr="0012582D">
        <w:rPr>
          <w:rFonts w:asciiTheme="majorHAnsi" w:hAnsiTheme="majorHAnsi"/>
          <w:sz w:val="22"/>
          <w:szCs w:val="22"/>
          <w:lang w:val="lt-LT"/>
        </w:rPr>
        <w:t>2.</w:t>
      </w:r>
      <w:r w:rsidR="0012582D">
        <w:rPr>
          <w:rFonts w:asciiTheme="majorHAnsi" w:hAnsiTheme="majorHAnsi"/>
          <w:sz w:val="22"/>
          <w:szCs w:val="22"/>
          <w:lang w:val="lt-LT"/>
        </w:rPr>
        <w:t>5</w:t>
      </w:r>
      <w:r w:rsidRPr="0012582D">
        <w:rPr>
          <w:rFonts w:asciiTheme="majorHAnsi" w:hAnsiTheme="majorHAnsi"/>
          <w:sz w:val="22"/>
          <w:szCs w:val="22"/>
          <w:lang w:val="lt-LT"/>
        </w:rPr>
        <w:t>.</w:t>
      </w:r>
      <w:r w:rsidRPr="0012582D">
        <w:rPr>
          <w:rFonts w:asciiTheme="majorHAnsi" w:hAnsiTheme="majorHAnsi"/>
          <w:sz w:val="22"/>
          <w:szCs w:val="22"/>
          <w:lang w:val="lt-LT"/>
        </w:rPr>
        <w:tab/>
        <w:t xml:space="preserve">Perkančioji organizacija privalo nutraukti pradėtas pirkimo procedūras, jeigu buvo pažeisti </w:t>
      </w:r>
      <w:r w:rsidR="00420A48" w:rsidRPr="0012582D">
        <w:rPr>
          <w:rFonts w:asciiTheme="majorHAnsi" w:hAnsiTheme="majorHAnsi"/>
          <w:sz w:val="22"/>
          <w:szCs w:val="22"/>
          <w:lang w:val="lt-LT"/>
        </w:rPr>
        <w:t xml:space="preserve">Lietuvos Respublikos </w:t>
      </w:r>
      <w:r w:rsidR="003A2006" w:rsidRPr="0012582D">
        <w:rPr>
          <w:rFonts w:asciiTheme="majorHAnsi" w:hAnsiTheme="majorHAnsi"/>
          <w:sz w:val="22"/>
          <w:szCs w:val="22"/>
          <w:lang w:val="lt-LT"/>
        </w:rPr>
        <w:t>Viešųjų</w:t>
      </w:r>
      <w:r w:rsidR="003A2006" w:rsidRPr="005B70D7">
        <w:rPr>
          <w:rFonts w:asciiTheme="majorHAnsi" w:hAnsiTheme="majorHAnsi"/>
          <w:sz w:val="22"/>
          <w:szCs w:val="22"/>
          <w:lang w:val="lt-LT"/>
        </w:rPr>
        <w:t xml:space="preserve">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w:t>
      </w:r>
      <w:r w:rsidR="0012582D">
        <w:rPr>
          <w:rFonts w:asciiTheme="majorHAnsi" w:hAnsiTheme="majorHAnsi"/>
          <w:sz w:val="22"/>
          <w:szCs w:val="22"/>
          <w:lang w:val="lt-LT"/>
        </w:rPr>
        <w:t>6</w:t>
      </w:r>
      <w:r w:rsidRPr="005B70D7">
        <w:rPr>
          <w:rFonts w:asciiTheme="majorHAnsi" w:hAnsiTheme="majorHAnsi"/>
          <w:sz w:val="22"/>
          <w:szCs w:val="22"/>
          <w:lang w:val="lt-LT"/>
        </w:rPr>
        <w:t>.</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7</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8</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706D59" w:rsidRPr="00706D59">
        <w:rPr>
          <w:rFonts w:asciiTheme="majorHAnsi" w:hAnsiTheme="majorHAnsi"/>
          <w:b/>
          <w:sz w:val="22"/>
          <w:szCs w:val="22"/>
          <w:lang w:val="it-IT"/>
        </w:rPr>
        <w:t>6272318</w:t>
      </w:r>
      <w:r w:rsidRPr="005B70D7">
        <w:rPr>
          <w:rFonts w:asciiTheme="majorHAnsi" w:hAnsiTheme="majorHAnsi"/>
          <w:sz w:val="22"/>
          <w:szCs w:val="22"/>
          <w:lang w:val="it-IT"/>
        </w:rPr>
        <w:t>.</w:t>
      </w:r>
    </w:p>
    <w:p w:rsidR="0077405F" w:rsidRPr="005B70D7" w:rsidRDefault="0077405F"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9</w:t>
      </w:r>
      <w:r w:rsidRPr="005B70D7">
        <w:rPr>
          <w:rFonts w:asciiTheme="majorHAnsi" w:hAnsiTheme="majorHAnsi"/>
          <w:sz w:val="22"/>
          <w:szCs w:val="22"/>
          <w:lang w:val="it-IT"/>
        </w:rPr>
        <w:t>.</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12582D">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2.1</w:t>
      </w:r>
      <w:r w:rsidR="0012582D">
        <w:rPr>
          <w:rFonts w:asciiTheme="majorHAnsi" w:hAnsiTheme="majorHAnsi"/>
          <w:sz w:val="22"/>
          <w:szCs w:val="20"/>
          <w:lang w:val="it-IT"/>
        </w:rPr>
        <w:t>0</w:t>
      </w:r>
      <w:r w:rsidRPr="00A94E02">
        <w:rPr>
          <w:rFonts w:asciiTheme="majorHAnsi" w:hAnsiTheme="majorHAnsi"/>
          <w:sz w:val="22"/>
          <w:szCs w:val="20"/>
          <w:lang w:val="it-I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r w:rsidR="00706D59">
        <w:rPr>
          <w:rFonts w:asciiTheme="majorHAnsi" w:hAnsiTheme="majorHAnsi"/>
          <w:sz w:val="22"/>
          <w:szCs w:val="20"/>
          <w:lang w:val="it-IT"/>
        </w:rPr>
        <w:t xml:space="preserve"> </w:t>
      </w:r>
    </w:p>
    <w:p w:rsidR="00A94E02" w:rsidRPr="00A94E02" w:rsidRDefault="00A94E02" w:rsidP="0012582D">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it-IT"/>
        </w:rPr>
      </w:pPr>
      <w:r w:rsidRPr="00A94E02">
        <w:rPr>
          <w:rFonts w:asciiTheme="majorHAnsi" w:hAnsiTheme="majorHAnsi"/>
          <w:sz w:val="22"/>
          <w:szCs w:val="22"/>
          <w:lang w:val="it-IT"/>
        </w:rPr>
        <w:t>2.1</w:t>
      </w:r>
      <w:r w:rsidR="0012582D">
        <w:rPr>
          <w:rFonts w:asciiTheme="majorHAnsi" w:hAnsiTheme="majorHAnsi"/>
          <w:sz w:val="22"/>
          <w:szCs w:val="22"/>
          <w:lang w:val="it-IT"/>
        </w:rPr>
        <w:t>1</w:t>
      </w:r>
      <w:r w:rsidRPr="00A94E02">
        <w:rPr>
          <w:rFonts w:asciiTheme="majorHAnsi" w:hAnsiTheme="majorHAnsi"/>
          <w:sz w:val="22"/>
          <w:szCs w:val="22"/>
          <w:lang w:val="it-IT"/>
        </w:rPr>
        <w:t xml:space="preserve">.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12582D">
      <w:pPr>
        <w:tabs>
          <w:tab w:val="left" w:pos="851"/>
          <w:tab w:val="left" w:pos="993"/>
          <w:tab w:val="left" w:pos="1134"/>
          <w:tab w:val="left" w:pos="1276"/>
          <w:tab w:val="left" w:pos="1701"/>
          <w:tab w:val="left" w:pos="2127"/>
        </w:tabs>
        <w:ind w:firstLine="1134"/>
        <w:jc w:val="both"/>
        <w:rPr>
          <w:rFonts w:ascii="Cambria" w:hAnsi="Cambria"/>
          <w:sz w:val="22"/>
          <w:szCs w:val="22"/>
          <w:lang w:val="it-IT" w:eastAsia="ar-SA"/>
        </w:rPr>
      </w:pPr>
      <w:r w:rsidRPr="00A94E02">
        <w:rPr>
          <w:rFonts w:ascii="Cambria" w:hAnsi="Cambria"/>
          <w:sz w:val="22"/>
          <w:szCs w:val="22"/>
          <w:lang w:val="it-IT" w:eastAsia="ar-SA"/>
        </w:rPr>
        <w:lastRenderedPageBreak/>
        <w:t>2.1</w:t>
      </w:r>
      <w:r w:rsidR="0012582D">
        <w:rPr>
          <w:rFonts w:ascii="Cambria" w:hAnsi="Cambria"/>
          <w:sz w:val="22"/>
          <w:szCs w:val="22"/>
          <w:lang w:val="it-IT" w:eastAsia="ar-SA"/>
        </w:rPr>
        <w:t>2</w:t>
      </w:r>
      <w:r w:rsidRPr="00A94E02">
        <w:rPr>
          <w:rFonts w:ascii="Cambria" w:hAnsi="Cambria"/>
          <w:sz w:val="22"/>
          <w:szCs w:val="22"/>
          <w:lang w:val="it-IT" w:eastAsia="ar-SA"/>
        </w:rPr>
        <w:t>.</w:t>
      </w:r>
      <w:r w:rsidRPr="00A94E02">
        <w:rPr>
          <w:rFonts w:ascii="Cambria" w:hAnsi="Cambria"/>
          <w:sz w:val="22"/>
          <w:szCs w:val="22"/>
          <w:lang w:val="it-I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3" w:name="_Toc227136953"/>
      <w:bookmarkEnd w:id="10"/>
      <w:bookmarkEnd w:id="11"/>
      <w:bookmarkEnd w:id="12"/>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4"/>
    </w:p>
    <w:p w:rsidR="00F21F06" w:rsidRPr="00A94E02" w:rsidRDefault="00F21F06" w:rsidP="00F21F06">
      <w:pPr>
        <w:rPr>
          <w:rFonts w:asciiTheme="majorHAnsi" w:hAnsiTheme="majorHAnsi"/>
          <w:sz w:val="22"/>
          <w:szCs w:val="22"/>
          <w:lang w:val="it-IT"/>
        </w:rPr>
      </w:pP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12582D">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12582D">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12582D">
          <w:rPr>
            <w:rFonts w:asciiTheme="majorHAnsi" w:hAnsiTheme="majorHAnsi"/>
            <w:sz w:val="22"/>
            <w:szCs w:val="22"/>
            <w:u w:val="single"/>
            <w:lang w:val="it-IT" w:eastAsia="lt-LT"/>
          </w:rPr>
          <w:t>http://ebvpd.eviesiejipirkimai.lt/espd-web/ir</w:t>
        </w:r>
      </w:hyperlink>
      <w:r w:rsidRPr="0012582D">
        <w:rPr>
          <w:rFonts w:asciiTheme="majorHAnsi" w:hAnsiTheme="majorHAnsi"/>
          <w:sz w:val="22"/>
          <w:szCs w:val="22"/>
          <w:lang w:val="it-IT" w:eastAsia="lt-LT"/>
        </w:rPr>
        <w:t xml:space="preserve"> </w:t>
      </w:r>
      <w:r w:rsidRPr="0012582D">
        <w:rPr>
          <w:rFonts w:asciiTheme="majorHAnsi" w:hAnsiTheme="majorHAnsi"/>
          <w:color w:val="000000"/>
          <w:sz w:val="22"/>
          <w:szCs w:val="22"/>
          <w:lang w:val="it-IT" w:eastAsia="lt-LT"/>
        </w:rPr>
        <w:t>užpildžius bei atsisiuntus pateikiamas kartu su pasiūlymu.</w:t>
      </w: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3.2. </w:t>
      </w:r>
      <w:r w:rsidR="0077405F" w:rsidRPr="0012582D">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01D6C">
          <w:rPr>
            <w:rFonts w:asciiTheme="majorHAnsi" w:hAnsiTheme="majorHAnsi"/>
            <w:sz w:val="22"/>
            <w:szCs w:val="22"/>
            <w:u w:val="single"/>
            <w:lang w:val="it-IT" w:eastAsia="lt-LT"/>
          </w:rPr>
          <w:t>https://ec.europa.eu/tools/ecertis/</w:t>
        </w:r>
      </w:hyperlink>
      <w:r w:rsidRPr="00101D6C">
        <w:rPr>
          <w:rFonts w:asciiTheme="majorHAnsi" w:hAnsiTheme="majorHAnsi"/>
          <w:sz w:val="22"/>
          <w:szCs w:val="22"/>
          <w:lang w:val="it-IT" w:eastAsia="lt-LT"/>
        </w:rPr>
        <w:t>.</w:t>
      </w:r>
      <w:r w:rsidRPr="00101D6C">
        <w:rPr>
          <w:rFonts w:asciiTheme="majorHAnsi" w:hAnsiTheme="majorHAnsi"/>
          <w:color w:val="000000"/>
          <w:sz w:val="22"/>
          <w:szCs w:val="22"/>
          <w:lang w:val="it-IT" w:eastAsia="lt-LT"/>
        </w:rPr>
        <w:t xml:space="preserve"> </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3.7.1. priesaikos deklaracija;</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w:t>
            </w:r>
            <w:r w:rsidRPr="005B70D7">
              <w:rPr>
                <w:rFonts w:asciiTheme="majorHAnsi" w:hAnsiTheme="majorHAnsi"/>
                <w:bCs/>
                <w:color w:val="000000"/>
                <w:sz w:val="22"/>
                <w:szCs w:val="22"/>
                <w:lang w:val="it-IT" w:eastAsia="lt-LT"/>
              </w:rPr>
              <w:lastRenderedPageBreak/>
              <w:t xml:space="preserve">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B70D7">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F54A5C"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C94064"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C94064"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F54A5C"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5B70D7" w:rsidRDefault="007C7568" w:rsidP="007C7568">
      <w:pPr>
        <w:rPr>
          <w:rFonts w:asciiTheme="majorHAnsi" w:hAnsiTheme="majorHAnsi"/>
          <w:sz w:val="22"/>
          <w:szCs w:val="22"/>
          <w:lang w:val="lt-LT" w:eastAsia="lt-LT"/>
        </w:rPr>
      </w:pPr>
    </w:p>
    <w:bookmarkEnd w:id="18"/>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5B70D7" w:rsidRDefault="007C7568" w:rsidP="007C7568">
      <w:pPr>
        <w:rPr>
          <w:rFonts w:asciiTheme="majorHAnsi" w:hAnsiTheme="majorHAnsi"/>
          <w:sz w:val="22"/>
          <w:szCs w:val="22"/>
          <w:lang w:val="lt-LT" w:eastAsia="lt-LT"/>
        </w:rPr>
      </w:pPr>
    </w:p>
    <w:p w:rsidR="007C7568" w:rsidRPr="00101D6C"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B70D7">
        <w:rPr>
          <w:rFonts w:asciiTheme="majorHAnsi" w:hAnsiTheme="majorHAnsi" w:cs="Times New Roman"/>
          <w:lang w:val="lt-LT"/>
        </w:rPr>
        <w:tab/>
      </w:r>
      <w:r w:rsidRPr="00101D6C">
        <w:rPr>
          <w:rFonts w:asciiTheme="majorHAnsi" w:hAnsiTheme="majorHAnsi" w:cs="Times New Roman"/>
          <w:lang w:val="lt-LT"/>
        </w:rPr>
        <w:t>5.</w:t>
      </w:r>
      <w:r w:rsidR="0012582D" w:rsidRPr="00101D6C">
        <w:rPr>
          <w:rFonts w:asciiTheme="majorHAnsi" w:hAnsiTheme="majorHAnsi" w:cs="Times New Roman"/>
          <w:lang w:val="lt-LT"/>
        </w:rPr>
        <w:t>1</w:t>
      </w:r>
      <w:r w:rsidRPr="00101D6C">
        <w:rPr>
          <w:rFonts w:asciiTheme="majorHAnsi" w:hAnsiTheme="majorHAnsi" w:cs="Times New Roman"/>
          <w:lang w:val="lt-LT"/>
        </w:rPr>
        <w:t xml:space="preserve">. Tiekėjas negali pateikti alternatyvių </w:t>
      </w:r>
      <w:r w:rsidRPr="00D02107">
        <w:rPr>
          <w:rFonts w:asciiTheme="majorHAnsi" w:hAnsiTheme="majorHAnsi" w:cs="Times New Roman"/>
          <w:lang w:val="es-ES_tradnl"/>
        </w:rPr>
        <w:t>pasi</w:t>
      </w:r>
      <w:r w:rsidRPr="00101D6C">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101D6C">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101D6C">
        <w:rPr>
          <w:rFonts w:asciiTheme="majorHAnsi" w:hAnsiTheme="majorHAnsi" w:cs="Times New Roman"/>
          <w:lang w:val="lt-LT"/>
        </w:rPr>
        <w:t>ūlymas (alternatyvū</w:t>
      </w:r>
      <w:r w:rsidRPr="00D02107">
        <w:rPr>
          <w:rFonts w:asciiTheme="majorHAnsi" w:hAnsiTheme="majorHAnsi" w:cs="Times New Roman"/>
          <w:lang w:val="es-ES_tradnl"/>
        </w:rPr>
        <w:t>s pasi</w:t>
      </w:r>
      <w:r w:rsidRPr="00101D6C">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101D6C">
        <w:rPr>
          <w:rFonts w:asciiTheme="majorHAnsi" w:hAnsiTheme="majorHAnsi" w:cs="Times New Roman"/>
          <w:lang w:val="lt-LT"/>
        </w:rPr>
        <w:tab/>
        <w:t>5.</w:t>
      </w:r>
      <w:r w:rsidR="0012582D" w:rsidRPr="00101D6C">
        <w:rPr>
          <w:rFonts w:asciiTheme="majorHAnsi" w:hAnsiTheme="majorHAnsi" w:cs="Times New Roman"/>
          <w:lang w:val="lt-LT"/>
        </w:rPr>
        <w:t>2</w:t>
      </w:r>
      <w:r w:rsidRPr="00101D6C">
        <w:rPr>
          <w:rFonts w:asciiTheme="majorHAnsi" w:hAnsiTheme="majorHAnsi" w:cs="Times New Roman"/>
          <w:lang w:val="lt-LT"/>
        </w:rPr>
        <w:t xml:space="preserve">. </w:t>
      </w:r>
      <w:r w:rsidRPr="00D02107">
        <w:rPr>
          <w:rFonts w:asciiTheme="majorHAnsi" w:hAnsiTheme="majorHAnsi" w:cs="Times New Roman"/>
          <w:lang w:val="sv-SE"/>
        </w:rPr>
        <w:t>Perkan</w:t>
      </w:r>
      <w:r w:rsidRPr="00101D6C">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12582D">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706D59">
        <w:rPr>
          <w:rFonts w:asciiTheme="majorHAnsi" w:hAnsiTheme="majorHAnsi" w:cs="Times New Roman"/>
          <w:b/>
          <w:iCs/>
          <w:color w:val="548DD4" w:themeColor="text2" w:themeTint="99"/>
          <w:lang w:val="it-IT"/>
        </w:rPr>
        <w:t>6</w:t>
      </w:r>
      <w:r w:rsidR="00A267EC" w:rsidRPr="005B70D7">
        <w:rPr>
          <w:rFonts w:asciiTheme="majorHAnsi" w:hAnsiTheme="majorHAnsi" w:cs="Times New Roman"/>
          <w:b/>
          <w:iCs/>
          <w:color w:val="548DD4" w:themeColor="text2" w:themeTint="99"/>
          <w:lang w:val="it-IT"/>
        </w:rPr>
        <w:t xml:space="preserve"> m. </w:t>
      </w:r>
      <w:r w:rsidR="00706D59">
        <w:rPr>
          <w:rFonts w:asciiTheme="majorHAnsi" w:hAnsiTheme="majorHAnsi" w:cs="Times New Roman"/>
          <w:b/>
          <w:iCs/>
          <w:color w:val="548DD4" w:themeColor="text2" w:themeTint="99"/>
          <w:lang w:val="it-IT"/>
        </w:rPr>
        <w:t>vasario</w:t>
      </w:r>
      <w:r w:rsidR="00BB7F9F" w:rsidRPr="005B70D7">
        <w:rPr>
          <w:rFonts w:asciiTheme="majorHAnsi" w:hAnsiTheme="majorHAnsi" w:cs="Times New Roman"/>
          <w:b/>
          <w:iCs/>
          <w:color w:val="548DD4" w:themeColor="text2" w:themeTint="99"/>
          <w:lang w:val="it-IT"/>
        </w:rPr>
        <w:t xml:space="preserve"> </w:t>
      </w:r>
      <w:r w:rsidR="008D4800">
        <w:rPr>
          <w:rFonts w:asciiTheme="majorHAnsi" w:hAnsiTheme="majorHAnsi" w:cs="Times New Roman"/>
          <w:b/>
          <w:iCs/>
          <w:color w:val="548DD4" w:themeColor="text2" w:themeTint="99"/>
          <w:lang w:val="it-IT"/>
        </w:rPr>
        <w:t>9</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12582D">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12582D">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12582D">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12582D">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w:t>
      </w:r>
      <w:r w:rsidR="00706D59">
        <w:rPr>
          <w:rFonts w:asciiTheme="majorHAnsi" w:hAnsiTheme="majorHAnsi"/>
          <w:b/>
          <w:lang w:val="it-IT"/>
        </w:rPr>
        <w:t xml:space="preserve"> (VISO)</w:t>
      </w:r>
      <w:r w:rsidR="009F3455" w:rsidRPr="005B70D7">
        <w:rPr>
          <w:rFonts w:asciiTheme="majorHAnsi" w:hAnsiTheme="majorHAnsi"/>
          <w:b/>
          <w:lang w:val="it-IT"/>
        </w:rPr>
        <w:t xml:space="preserve">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w:t>
      </w:r>
      <w:r w:rsidR="0012582D">
        <w:rPr>
          <w:rFonts w:asciiTheme="majorHAnsi" w:hAnsiTheme="majorHAnsi" w:cs="Times New Roman"/>
          <w:color w:val="auto"/>
        </w:rPr>
        <w:t>10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w:t>
      </w:r>
      <w:r w:rsidR="0012582D">
        <w:rPr>
          <w:rFonts w:asciiTheme="majorHAnsi" w:hAnsiTheme="majorHAnsi" w:cs="Times New Roman"/>
          <w:b/>
          <w:iCs/>
          <w:lang w:val="lt-LT"/>
        </w:rPr>
        <w:t>10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12582D">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12582D">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w:t>
      </w:r>
      <w:r w:rsidR="0012582D">
        <w:rPr>
          <w:rFonts w:asciiTheme="majorHAnsi" w:hAnsiTheme="majorHAnsi" w:cs="Times New Roman"/>
          <w:color w:val="auto"/>
          <w:lang w:val="lt-LT"/>
        </w:rPr>
        <w:t>11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w:t>
      </w:r>
      <w:r w:rsidR="0012582D">
        <w:rPr>
          <w:rFonts w:asciiTheme="majorHAnsi" w:hAnsiTheme="majorHAnsi" w:cs="Times New Roman"/>
          <w:lang w:val="lt-LT"/>
        </w:rPr>
        <w:t>12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w:t>
      </w:r>
      <w:r w:rsidR="0012582D">
        <w:rPr>
          <w:rFonts w:asciiTheme="majorHAnsi" w:hAnsiTheme="majorHAnsi" w:cs="Times New Roman"/>
          <w:color w:val="auto"/>
          <w:highlight w:val="yellow"/>
          <w:lang w:val="lt-LT"/>
        </w:rPr>
        <w:t>13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w:t>
      </w:r>
      <w:r w:rsidR="0012582D">
        <w:rPr>
          <w:rFonts w:asciiTheme="majorHAnsi" w:eastAsia="Times New Roman" w:hAnsiTheme="majorHAnsi" w:cs="Times New Roman"/>
          <w:lang w:val="lt-LT"/>
        </w:rPr>
        <w:t>14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w:t>
      </w:r>
      <w:r w:rsidR="0012582D">
        <w:rPr>
          <w:rFonts w:asciiTheme="majorHAnsi" w:hAnsiTheme="majorHAnsi" w:cs="Times New Roman"/>
          <w:lang w:val="lt-LT"/>
        </w:rPr>
        <w:t>15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12582D">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6B601E">
        <w:rPr>
          <w:rFonts w:asciiTheme="majorHAnsi" w:hAnsiTheme="majorHAnsi"/>
          <w:b/>
          <w:iCs/>
          <w:color w:val="548DD4" w:themeColor="text2" w:themeTint="99"/>
          <w:sz w:val="22"/>
          <w:szCs w:val="22"/>
        </w:rPr>
        <w:t>6</w:t>
      </w:r>
      <w:r w:rsidR="00A267EC" w:rsidRPr="00D02107">
        <w:rPr>
          <w:rFonts w:asciiTheme="majorHAnsi" w:hAnsiTheme="majorHAnsi"/>
          <w:b/>
          <w:iCs/>
          <w:color w:val="548DD4" w:themeColor="text2" w:themeTint="99"/>
          <w:sz w:val="22"/>
          <w:szCs w:val="22"/>
        </w:rPr>
        <w:t xml:space="preserve"> m. </w:t>
      </w:r>
      <w:r w:rsidR="006B601E">
        <w:rPr>
          <w:rFonts w:asciiTheme="majorHAnsi" w:hAnsiTheme="majorHAnsi"/>
          <w:b/>
          <w:iCs/>
          <w:color w:val="548DD4" w:themeColor="text2" w:themeTint="99"/>
          <w:sz w:val="22"/>
          <w:szCs w:val="22"/>
        </w:rPr>
        <w:t>vasario</w:t>
      </w:r>
      <w:r w:rsidR="006C6C9B" w:rsidRPr="00D02107">
        <w:rPr>
          <w:rFonts w:asciiTheme="majorHAnsi" w:hAnsiTheme="majorHAnsi"/>
          <w:b/>
          <w:iCs/>
          <w:color w:val="548DD4" w:themeColor="text2" w:themeTint="99"/>
          <w:sz w:val="22"/>
          <w:szCs w:val="22"/>
        </w:rPr>
        <w:t xml:space="preserve"> </w:t>
      </w:r>
      <w:r w:rsidR="008D4800">
        <w:rPr>
          <w:rFonts w:asciiTheme="majorHAnsi" w:hAnsiTheme="majorHAnsi"/>
          <w:b/>
          <w:iCs/>
          <w:color w:val="548DD4" w:themeColor="text2" w:themeTint="99"/>
          <w:sz w:val="22"/>
          <w:szCs w:val="22"/>
        </w:rPr>
        <w:t>9</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6B601E">
        <w:rPr>
          <w:rFonts w:asciiTheme="majorHAnsi" w:hAnsiTheme="majorHAnsi"/>
          <w:b/>
          <w:iCs/>
          <w:color w:val="548DD4" w:themeColor="text2" w:themeTint="99"/>
          <w:sz w:val="22"/>
          <w:szCs w:val="22"/>
          <w:u w:val="single"/>
        </w:rPr>
        <w:t>6</w:t>
      </w:r>
      <w:r w:rsidR="00D56028" w:rsidRPr="00D02107">
        <w:rPr>
          <w:rFonts w:asciiTheme="majorHAnsi" w:hAnsiTheme="majorHAnsi"/>
          <w:b/>
          <w:iCs/>
          <w:color w:val="548DD4" w:themeColor="text2" w:themeTint="99"/>
          <w:sz w:val="22"/>
          <w:szCs w:val="22"/>
          <w:u w:val="single"/>
        </w:rPr>
        <w:t xml:space="preserve"> m. </w:t>
      </w:r>
      <w:r w:rsidR="006B601E">
        <w:rPr>
          <w:rFonts w:asciiTheme="majorHAnsi" w:hAnsiTheme="majorHAnsi"/>
          <w:b/>
          <w:iCs/>
          <w:color w:val="548DD4" w:themeColor="text2" w:themeTint="99"/>
          <w:sz w:val="22"/>
          <w:szCs w:val="22"/>
          <w:u w:val="single"/>
        </w:rPr>
        <w:t>vasario</w:t>
      </w:r>
      <w:r w:rsidR="003D29B2">
        <w:rPr>
          <w:rFonts w:asciiTheme="majorHAnsi" w:hAnsiTheme="majorHAnsi"/>
          <w:b/>
          <w:iCs/>
          <w:color w:val="548DD4" w:themeColor="text2" w:themeTint="99"/>
          <w:sz w:val="22"/>
          <w:szCs w:val="22"/>
          <w:u w:val="single"/>
        </w:rPr>
        <w:t xml:space="preserve"> </w:t>
      </w:r>
      <w:r w:rsidR="008D4800">
        <w:rPr>
          <w:rFonts w:asciiTheme="majorHAnsi" w:hAnsiTheme="majorHAnsi"/>
          <w:b/>
          <w:iCs/>
          <w:color w:val="548DD4" w:themeColor="text2" w:themeTint="99"/>
          <w:sz w:val="22"/>
          <w:szCs w:val="22"/>
          <w:u w:val="single"/>
        </w:rPr>
        <w:t>9</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5B70D7"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p w:rsidR="00F54A5C" w:rsidRDefault="00C94064" w:rsidP="00F54A5C">
      <w:pPr>
        <w:pStyle w:val="NormalWeb"/>
        <w:ind w:firstLine="1134"/>
        <w:rPr>
          <w:rFonts w:asciiTheme="majorHAnsi" w:eastAsia="Arial Unicode MS" w:hAnsiTheme="majorHAnsi"/>
          <w:b/>
          <w:color w:val="000000"/>
          <w:sz w:val="22"/>
          <w:szCs w:val="22"/>
          <w:bdr w:val="nil"/>
          <w:lang w:eastAsia="en-US"/>
        </w:rPr>
      </w:pPr>
      <w:r w:rsidRPr="007F668D">
        <w:rPr>
          <w:rFonts w:asciiTheme="majorHAnsi" w:hAnsiTheme="majorHAnsi"/>
          <w:b/>
          <w:color w:val="000000"/>
          <w:sz w:val="22"/>
          <w:szCs w:val="22"/>
        </w:rPr>
        <w:t xml:space="preserve">17.4. Tiekėjas, laimėjęs pirkimą, sutarties pasirašymo metu privalo užpildyti </w:t>
      </w:r>
      <w:r w:rsidR="007F668D" w:rsidRPr="007F668D">
        <w:rPr>
          <w:rFonts w:asciiTheme="majorHAnsi" w:hAnsiTheme="majorHAnsi"/>
          <w:b/>
          <w:color w:val="000000"/>
          <w:sz w:val="22"/>
          <w:szCs w:val="22"/>
        </w:rPr>
        <w:t xml:space="preserve">LSMUL </w:t>
      </w:r>
      <w:r w:rsidRPr="007F668D">
        <w:rPr>
          <w:rFonts w:asciiTheme="majorHAnsi" w:hAnsiTheme="majorHAnsi"/>
          <w:b/>
          <w:color w:val="000000"/>
          <w:sz w:val="22"/>
          <w:szCs w:val="22"/>
        </w:rPr>
        <w:t>K</w:t>
      </w:r>
      <w:r w:rsidR="007F668D" w:rsidRPr="007F668D">
        <w:rPr>
          <w:rFonts w:asciiTheme="majorHAnsi" w:hAnsiTheme="majorHAnsi"/>
          <w:b/>
          <w:color w:val="000000"/>
          <w:sz w:val="22"/>
          <w:szCs w:val="22"/>
        </w:rPr>
        <w:t>auno klinikų</w:t>
      </w:r>
      <w:r w:rsidRPr="007F668D">
        <w:rPr>
          <w:rFonts w:asciiTheme="majorHAnsi" w:hAnsiTheme="majorHAnsi"/>
          <w:b/>
          <w:color w:val="000000"/>
          <w:sz w:val="22"/>
          <w:szCs w:val="22"/>
        </w:rPr>
        <w:t xml:space="preserve"> pateiktą lentelę „Excel“ formatu, nurodydamas prekės brūkšninį kodą, katalogo (REF) kodą ir gamintoją.</w:t>
      </w:r>
      <w:bookmarkEnd w:id="13"/>
    </w:p>
    <w:p w:rsidR="00F54A5C" w:rsidRDefault="00F54A5C" w:rsidP="00F54A5C">
      <w:pPr>
        <w:pStyle w:val="NormalWeb"/>
        <w:ind w:firstLine="1134"/>
        <w:rPr>
          <w:rFonts w:asciiTheme="majorHAnsi" w:hAnsiTheme="majorHAnsi"/>
          <w:i/>
        </w:rPr>
      </w:pPr>
    </w:p>
    <w:p w:rsidR="007C7568" w:rsidRPr="00F54A5C" w:rsidRDefault="007C7568" w:rsidP="00F54A5C">
      <w:pPr>
        <w:pStyle w:val="NormalWeb"/>
        <w:ind w:firstLine="1134"/>
        <w:rPr>
          <w:rFonts w:asciiTheme="majorHAnsi" w:hAnsiTheme="majorHAnsi"/>
          <w:i/>
        </w:rPr>
      </w:pPr>
      <w:r w:rsidRPr="005B70D7">
        <w:rPr>
          <w:rFonts w:asciiTheme="majorHAnsi" w:hAnsiTheme="majorHAnsi"/>
          <w:i/>
        </w:rPr>
        <w:t xml:space="preserve">Pirkimo dokumentai parengti vadovaujantis Lietuvos Respublikos Viešųjų pirkimų įstatymu ir galioja tiek, kiek neprieštarauja įstatymui. </w:t>
      </w:r>
      <w:r w:rsidRPr="00F54A5C">
        <w:rPr>
          <w:rFonts w:asciiTheme="majorHAnsi" w:hAnsiTheme="majorHAnsi"/>
          <w:i/>
        </w:rPr>
        <w:t>Visais atvejais pirmenybė teikiama Viešųjų pirkimų įstatymo normoms.</w:t>
      </w:r>
    </w:p>
    <w:p w:rsidR="00F54A5C" w:rsidRDefault="007C7568"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r w:rsidRPr="00F54A5C">
        <w:rPr>
          <w:rFonts w:asciiTheme="majorHAnsi" w:hAnsiTheme="majorHAnsi"/>
          <w:i/>
          <w:sz w:val="22"/>
          <w:szCs w:val="22"/>
          <w:lang w:val="lt-LT"/>
        </w:rPr>
        <w:t>____________</w:t>
      </w:r>
    </w:p>
    <w:p w:rsidR="00F54A5C" w:rsidRDefault="00F54A5C"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bookmarkStart w:id="48" w:name="_GoBack"/>
      <w:bookmarkEnd w:id="48"/>
    </w:p>
    <w:p w:rsidR="00F54A5C" w:rsidRDefault="00F54A5C"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p>
    <w:p w:rsidR="007C7568" w:rsidRPr="00F54A5C" w:rsidRDefault="007C7568"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val="lt-LT" w:eastAsia="en-GB"/>
        </w:rPr>
      </w:pPr>
      <w:r w:rsidRPr="00F54A5C">
        <w:rPr>
          <w:rFonts w:asciiTheme="majorHAnsi" w:hAnsiTheme="majorHAnsi"/>
          <w:i/>
          <w:sz w:val="22"/>
          <w:szCs w:val="22"/>
          <w:lang w:val="lt-LT"/>
        </w:rPr>
        <w:br w:type="page"/>
      </w:r>
    </w:p>
    <w:tbl>
      <w:tblPr>
        <w:tblW w:w="2937" w:type="dxa"/>
        <w:tblInd w:w="6771" w:type="dxa"/>
        <w:tblLook w:val="01E0" w:firstRow="1" w:lastRow="1" w:firstColumn="1" w:lastColumn="1" w:noHBand="0" w:noVBand="0"/>
      </w:tblPr>
      <w:tblGrid>
        <w:gridCol w:w="2937"/>
      </w:tblGrid>
      <w:tr w:rsidR="007C7568" w:rsidRPr="00C94064"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706D59" w:rsidRDefault="008D4800" w:rsidP="00101D6C">
      <w:pPr>
        <w:jc w:val="center"/>
        <w:rPr>
          <w:rFonts w:asciiTheme="majorHAnsi" w:hAnsiTheme="majorHAnsi"/>
          <w:sz w:val="22"/>
          <w:szCs w:val="22"/>
        </w:rPr>
      </w:pPr>
      <w:r w:rsidRPr="00706D59">
        <w:rPr>
          <w:rFonts w:asciiTheme="majorHAnsi" w:hAnsiTheme="majorHAnsi"/>
          <w:b/>
          <w:bCs/>
          <w:sz w:val="22"/>
          <w:szCs w:val="22"/>
        </w:rPr>
        <w:t>DĖL INDIKATORIŲ FORMALDEHIDO STERILIZATORIUI PIRKIMO</w:t>
      </w:r>
    </w:p>
    <w:p w:rsidR="007C7568" w:rsidRPr="00706D59"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C94064"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1F032D">
              <w:rPr>
                <w:rFonts w:asciiTheme="majorHAnsi" w:hAnsiTheme="majorHAnsi"/>
                <w:b/>
                <w:bCs/>
                <w:color w:val="FF0000"/>
                <w:sz w:val="22"/>
                <w:szCs w:val="22"/>
              </w:rPr>
              <w:t>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C94064"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C94064"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C94064"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C94064"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C94064"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EAE" w:rsidRDefault="00BA2EAE" w:rsidP="000D1449">
      <w:r>
        <w:separator/>
      </w:r>
    </w:p>
  </w:endnote>
  <w:endnote w:type="continuationSeparator" w:id="0">
    <w:p w:rsidR="00BA2EAE" w:rsidRDefault="00BA2EA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EAE" w:rsidRDefault="00BA2EAE" w:rsidP="000D1449">
      <w:r>
        <w:separator/>
      </w:r>
    </w:p>
  </w:footnote>
  <w:footnote w:type="continuationSeparator" w:id="0">
    <w:p w:rsidR="00BA2EAE" w:rsidRDefault="00BA2EAE" w:rsidP="000D1449">
      <w:r>
        <w:continuationSeparator/>
      </w:r>
    </w:p>
  </w:footnote>
  <w:footnote w:id="1">
    <w:p w:rsidR="00F54A5C" w:rsidRPr="00BA5459" w:rsidRDefault="00F54A5C"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4A5C" w:rsidRPr="00BA5459" w:rsidRDefault="00F54A5C"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54A5C" w:rsidRPr="00BA5459" w:rsidRDefault="00F54A5C"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4A5C" w:rsidRDefault="00F54A5C" w:rsidP="00B377D7">
      <w:pPr>
        <w:pStyle w:val="FootnoteText"/>
      </w:pPr>
    </w:p>
  </w:footnote>
  <w:footnote w:id="2">
    <w:p w:rsidR="00F54A5C" w:rsidRPr="00344E3D" w:rsidRDefault="00F54A5C"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4A5C" w:rsidRPr="00344E3D" w:rsidRDefault="00F54A5C" w:rsidP="00B377D7">
      <w:pPr>
        <w:pStyle w:val="FootnoteText"/>
        <w:numPr>
          <w:ilvl w:val="0"/>
          <w:numId w:val="14"/>
        </w:numPr>
        <w:spacing w:after="0"/>
        <w:rPr>
          <w:i/>
          <w:iCs/>
          <w:sz w:val="18"/>
          <w:szCs w:val="18"/>
        </w:rPr>
      </w:pPr>
      <w:r w:rsidRPr="00344E3D">
        <w:rPr>
          <w:i/>
          <w:iCs/>
          <w:sz w:val="18"/>
          <w:szCs w:val="18"/>
        </w:rPr>
        <w:t xml:space="preserve">priesaikos deklaracija; </w:t>
      </w:r>
    </w:p>
    <w:p w:rsidR="00F54A5C" w:rsidRPr="00344E3D" w:rsidRDefault="00F54A5C"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4A5C" w:rsidRDefault="00F54A5C" w:rsidP="00B377D7">
      <w:pPr>
        <w:pStyle w:val="FootnoteText"/>
      </w:pPr>
    </w:p>
  </w:footnote>
  <w:footnote w:id="3">
    <w:p w:rsidR="00F54A5C" w:rsidRPr="00D76940" w:rsidRDefault="00F54A5C"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4A5C" w:rsidRPr="00D76940" w:rsidRDefault="00F54A5C" w:rsidP="00B377D7">
      <w:pPr>
        <w:pStyle w:val="FootnoteText"/>
        <w:numPr>
          <w:ilvl w:val="0"/>
          <w:numId w:val="15"/>
        </w:numPr>
        <w:spacing w:after="0"/>
        <w:rPr>
          <w:i/>
          <w:iCs/>
          <w:sz w:val="18"/>
          <w:szCs w:val="18"/>
        </w:rPr>
      </w:pPr>
      <w:r w:rsidRPr="00D76940">
        <w:rPr>
          <w:i/>
          <w:iCs/>
          <w:sz w:val="18"/>
          <w:szCs w:val="18"/>
        </w:rPr>
        <w:t xml:space="preserve">priesaikos deklaracija; </w:t>
      </w:r>
    </w:p>
    <w:p w:rsidR="00F54A5C" w:rsidRPr="00D76940" w:rsidRDefault="00F54A5C"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4A5C" w:rsidRDefault="00F54A5C"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1D6C"/>
    <w:rsid w:val="001020AE"/>
    <w:rsid w:val="00104128"/>
    <w:rsid w:val="00112278"/>
    <w:rsid w:val="00121D44"/>
    <w:rsid w:val="00122307"/>
    <w:rsid w:val="0012582D"/>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032D"/>
    <w:rsid w:val="001F1DE0"/>
    <w:rsid w:val="001F2E64"/>
    <w:rsid w:val="00215665"/>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13AF"/>
    <w:rsid w:val="00394A73"/>
    <w:rsid w:val="00397B62"/>
    <w:rsid w:val="003A2006"/>
    <w:rsid w:val="003C4DA8"/>
    <w:rsid w:val="003D29B2"/>
    <w:rsid w:val="003D3206"/>
    <w:rsid w:val="003E0FE1"/>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2F34"/>
    <w:rsid w:val="005A3CF5"/>
    <w:rsid w:val="005B70D7"/>
    <w:rsid w:val="005C2D13"/>
    <w:rsid w:val="005D1859"/>
    <w:rsid w:val="005D22F0"/>
    <w:rsid w:val="005D3BDB"/>
    <w:rsid w:val="005F45E0"/>
    <w:rsid w:val="005F5CDD"/>
    <w:rsid w:val="005F642D"/>
    <w:rsid w:val="00600AC5"/>
    <w:rsid w:val="00606D45"/>
    <w:rsid w:val="006209DB"/>
    <w:rsid w:val="0062173E"/>
    <w:rsid w:val="0063219E"/>
    <w:rsid w:val="00651218"/>
    <w:rsid w:val="006621DA"/>
    <w:rsid w:val="00662C1E"/>
    <w:rsid w:val="00670BCE"/>
    <w:rsid w:val="00677257"/>
    <w:rsid w:val="006777DD"/>
    <w:rsid w:val="006833F6"/>
    <w:rsid w:val="006848C7"/>
    <w:rsid w:val="006A27D9"/>
    <w:rsid w:val="006B601E"/>
    <w:rsid w:val="006C0643"/>
    <w:rsid w:val="006C224A"/>
    <w:rsid w:val="006C346A"/>
    <w:rsid w:val="006C4F65"/>
    <w:rsid w:val="006C6C9B"/>
    <w:rsid w:val="006E67DD"/>
    <w:rsid w:val="006F03FC"/>
    <w:rsid w:val="006F0EEC"/>
    <w:rsid w:val="006F307F"/>
    <w:rsid w:val="00704FE2"/>
    <w:rsid w:val="00706D59"/>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668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D4800"/>
    <w:rsid w:val="008F6181"/>
    <w:rsid w:val="00906428"/>
    <w:rsid w:val="00912CAB"/>
    <w:rsid w:val="00930158"/>
    <w:rsid w:val="00937DFB"/>
    <w:rsid w:val="0094019A"/>
    <w:rsid w:val="00950F0E"/>
    <w:rsid w:val="00954292"/>
    <w:rsid w:val="00954DF8"/>
    <w:rsid w:val="00974B98"/>
    <w:rsid w:val="009755C5"/>
    <w:rsid w:val="009835BD"/>
    <w:rsid w:val="00987CF8"/>
    <w:rsid w:val="00995ECF"/>
    <w:rsid w:val="009B6345"/>
    <w:rsid w:val="009C4B67"/>
    <w:rsid w:val="009D18C6"/>
    <w:rsid w:val="009E0AE9"/>
    <w:rsid w:val="009F3455"/>
    <w:rsid w:val="00A13BB1"/>
    <w:rsid w:val="00A267EC"/>
    <w:rsid w:val="00A31A90"/>
    <w:rsid w:val="00A359AF"/>
    <w:rsid w:val="00A44857"/>
    <w:rsid w:val="00A876D5"/>
    <w:rsid w:val="00A94E02"/>
    <w:rsid w:val="00AB1602"/>
    <w:rsid w:val="00AB2273"/>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2EAE"/>
    <w:rsid w:val="00BA41C8"/>
    <w:rsid w:val="00BA6620"/>
    <w:rsid w:val="00BB7F9F"/>
    <w:rsid w:val="00BC1EEB"/>
    <w:rsid w:val="00BD5B38"/>
    <w:rsid w:val="00BE5253"/>
    <w:rsid w:val="00BF15AC"/>
    <w:rsid w:val="00BF2612"/>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4064"/>
    <w:rsid w:val="00C97868"/>
    <w:rsid w:val="00CB54C8"/>
    <w:rsid w:val="00CB56A3"/>
    <w:rsid w:val="00CB58D4"/>
    <w:rsid w:val="00CC03D0"/>
    <w:rsid w:val="00CD1D50"/>
    <w:rsid w:val="00CE0027"/>
    <w:rsid w:val="00D02107"/>
    <w:rsid w:val="00D0294B"/>
    <w:rsid w:val="00D476A4"/>
    <w:rsid w:val="00D56028"/>
    <w:rsid w:val="00D6288C"/>
    <w:rsid w:val="00D766DB"/>
    <w:rsid w:val="00D77FFD"/>
    <w:rsid w:val="00D843E3"/>
    <w:rsid w:val="00D9038D"/>
    <w:rsid w:val="00DA29C9"/>
    <w:rsid w:val="00DA753B"/>
    <w:rsid w:val="00DA7CF8"/>
    <w:rsid w:val="00DD38A2"/>
    <w:rsid w:val="00DD67C7"/>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4A5C"/>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A76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68052D-4399-4A0B-A6BC-19E20DF6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41816</Words>
  <Characters>23836</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23</cp:revision>
  <cp:lastPrinted>2025-12-05T10:20:00Z</cp:lastPrinted>
  <dcterms:created xsi:type="dcterms:W3CDTF">2025-11-17T06:38:00Z</dcterms:created>
  <dcterms:modified xsi:type="dcterms:W3CDTF">2026-01-29T09:11:00Z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