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10" w:history="1">
        <w:r w:rsidRPr="002B6902">
          <w:rPr>
            <w:rStyle w:val="Hyperlink"/>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B64624"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1B7D4ACF" w:rsidR="00B757D3" w:rsidRPr="00B757D3" w:rsidRDefault="00B757D3" w:rsidP="00B757D3">
      <w:pPr>
        <w:jc w:val="center"/>
        <w:rPr>
          <w:b/>
          <w:bCs/>
          <w:caps/>
          <w:smallCaps/>
          <w:color w:val="000000"/>
          <w:lang w:val="lt-LT" w:eastAsia="en-US"/>
        </w:rPr>
      </w:pPr>
      <w:r w:rsidRPr="00B757D3">
        <w:rPr>
          <w:b/>
          <w:color w:val="000000"/>
          <w:lang w:val="lt-LT" w:eastAsia="en-US"/>
        </w:rPr>
        <w:t>„</w:t>
      </w:r>
      <w:r w:rsidR="00B64624">
        <w:rPr>
          <w:b/>
          <w:caps/>
          <w:color w:val="000000"/>
          <w:lang w:val="lt-LT" w:eastAsia="en-US"/>
        </w:rPr>
        <w:t>BALDAI (LABORATORIJOS BALDAI, MOBILI SPINTELĖ, KĖDĖS PACIENTAMS</w:t>
      </w:r>
      <w:r w:rsidR="00CB4980">
        <w:rPr>
          <w:b/>
          <w:caps/>
          <w:color w:val="000000"/>
          <w:lang w:val="lt-LT" w:eastAsia="en-US"/>
        </w:rPr>
        <w:t>)</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2974BC02"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4980">
        <w:rPr>
          <w:bCs/>
          <w:lang w:val="lt-LT"/>
        </w:rPr>
        <w:t>baldams</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6F2AB63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pagamintos, pristatytos ir sumontuotos</w:t>
      </w:r>
      <w:r w:rsidR="00460566" w:rsidRPr="00460566">
        <w:rPr>
          <w:iCs/>
          <w:lang w:val="lt-LT"/>
        </w:rPr>
        <w:t xml:space="preserve"> turės būti </w:t>
      </w:r>
      <w:r w:rsidR="00B75318">
        <w:rPr>
          <w:iCs/>
          <w:lang w:val="lt-LT"/>
        </w:rPr>
        <w:t>per 90 kalendorinių dienų nuo užsakymo pateikimo</w:t>
      </w:r>
      <w:r w:rsidR="00460566">
        <w:rPr>
          <w:lang w:val="lt-LT"/>
        </w:rPr>
        <w:t>.</w:t>
      </w:r>
    </w:p>
    <w:p w14:paraId="70D03901" w14:textId="3A28FBA8"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B64624">
        <w:rPr>
          <w:b/>
          <w:color w:val="000000"/>
          <w:lang w:val="lt-LT" w:eastAsia="en-US"/>
        </w:rPr>
        <w:t xml:space="preserve">3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521D31EC"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vasario </w:t>
      </w:r>
      <w:r w:rsidR="00B64624">
        <w:rPr>
          <w:b/>
          <w:bCs/>
          <w:iCs/>
          <w:color w:val="000000"/>
          <w:u w:val="single"/>
          <w:lang w:val="lt-LT" w:eastAsia="en-US"/>
        </w:rPr>
        <w:t>5</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B64624">
        <w:rPr>
          <w:lang w:val="lt-LT" w:eastAsia="lt-LT"/>
        </w:rPr>
        <w:t>organizator</w:t>
      </w:r>
      <w:r w:rsidR="00B64624">
        <w:rPr>
          <w:lang w:val="lt-LT" w:eastAsia="lt-LT"/>
        </w:rPr>
        <w:t>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4F1B9057"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2026-02-0</w:t>
      </w:r>
      <w:r w:rsidR="00B64624">
        <w:rPr>
          <w:b/>
          <w:bCs/>
          <w:color w:val="000000"/>
          <w:lang w:val="lt-LT" w:eastAsia="en-US"/>
        </w:rPr>
        <w:t>5</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2026-02-0</w:t>
      </w:r>
      <w:r w:rsidR="00B64624">
        <w:rPr>
          <w:b/>
          <w:bCs/>
          <w:color w:val="000000"/>
          <w:lang w:val="lt-LT" w:eastAsia="en-US"/>
        </w:rPr>
        <w:t>5</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E45C33">
        <w:rPr>
          <w:b/>
          <w:iCs/>
          <w:u w:val="single"/>
          <w:lang w:val="lt-LT" w:eastAsia="en-US"/>
        </w:rPr>
        <w:t>vasario</w:t>
      </w:r>
      <w:r w:rsidRPr="00B757D3">
        <w:rPr>
          <w:b/>
          <w:iCs/>
          <w:u w:val="single"/>
          <w:lang w:val="lt-LT" w:eastAsia="en-US"/>
        </w:rPr>
        <w:t xml:space="preserve"> mėn. </w:t>
      </w:r>
      <w:r w:rsidR="00B64624">
        <w:rPr>
          <w:b/>
          <w:iCs/>
          <w:u w:val="single"/>
          <w:lang w:val="lt-LT" w:eastAsia="en-US"/>
        </w:rPr>
        <w:t>5</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w:t>
      </w:r>
      <w:r w:rsidR="00B64624">
        <w:rPr>
          <w:lang w:val="lt-LT" w:eastAsia="lt-LT"/>
        </w:rPr>
        <w:t>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w:t>
      </w:r>
      <w:r w:rsidR="00B64624">
        <w:rPr>
          <w:lang w:val="lt-LT" w:eastAsia="lt-LT"/>
        </w:rPr>
        <w:t>ius</w:t>
      </w:r>
      <w:r w:rsidRPr="00B757D3">
        <w:rPr>
          <w:lang w:val="lt-LT" w:eastAsia="en-US"/>
        </w:rPr>
        <w:t xml:space="preserve"> elektroninėmis priemonėmis CVP IS paprašius, tiekėjai privalo per Pirkimo </w:t>
      </w:r>
      <w:r w:rsidR="00B64624">
        <w:rPr>
          <w:lang w:val="lt-LT" w:eastAsia="lt-LT"/>
        </w:rPr>
        <w:t>organizator</w:t>
      </w:r>
      <w:r w:rsidR="00B64624">
        <w:rPr>
          <w:lang w:val="lt-LT" w:eastAsia="lt-LT"/>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w:t>
      </w:r>
      <w:r w:rsidR="00B64624">
        <w:rPr>
          <w:lang w:val="lt-LT" w:eastAsia="lt-LT"/>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w:t>
      </w:r>
      <w:r w:rsidR="00B64624">
        <w:rPr>
          <w:lang w:val="lt-LT" w:eastAsia="lt-LT"/>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B64624">
        <w:rPr>
          <w:lang w:val="lt-LT" w:eastAsia="lt-LT"/>
        </w:rPr>
        <w:t>organizator</w:t>
      </w:r>
      <w:r w:rsidR="00B64624">
        <w:rPr>
          <w:lang w:val="lt-LT" w:eastAsia="lt-LT"/>
        </w:rPr>
        <w:t>ius</w:t>
      </w:r>
      <w:r w:rsidRPr="00B757D3">
        <w:rPr>
          <w:lang w:val="lt-LT" w:eastAsia="en-US"/>
        </w:rPr>
        <w:t xml:space="preserve"> turi teisę tiekėjo paprašyti per Pirkimo </w:t>
      </w:r>
      <w:r w:rsidR="00B64624">
        <w:rPr>
          <w:lang w:val="lt-LT" w:eastAsia="lt-LT"/>
        </w:rPr>
        <w:t>organizator</w:t>
      </w:r>
      <w:r w:rsidR="00B64624">
        <w:rPr>
          <w:lang w:val="lt-LT" w:eastAsia="lt-LT"/>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w:t>
      </w:r>
      <w:r w:rsidR="00B64624">
        <w:rPr>
          <w:lang w:val="lt-LT" w:eastAsia="lt-LT"/>
        </w:rPr>
        <w:t>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w:t>
      </w:r>
      <w:r w:rsidR="00B64624">
        <w:rPr>
          <w:lang w:val="lt-LT" w:eastAsia="lt-LT"/>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w:t>
      </w:r>
      <w:r w:rsidR="00B64624">
        <w:rPr>
          <w:lang w:val="lt-LT" w:eastAsia="lt-LT"/>
        </w:rPr>
        <w:t>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w:t>
      </w:r>
      <w:r w:rsidR="00B64624">
        <w:rPr>
          <w:lang w:val="lt-LT" w:eastAsia="lt-LT"/>
        </w:rPr>
        <w:t>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6DF12EB" w14:textId="5F78F936" w:rsidR="00B757D3"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r w:rsidR="00782B64" w:rsidRPr="00782B64">
        <w:rPr>
          <w:lang w:val="lt-LT" w:eastAsia="en-US"/>
        </w:rPr>
        <w:t>Maksimali pasiūlymo (vertinamoji) kaina, kurią viršijus pasiūlymas bus atmestas yra:</w:t>
      </w:r>
    </w:p>
    <w:tbl>
      <w:tblPr>
        <w:tblW w:w="9634" w:type="dxa"/>
        <w:jc w:val="center"/>
        <w:tblLayout w:type="fixed"/>
        <w:tblLook w:val="04A0" w:firstRow="1" w:lastRow="0" w:firstColumn="1" w:lastColumn="0" w:noHBand="0" w:noVBand="1"/>
      </w:tblPr>
      <w:tblGrid>
        <w:gridCol w:w="988"/>
        <w:gridCol w:w="4536"/>
        <w:gridCol w:w="1984"/>
        <w:gridCol w:w="2126"/>
      </w:tblGrid>
      <w:tr w:rsidR="00E45C33" w:rsidRPr="00455D9F" w14:paraId="629E39B2" w14:textId="77777777" w:rsidTr="005D4FA1">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C7BC6CB"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13863815"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1F224B68"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01B39D17" w14:textId="77777777" w:rsidR="00E45C33" w:rsidRPr="00455D9F" w:rsidRDefault="00E45C33" w:rsidP="005D4FA1">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E45C33" w:rsidRPr="00455D9F" w14:paraId="22AE39C6" w14:textId="77777777" w:rsidTr="005D4FA1">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6B18404C" w14:textId="77777777" w:rsidR="00E45C33" w:rsidRPr="00455D9F" w:rsidRDefault="00E45C33" w:rsidP="005D4FA1">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1C67A444" w14:textId="75E7410E" w:rsidR="00E45C33" w:rsidRPr="00C20749" w:rsidRDefault="00C20749" w:rsidP="005D4FA1">
            <w:pPr>
              <w:pStyle w:val="Body2"/>
              <w:widowControl w:val="0"/>
              <w:spacing w:after="0"/>
              <w:rPr>
                <w:rFonts w:cs="Times New Roman"/>
                <w:bCs/>
                <w:color w:val="auto"/>
                <w:lang w:val="lt-LT"/>
              </w:rPr>
            </w:pPr>
            <w:r w:rsidRPr="00C20749">
              <w:rPr>
                <w:rFonts w:cs="Times New Roman"/>
                <w:bCs/>
                <w:color w:val="auto"/>
                <w:lang w:val="lt-LT"/>
              </w:rPr>
              <w:t>Laboratorijos baldai</w:t>
            </w:r>
          </w:p>
        </w:tc>
        <w:tc>
          <w:tcPr>
            <w:tcW w:w="1984" w:type="dxa"/>
            <w:tcBorders>
              <w:top w:val="single" w:sz="4" w:space="0" w:color="000000"/>
              <w:left w:val="single" w:sz="4" w:space="0" w:color="000000"/>
              <w:bottom w:val="single" w:sz="4" w:space="0" w:color="000000"/>
              <w:right w:val="single" w:sz="4" w:space="0" w:color="000000"/>
            </w:tcBorders>
            <w:vAlign w:val="center"/>
          </w:tcPr>
          <w:p w14:paraId="4F157388" w14:textId="6A91BA69" w:rsidR="00E45C33" w:rsidRPr="00455D9F" w:rsidRDefault="00C20749" w:rsidP="005D4FA1">
            <w:pPr>
              <w:widowControl w:val="0"/>
              <w:jc w:val="center"/>
              <w:rPr>
                <w:lang w:val="lt-LT"/>
              </w:rPr>
            </w:pPr>
            <w:r>
              <w:rPr>
                <w:lang w:val="lt-LT"/>
              </w:rPr>
              <w:t>1917,36</w:t>
            </w:r>
          </w:p>
        </w:tc>
        <w:tc>
          <w:tcPr>
            <w:tcW w:w="2126" w:type="dxa"/>
            <w:tcBorders>
              <w:top w:val="single" w:sz="4" w:space="0" w:color="000000"/>
              <w:left w:val="single" w:sz="4" w:space="0" w:color="000000"/>
              <w:bottom w:val="single" w:sz="4" w:space="0" w:color="000000"/>
              <w:right w:val="single" w:sz="4" w:space="0" w:color="000000"/>
            </w:tcBorders>
            <w:vAlign w:val="center"/>
          </w:tcPr>
          <w:p w14:paraId="04FE1668" w14:textId="73A92C07" w:rsidR="00E45C33" w:rsidRPr="00455D9F" w:rsidRDefault="00C20749" w:rsidP="000577D8">
            <w:pPr>
              <w:widowControl w:val="0"/>
              <w:jc w:val="center"/>
              <w:rPr>
                <w:lang w:val="lt-LT"/>
              </w:rPr>
            </w:pPr>
            <w:r>
              <w:rPr>
                <w:lang w:val="lt-LT"/>
              </w:rPr>
              <w:t>2320,00</w:t>
            </w:r>
          </w:p>
        </w:tc>
      </w:tr>
      <w:tr w:rsidR="00B64624" w:rsidRPr="00455D9F" w14:paraId="79557012" w14:textId="77777777" w:rsidTr="005D4FA1">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50039ED" w14:textId="3D21AA99" w:rsidR="00B64624" w:rsidRPr="00455D9F" w:rsidRDefault="00B64624" w:rsidP="005D4FA1">
            <w:pPr>
              <w:pStyle w:val="Body2"/>
              <w:widowControl w:val="0"/>
              <w:spacing w:after="0"/>
              <w:jc w:val="center"/>
              <w:rPr>
                <w:rFonts w:cs="Times New Roman"/>
                <w:color w:val="auto"/>
                <w:lang w:val="lt-LT"/>
              </w:rPr>
            </w:pPr>
            <w:r>
              <w:rPr>
                <w:rFonts w:cs="Times New Roman"/>
                <w:color w:val="auto"/>
                <w:lang w:val="lt-LT"/>
              </w:rPr>
              <w:t>2.</w:t>
            </w:r>
          </w:p>
        </w:tc>
        <w:tc>
          <w:tcPr>
            <w:tcW w:w="4536" w:type="dxa"/>
            <w:tcBorders>
              <w:top w:val="single" w:sz="4" w:space="0" w:color="000000"/>
              <w:left w:val="single" w:sz="4" w:space="0" w:color="000000"/>
              <w:bottom w:val="single" w:sz="4" w:space="0" w:color="000000"/>
              <w:right w:val="single" w:sz="4" w:space="0" w:color="000000"/>
            </w:tcBorders>
          </w:tcPr>
          <w:p w14:paraId="44BAF783" w14:textId="2F6335D8" w:rsidR="00B64624" w:rsidRDefault="00C20749" w:rsidP="005D4FA1">
            <w:pPr>
              <w:pStyle w:val="Body2"/>
              <w:widowControl w:val="0"/>
              <w:spacing w:after="0"/>
              <w:rPr>
                <w:bCs/>
                <w:lang w:val="lt-LT"/>
              </w:rPr>
            </w:pPr>
            <w:r w:rsidRPr="00C20749">
              <w:rPr>
                <w:bCs/>
                <w:lang w:val="lt-LT"/>
              </w:rPr>
              <w:t>Mobili medicininė spintelė</w:t>
            </w:r>
          </w:p>
        </w:tc>
        <w:tc>
          <w:tcPr>
            <w:tcW w:w="1984" w:type="dxa"/>
            <w:tcBorders>
              <w:top w:val="single" w:sz="4" w:space="0" w:color="000000"/>
              <w:left w:val="single" w:sz="4" w:space="0" w:color="000000"/>
              <w:bottom w:val="single" w:sz="4" w:space="0" w:color="000000"/>
              <w:right w:val="single" w:sz="4" w:space="0" w:color="000000"/>
            </w:tcBorders>
            <w:vAlign w:val="center"/>
          </w:tcPr>
          <w:p w14:paraId="53B64231" w14:textId="3C0AF93C" w:rsidR="00B64624" w:rsidRDefault="00C20749" w:rsidP="005D4FA1">
            <w:pPr>
              <w:widowControl w:val="0"/>
              <w:jc w:val="center"/>
              <w:rPr>
                <w:lang w:val="lt-LT"/>
              </w:rPr>
            </w:pPr>
            <w:r>
              <w:rPr>
                <w:lang w:val="lt-LT"/>
              </w:rPr>
              <w:t>1359,50</w:t>
            </w:r>
          </w:p>
        </w:tc>
        <w:tc>
          <w:tcPr>
            <w:tcW w:w="2126" w:type="dxa"/>
            <w:tcBorders>
              <w:top w:val="single" w:sz="4" w:space="0" w:color="000000"/>
              <w:left w:val="single" w:sz="4" w:space="0" w:color="000000"/>
              <w:bottom w:val="single" w:sz="4" w:space="0" w:color="000000"/>
              <w:right w:val="single" w:sz="4" w:space="0" w:color="000000"/>
            </w:tcBorders>
            <w:vAlign w:val="center"/>
          </w:tcPr>
          <w:p w14:paraId="12163755" w14:textId="0C0853D5" w:rsidR="00B64624" w:rsidRDefault="00C20749" w:rsidP="000577D8">
            <w:pPr>
              <w:widowControl w:val="0"/>
              <w:jc w:val="center"/>
              <w:rPr>
                <w:lang w:val="lt-LT"/>
              </w:rPr>
            </w:pPr>
            <w:r>
              <w:rPr>
                <w:lang w:val="lt-LT"/>
              </w:rPr>
              <w:t>1645,00</w:t>
            </w:r>
          </w:p>
        </w:tc>
      </w:tr>
      <w:tr w:rsidR="00B64624" w:rsidRPr="00455D9F" w14:paraId="1F7DB602" w14:textId="77777777" w:rsidTr="005D4FA1">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397F38F" w14:textId="4F9A8B25" w:rsidR="00B64624" w:rsidRPr="00455D9F" w:rsidRDefault="00B64624" w:rsidP="005D4FA1">
            <w:pPr>
              <w:pStyle w:val="Body2"/>
              <w:widowControl w:val="0"/>
              <w:spacing w:after="0"/>
              <w:jc w:val="center"/>
              <w:rPr>
                <w:rFonts w:cs="Times New Roman"/>
                <w:color w:val="auto"/>
                <w:lang w:val="lt-LT"/>
              </w:rPr>
            </w:pPr>
            <w:r>
              <w:rPr>
                <w:rFonts w:cs="Times New Roman"/>
                <w:color w:val="auto"/>
                <w:lang w:val="lt-LT"/>
              </w:rPr>
              <w:t>3.</w:t>
            </w:r>
          </w:p>
        </w:tc>
        <w:tc>
          <w:tcPr>
            <w:tcW w:w="4536" w:type="dxa"/>
            <w:tcBorders>
              <w:top w:val="single" w:sz="4" w:space="0" w:color="000000"/>
              <w:left w:val="single" w:sz="4" w:space="0" w:color="000000"/>
              <w:bottom w:val="single" w:sz="4" w:space="0" w:color="000000"/>
              <w:right w:val="single" w:sz="4" w:space="0" w:color="000000"/>
            </w:tcBorders>
          </w:tcPr>
          <w:p w14:paraId="0767A0B3" w14:textId="673A1DC7" w:rsidR="00B64624" w:rsidRDefault="00C20749" w:rsidP="005D4FA1">
            <w:pPr>
              <w:pStyle w:val="Body2"/>
              <w:widowControl w:val="0"/>
              <w:spacing w:after="0"/>
              <w:rPr>
                <w:bCs/>
                <w:lang w:val="lt-LT"/>
              </w:rPr>
            </w:pPr>
            <w:r w:rsidRPr="00C20749">
              <w:rPr>
                <w:bCs/>
                <w:lang w:val="lt-LT"/>
              </w:rPr>
              <w:t>Kėdės pacientams</w:t>
            </w:r>
          </w:p>
        </w:tc>
        <w:tc>
          <w:tcPr>
            <w:tcW w:w="1984" w:type="dxa"/>
            <w:tcBorders>
              <w:top w:val="single" w:sz="4" w:space="0" w:color="000000"/>
              <w:left w:val="single" w:sz="4" w:space="0" w:color="000000"/>
              <w:bottom w:val="single" w:sz="4" w:space="0" w:color="000000"/>
              <w:right w:val="single" w:sz="4" w:space="0" w:color="000000"/>
            </w:tcBorders>
            <w:vAlign w:val="center"/>
          </w:tcPr>
          <w:p w14:paraId="2D8CAE26" w14:textId="3684CE79" w:rsidR="00B64624" w:rsidRDefault="00C20749" w:rsidP="005D4FA1">
            <w:pPr>
              <w:widowControl w:val="0"/>
              <w:jc w:val="center"/>
              <w:rPr>
                <w:lang w:val="lt-LT"/>
              </w:rPr>
            </w:pPr>
            <w:r>
              <w:rPr>
                <w:lang w:val="lt-LT"/>
              </w:rPr>
              <w:t>798,00</w:t>
            </w:r>
          </w:p>
        </w:tc>
        <w:tc>
          <w:tcPr>
            <w:tcW w:w="2126" w:type="dxa"/>
            <w:tcBorders>
              <w:top w:val="single" w:sz="4" w:space="0" w:color="000000"/>
              <w:left w:val="single" w:sz="4" w:space="0" w:color="000000"/>
              <w:bottom w:val="single" w:sz="4" w:space="0" w:color="000000"/>
              <w:right w:val="single" w:sz="4" w:space="0" w:color="000000"/>
            </w:tcBorders>
            <w:vAlign w:val="center"/>
          </w:tcPr>
          <w:p w14:paraId="0901A759" w14:textId="1FF1C55C" w:rsidR="00B64624" w:rsidRDefault="00C20749" w:rsidP="000577D8">
            <w:pPr>
              <w:widowControl w:val="0"/>
              <w:jc w:val="center"/>
              <w:rPr>
                <w:lang w:val="lt-LT"/>
              </w:rPr>
            </w:pPr>
            <w:r>
              <w:rPr>
                <w:lang w:val="lt-LT"/>
              </w:rPr>
              <w:t>965,58</w:t>
            </w:r>
          </w:p>
        </w:tc>
      </w:tr>
    </w:tbl>
    <w:p w14:paraId="76DB7747" w14:textId="77777777" w:rsidR="00E45C33" w:rsidRPr="00787D50" w:rsidRDefault="00E45C33" w:rsidP="00B757D3">
      <w:pPr>
        <w:tabs>
          <w:tab w:val="left" w:pos="993"/>
          <w:tab w:val="left" w:pos="1418"/>
        </w:tabs>
        <w:ind w:firstLine="720"/>
        <w:jc w:val="both"/>
        <w:rPr>
          <w:lang w:val="lt-LT" w:eastAsia="en-US"/>
        </w:rPr>
      </w:pP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26471ACA" w:rsidR="00787D50" w:rsidRPr="009476FC" w:rsidRDefault="00782B64" w:rsidP="00787D50">
      <w:pPr>
        <w:jc w:val="center"/>
        <w:rPr>
          <w:b/>
          <w:color w:val="000000"/>
          <w:lang w:val="lt-LT" w:eastAsia="en-US"/>
        </w:rPr>
      </w:pPr>
      <w:r>
        <w:rPr>
          <w:b/>
          <w:caps/>
          <w:color w:val="000000"/>
          <w:lang w:val="lt-LT" w:eastAsia="en-US"/>
        </w:rPr>
        <w:t>BALDŲ (</w:t>
      </w:r>
      <w:r w:rsidR="00B64624" w:rsidRPr="00B64624">
        <w:rPr>
          <w:b/>
          <w:caps/>
          <w:color w:val="000000"/>
          <w:lang w:val="lt-LT" w:eastAsia="en-US"/>
        </w:rPr>
        <w:t>LABORATORIJOS BALD</w:t>
      </w:r>
      <w:r w:rsidR="00B64624">
        <w:rPr>
          <w:b/>
          <w:caps/>
          <w:color w:val="000000"/>
          <w:lang w:val="lt-LT" w:eastAsia="en-US"/>
        </w:rPr>
        <w:t>Ų</w:t>
      </w:r>
      <w:r w:rsidR="00B64624" w:rsidRPr="00B64624">
        <w:rPr>
          <w:b/>
          <w:caps/>
          <w:color w:val="000000"/>
          <w:lang w:val="lt-LT" w:eastAsia="en-US"/>
        </w:rPr>
        <w:t>, MOBIL</w:t>
      </w:r>
      <w:r w:rsidR="00B64624">
        <w:rPr>
          <w:b/>
          <w:caps/>
          <w:color w:val="000000"/>
          <w:lang w:val="lt-LT" w:eastAsia="en-US"/>
        </w:rPr>
        <w:t>IAI</w:t>
      </w:r>
      <w:r w:rsidR="00B64624" w:rsidRPr="00B64624">
        <w:rPr>
          <w:b/>
          <w:caps/>
          <w:color w:val="000000"/>
          <w:lang w:val="lt-LT" w:eastAsia="en-US"/>
        </w:rPr>
        <w:t xml:space="preserve"> SPINTEL</w:t>
      </w:r>
      <w:r w:rsidR="00B64624">
        <w:rPr>
          <w:b/>
          <w:caps/>
          <w:color w:val="000000"/>
          <w:lang w:val="lt-LT" w:eastAsia="en-US"/>
        </w:rPr>
        <w:t>EI</w:t>
      </w:r>
      <w:r w:rsidR="00B64624" w:rsidRPr="00B64624">
        <w:rPr>
          <w:b/>
          <w:caps/>
          <w:color w:val="000000"/>
          <w:lang w:val="lt-LT" w:eastAsia="en-US"/>
        </w:rPr>
        <w:t>, KĖD</w:t>
      </w:r>
      <w:r w:rsidR="00B64624">
        <w:rPr>
          <w:b/>
          <w:caps/>
          <w:color w:val="000000"/>
          <w:lang w:val="lt-LT" w:eastAsia="en-US"/>
        </w:rPr>
        <w:t>ŽIŲ</w:t>
      </w:r>
      <w:r w:rsidR="00B64624" w:rsidRPr="00B64624">
        <w:rPr>
          <w:b/>
          <w:caps/>
          <w:color w:val="000000"/>
          <w:lang w:val="lt-LT" w:eastAsia="en-US"/>
        </w:rPr>
        <w:t xml:space="preserve"> PACIENTAMS</w:t>
      </w:r>
      <w:r>
        <w:rPr>
          <w:b/>
          <w:caps/>
          <w:color w:val="000000"/>
          <w:lang w:val="lt-LT" w:eastAsia="en-US"/>
        </w:rPr>
        <w:t>)</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64624"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B64624"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B64624"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B64624"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6462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0"/>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2197"/>
        <w:gridCol w:w="3827"/>
        <w:gridCol w:w="1134"/>
        <w:gridCol w:w="992"/>
        <w:gridCol w:w="1134"/>
        <w:gridCol w:w="1276"/>
        <w:gridCol w:w="1276"/>
        <w:gridCol w:w="2551"/>
      </w:tblGrid>
      <w:tr w:rsidR="00EE37B7" w:rsidRPr="00B64624" w14:paraId="35027E36" w14:textId="7E2D5F72" w:rsidTr="00EE37B7">
        <w:trPr>
          <w:trHeight w:val="532"/>
        </w:trPr>
        <w:tc>
          <w:tcPr>
            <w:tcW w:w="14778" w:type="dxa"/>
            <w:gridSpan w:val="9"/>
            <w:vAlign w:val="center"/>
          </w:tcPr>
          <w:p w14:paraId="283E8282" w14:textId="77777777" w:rsidR="00EE37B7" w:rsidRPr="00EE37B7" w:rsidRDefault="00EE37B7" w:rsidP="005D4FA1">
            <w:pPr>
              <w:jc w:val="both"/>
              <w:rPr>
                <w:b/>
                <w:bCs/>
                <w:sz w:val="24"/>
                <w:szCs w:val="24"/>
                <w:lang w:val="lt-LT"/>
              </w:rPr>
            </w:pPr>
            <w:r w:rsidRPr="00EE37B7">
              <w:rPr>
                <w:b/>
                <w:bCs/>
                <w:sz w:val="24"/>
                <w:szCs w:val="24"/>
                <w:lang w:val="lt-LT"/>
              </w:rPr>
              <w:t>BALDŲ PIRKIMO TECHNINĖ SPECIFIKACIJA</w:t>
            </w:r>
          </w:p>
          <w:p w14:paraId="01219045" w14:textId="77777777" w:rsidR="00EE37B7" w:rsidRPr="00EE37B7" w:rsidRDefault="00EE37B7" w:rsidP="005D4FA1">
            <w:pPr>
              <w:jc w:val="both"/>
              <w:rPr>
                <w:b/>
                <w:bCs/>
                <w:sz w:val="24"/>
                <w:szCs w:val="24"/>
                <w:lang w:val="lt-LT"/>
              </w:rPr>
            </w:pPr>
            <w:r w:rsidRPr="00EE37B7">
              <w:rPr>
                <w:b/>
                <w:bCs/>
                <w:sz w:val="24"/>
                <w:szCs w:val="24"/>
                <w:lang w:val="lt-LT"/>
              </w:rPr>
              <w:t>Bendrieji reikalavimai:</w:t>
            </w:r>
          </w:p>
          <w:p w14:paraId="05A0374F"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Visi baldai turi būti pristatomi ir surenkami tiekėjo lėšomis, perkančiosios organizacijos atstovo nurodytoje vietoje (Jonavos mieste).</w:t>
            </w:r>
          </w:p>
          <w:p w14:paraId="6E767C68"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Technologinės skylės, kurių skersmuo didesnis kaip 7 mm, turi būti uždengtos.</w:t>
            </w:r>
          </w:p>
          <w:p w14:paraId="59901F27"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Baldų kojos (atramos) turi nebraižyti ir netepti grindų, karkasų metalinės dalys neturi liestis su grindimis ir turi turėti apsaugą nuo braižymosi.</w:t>
            </w:r>
          </w:p>
          <w:p w14:paraId="090807E5" w14:textId="77777777" w:rsidR="0075735D" w:rsidRPr="0075735D" w:rsidRDefault="0075735D" w:rsidP="0075735D">
            <w:pPr>
              <w:pStyle w:val="ListParagraph"/>
              <w:numPr>
                <w:ilvl w:val="0"/>
                <w:numId w:val="6"/>
              </w:numPr>
              <w:jc w:val="both"/>
              <w:rPr>
                <w:sz w:val="24"/>
                <w:szCs w:val="24"/>
                <w:lang w:val="lt-LT"/>
              </w:rPr>
            </w:pPr>
            <w:r w:rsidRPr="0075735D">
              <w:rPr>
                <w:sz w:val="24"/>
                <w:szCs w:val="24"/>
                <w:lang w:val="lt-LT"/>
              </w:rPr>
              <w:t>Baldai turi būti estetiški, tvirti, stabilūs, ergonomiški ir jų kokybė turi atitikti tai prekių grupei keliamas technines sąlygas ir standartus.</w:t>
            </w:r>
          </w:p>
          <w:p w14:paraId="14237ED0" w14:textId="77777777" w:rsidR="0075735D" w:rsidRPr="0075735D" w:rsidRDefault="0075735D" w:rsidP="0075735D">
            <w:pPr>
              <w:pStyle w:val="ListParagraph"/>
              <w:numPr>
                <w:ilvl w:val="0"/>
                <w:numId w:val="6"/>
              </w:numPr>
              <w:jc w:val="both"/>
              <w:rPr>
                <w:b/>
                <w:bCs/>
                <w:sz w:val="24"/>
                <w:szCs w:val="24"/>
                <w:lang w:val="lt-LT"/>
              </w:rPr>
            </w:pPr>
            <w:r w:rsidRPr="0075735D">
              <w:rPr>
                <w:sz w:val="24"/>
                <w:szCs w:val="24"/>
                <w:lang w:val="lt-LT"/>
              </w:rPr>
              <w:t xml:space="preserve">Baldams nurodyti bendri leidžiami nuokrypiai (+/-10-20 mm paklaida) nuo nurodytų reikalaujamų matmenų, kainų įvertinimui. </w:t>
            </w:r>
            <w:r w:rsidRPr="0075735D">
              <w:rPr>
                <w:b/>
                <w:bCs/>
                <w:sz w:val="24"/>
                <w:szCs w:val="24"/>
                <w:u w:val="single"/>
                <w:lang w:val="lt-LT"/>
              </w:rPr>
              <w:t>Visi baldų matmenys turės būti tikslinami ir suderinti su Užsakovu.</w:t>
            </w:r>
          </w:p>
          <w:p w14:paraId="30C4A1E4" w14:textId="77777777" w:rsidR="0075735D" w:rsidRPr="0075735D" w:rsidRDefault="0075735D" w:rsidP="0075735D">
            <w:pPr>
              <w:pStyle w:val="ListParagraph"/>
              <w:numPr>
                <w:ilvl w:val="0"/>
                <w:numId w:val="6"/>
              </w:numPr>
              <w:jc w:val="both"/>
              <w:rPr>
                <w:b/>
                <w:bCs/>
                <w:sz w:val="24"/>
                <w:szCs w:val="24"/>
                <w:lang w:val="lt-LT"/>
              </w:rPr>
            </w:pPr>
            <w:r w:rsidRPr="0075735D">
              <w:rPr>
                <w:b/>
                <w:bCs/>
                <w:sz w:val="24"/>
                <w:szCs w:val="24"/>
                <w:lang w:val="lt-LT"/>
              </w:rPr>
              <w:t>Pardavėjas turi raštu suderinti su Užsakovu tikslius prekių (baldų) išmatavimus, apdailas (kur taikoma), rankenėles (kur taikoma). Baldų spalvos ir atspalviai turi būti derinami su perkančiosios organizacijos atstovu ir turi atitikti interjero spalvinę koncepciją.  Užsakovas turi turėti galimybę rinktis iš 10 skirtingų LMDP plokštės atspalvių, tarp kurių turi būti ne mažiau 5 skirtingos medžio tekstūros, ne mažiau 5 skirtingi vienspalviai atspalviai (balta, pilka, kreminė ir pan.), pageidautina darbo stalų stalviršių spalva 1366 akmuo pilkas grigio frisia ir PB0090CS balta arktinė arba lygiavertės,  rankenėlių spalva pasirinktinai juoda, balta, aliuminio. Metalo detalių spalva pritaikoma pagal fasadų spalvą (pageidautina balta).</w:t>
            </w:r>
            <w:r w:rsidRPr="0075735D">
              <w:rPr>
                <w:b/>
                <w:bCs/>
                <w:color w:val="000000" w:themeColor="text1"/>
                <w:sz w:val="24"/>
                <w:szCs w:val="24"/>
                <w:lang w:val="lt-LT"/>
              </w:rPr>
              <w:t xml:space="preserve"> </w:t>
            </w:r>
            <w:r w:rsidRPr="0075735D">
              <w:rPr>
                <w:b/>
                <w:bCs/>
                <w:color w:val="000000" w:themeColor="text1"/>
                <w:sz w:val="24"/>
                <w:szCs w:val="24"/>
                <w:u w:val="single"/>
                <w:lang w:val="lt-LT"/>
              </w:rPr>
              <w:t>Prieš baldų gamybą privaloma suderinti tikslias baldų medžiagas su spalvomis ir tekstūromis su perkančiąja organizacija.</w:t>
            </w:r>
          </w:p>
          <w:p w14:paraId="6A769B9B" w14:textId="77777777" w:rsidR="00EE37B7" w:rsidRPr="0075735D" w:rsidRDefault="00EE37B7" w:rsidP="005D4FA1">
            <w:pPr>
              <w:pStyle w:val="ListParagraph"/>
              <w:numPr>
                <w:ilvl w:val="0"/>
                <w:numId w:val="6"/>
              </w:numPr>
              <w:jc w:val="both"/>
              <w:rPr>
                <w:b/>
                <w:bCs/>
                <w:sz w:val="24"/>
                <w:szCs w:val="24"/>
                <w:lang w:val="lt-LT"/>
              </w:rPr>
            </w:pPr>
            <w:r w:rsidRPr="0075735D">
              <w:rPr>
                <w:b/>
                <w:bCs/>
                <w:sz w:val="24"/>
                <w:szCs w:val="24"/>
                <w:lang w:val="lt-LT"/>
              </w:rPr>
              <w:t xml:space="preserve">Baldų konstrukciniai brėžiniai pateikiami priede. </w:t>
            </w:r>
          </w:p>
          <w:p w14:paraId="2FEDD9D5" w14:textId="77777777" w:rsidR="00DE0A54" w:rsidRPr="0075735D" w:rsidRDefault="00DE0A54" w:rsidP="00DE0A54">
            <w:pPr>
              <w:jc w:val="both"/>
              <w:rPr>
                <w:b/>
                <w:bCs/>
                <w:lang w:val="lt-LT"/>
              </w:rPr>
            </w:pPr>
          </w:p>
          <w:p w14:paraId="1DBBDB6C" w14:textId="0AFB2452" w:rsidR="000D6796" w:rsidRPr="00385C14" w:rsidRDefault="000D6796" w:rsidP="000D6796">
            <w:pPr>
              <w:jc w:val="both"/>
              <w:rPr>
                <w:sz w:val="24"/>
                <w:szCs w:val="24"/>
                <w:lang w:val="lt-LT"/>
              </w:rPr>
            </w:pPr>
            <w:r>
              <w:rPr>
                <w:sz w:val="24"/>
                <w:szCs w:val="24"/>
                <w:lang w:val="lt-LT"/>
              </w:rPr>
              <w:t xml:space="preserve">      1</w:t>
            </w:r>
            <w:r w:rsidR="0075735D">
              <w:rPr>
                <w:sz w:val="24"/>
                <w:szCs w:val="24"/>
                <w:lang w:val="lt-LT"/>
              </w:rPr>
              <w:t>1</w:t>
            </w:r>
            <w:r>
              <w:rPr>
                <w:sz w:val="24"/>
                <w:szCs w:val="24"/>
                <w:lang w:val="lt-LT"/>
              </w:rPr>
              <w:t xml:space="preserve">. </w:t>
            </w:r>
            <w:r w:rsidRPr="00385C14">
              <w:rPr>
                <w:sz w:val="24"/>
                <w:szCs w:val="24"/>
                <w:lang w:val="lt-LT"/>
              </w:rPr>
              <w:t>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0F22D35C" w:rsidR="000D6796" w:rsidRPr="00385C14" w:rsidRDefault="000D6796" w:rsidP="000D6796">
            <w:pPr>
              <w:ind w:firstLine="567"/>
              <w:jc w:val="both"/>
              <w:rPr>
                <w:sz w:val="24"/>
                <w:szCs w:val="24"/>
                <w:lang w:val="lt-LT"/>
              </w:rPr>
            </w:pPr>
            <w:r>
              <w:rPr>
                <w:sz w:val="24"/>
                <w:szCs w:val="24"/>
                <w:lang w:val="lt-LT"/>
              </w:rPr>
              <w:t>1</w:t>
            </w:r>
            <w:r w:rsidR="0075735D">
              <w:rPr>
                <w:sz w:val="24"/>
                <w:szCs w:val="24"/>
                <w:lang w:val="lt-LT"/>
              </w:rPr>
              <w:t>1</w:t>
            </w:r>
            <w:r>
              <w:rPr>
                <w:sz w:val="24"/>
                <w:szCs w:val="24"/>
                <w:lang w:val="lt-LT"/>
              </w:rPr>
              <w:t>.</w:t>
            </w:r>
            <w:r w:rsidRPr="00385C14">
              <w:rPr>
                <w:sz w:val="24"/>
                <w:szCs w:val="24"/>
                <w:lang w:val="lt-LT"/>
              </w:rPr>
              <w:t>1. ne mažiau kaip 80 proc. balduose naudojamos medienos, medienos medžiagų ir gaminių turi būti iš miškų, sertifikuotų naudojant FSC ar PEFC miškų sertifikavimo sistemas arba lygiavertes sertifikavimo sistemas;</w:t>
            </w:r>
          </w:p>
          <w:p w14:paraId="2BCAAB84" w14:textId="6A90DAFA" w:rsidR="000D6796" w:rsidRPr="00385C14" w:rsidRDefault="000D6796" w:rsidP="000D6796">
            <w:pPr>
              <w:ind w:firstLine="567"/>
              <w:jc w:val="both"/>
              <w:rPr>
                <w:sz w:val="24"/>
                <w:szCs w:val="24"/>
                <w:lang w:val="lt-LT"/>
              </w:rPr>
            </w:pPr>
            <w:r>
              <w:rPr>
                <w:sz w:val="24"/>
                <w:szCs w:val="24"/>
                <w:lang w:val="lt-LT"/>
              </w:rPr>
              <w:t>1</w:t>
            </w:r>
            <w:r w:rsidR="0075735D">
              <w:rPr>
                <w:sz w:val="24"/>
                <w:szCs w:val="24"/>
                <w:lang w:val="lt-LT"/>
              </w:rPr>
              <w:t>1</w:t>
            </w:r>
            <w:r>
              <w:rPr>
                <w:sz w:val="24"/>
                <w:szCs w:val="24"/>
                <w:lang w:val="lt-LT"/>
              </w:rPr>
              <w:t>.</w:t>
            </w:r>
            <w:r w:rsidRPr="00385C14">
              <w:rPr>
                <w:sz w:val="24"/>
                <w:szCs w:val="24"/>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3D04D97D" w:rsidR="000D6796" w:rsidRPr="00385C14" w:rsidRDefault="000D6796" w:rsidP="000D6796">
            <w:pPr>
              <w:ind w:firstLine="567"/>
              <w:jc w:val="both"/>
              <w:rPr>
                <w:sz w:val="24"/>
                <w:szCs w:val="24"/>
                <w:lang w:val="lt-LT"/>
              </w:rPr>
            </w:pPr>
            <w:r>
              <w:rPr>
                <w:sz w:val="24"/>
                <w:szCs w:val="24"/>
                <w:lang w:val="lt-LT"/>
              </w:rPr>
              <w:t>1</w:t>
            </w:r>
            <w:r w:rsidR="0075735D">
              <w:rPr>
                <w:sz w:val="24"/>
                <w:szCs w:val="24"/>
                <w:lang w:val="lt-LT"/>
              </w:rPr>
              <w:t>1</w:t>
            </w:r>
            <w:r>
              <w:rPr>
                <w:sz w:val="24"/>
                <w:szCs w:val="24"/>
                <w:lang w:val="lt-LT"/>
              </w:rPr>
              <w:t>.</w:t>
            </w:r>
            <w:r w:rsidRPr="00385C14">
              <w:rPr>
                <w:sz w:val="24"/>
                <w:szCs w:val="24"/>
                <w:lang w:val="lt-LT"/>
              </w:rPr>
              <w:t xml:space="preserve">3. paviršiams dengti naudojamuose produktuose: neturi būti pavojingų cheminių medžiagų, klasifikuojamų priskiriant bet kurią iš nurodytų pavojingumo frazę pagal Reglamentą (EB) Nr. 1272/2008: kancerogeninės (H350, H350i, H351), sukeliančios paveldimus genetinius defektus (H340, </w:t>
            </w:r>
            <w:r w:rsidRPr="00385C14">
              <w:rPr>
                <w:sz w:val="24"/>
                <w:szCs w:val="24"/>
                <w:lang w:val="lt-LT"/>
              </w:rPr>
              <w:lastRenderedPageBreak/>
              <w:t>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0AD05DFE" w:rsidR="000D6796" w:rsidRPr="00385C14" w:rsidRDefault="000D6796" w:rsidP="000D6796">
            <w:pPr>
              <w:tabs>
                <w:tab w:val="left" w:pos="851"/>
              </w:tabs>
              <w:ind w:firstLine="567"/>
              <w:jc w:val="both"/>
              <w:rPr>
                <w:b/>
                <w:sz w:val="24"/>
                <w:szCs w:val="24"/>
                <w:lang w:val="lt-LT"/>
              </w:rPr>
            </w:pPr>
            <w:r>
              <w:rPr>
                <w:sz w:val="24"/>
                <w:szCs w:val="24"/>
                <w:lang w:val="lt-LT"/>
              </w:rPr>
              <w:t>1</w:t>
            </w:r>
            <w:r w:rsidR="0075735D">
              <w:rPr>
                <w:sz w:val="24"/>
                <w:szCs w:val="24"/>
                <w:lang w:val="lt-LT"/>
              </w:rPr>
              <w:t>2</w:t>
            </w:r>
            <w:r w:rsidRPr="00385C14">
              <w:rPr>
                <w:sz w:val="24"/>
                <w:szCs w:val="24"/>
                <w:lang w:val="lt-LT"/>
              </w:rPr>
              <w:t>.</w:t>
            </w:r>
            <w:r w:rsidRPr="00385C14">
              <w:rPr>
                <w:sz w:val="24"/>
                <w:szCs w:val="24"/>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43292E" w:rsidRPr="009D37A4" w14:paraId="05EDD002" w14:textId="6011FEA0" w:rsidTr="005D4FA1">
        <w:trPr>
          <w:trHeight w:val="532"/>
        </w:trPr>
        <w:tc>
          <w:tcPr>
            <w:tcW w:w="14778" w:type="dxa"/>
            <w:gridSpan w:val="9"/>
            <w:vAlign w:val="center"/>
          </w:tcPr>
          <w:p w14:paraId="2D623444" w14:textId="758DF8A4" w:rsidR="0043292E" w:rsidRPr="00EE37B7" w:rsidRDefault="0043292E" w:rsidP="005D4FA1">
            <w:pPr>
              <w:ind w:right="9"/>
              <w:jc w:val="center"/>
              <w:rPr>
                <w:b/>
                <w:bCs/>
                <w:lang w:val="lt-LT"/>
              </w:rPr>
            </w:pPr>
            <w:r w:rsidRPr="00EE37B7">
              <w:rPr>
                <w:b/>
                <w:bCs/>
                <w:sz w:val="24"/>
                <w:szCs w:val="24"/>
                <w:lang w:val="lt-LT"/>
              </w:rPr>
              <w:lastRenderedPageBreak/>
              <w:t>ŠEIMOS GYDYTOJŲ KABINETŲ BALDAI:</w:t>
            </w:r>
          </w:p>
        </w:tc>
      </w:tr>
      <w:tr w:rsidR="0075735D" w:rsidRPr="00B64624" w14:paraId="5C2B08D9" w14:textId="2B7BDD03" w:rsidTr="0075735D">
        <w:trPr>
          <w:trHeight w:val="532"/>
        </w:trPr>
        <w:tc>
          <w:tcPr>
            <w:tcW w:w="391" w:type="dxa"/>
            <w:vAlign w:val="center"/>
          </w:tcPr>
          <w:p w14:paraId="0F51845E" w14:textId="77777777" w:rsidR="0075735D" w:rsidRPr="00EE37B7" w:rsidRDefault="0075735D" w:rsidP="005D4FA1">
            <w:pPr>
              <w:ind w:right="7"/>
              <w:jc w:val="center"/>
              <w:rPr>
                <w:sz w:val="24"/>
                <w:szCs w:val="24"/>
                <w:lang w:val="lt-LT"/>
              </w:rPr>
            </w:pPr>
            <w:r w:rsidRPr="00EE37B7">
              <w:rPr>
                <w:sz w:val="24"/>
                <w:szCs w:val="24"/>
                <w:lang w:val="lt-LT"/>
              </w:rPr>
              <w:t>Nr.</w:t>
            </w:r>
          </w:p>
        </w:tc>
        <w:tc>
          <w:tcPr>
            <w:tcW w:w="2197" w:type="dxa"/>
            <w:vAlign w:val="center"/>
          </w:tcPr>
          <w:p w14:paraId="454FC0FF" w14:textId="77777777" w:rsidR="0075735D" w:rsidRPr="00EE37B7" w:rsidRDefault="0075735D" w:rsidP="005D4FA1">
            <w:pPr>
              <w:jc w:val="center"/>
              <w:rPr>
                <w:sz w:val="24"/>
                <w:szCs w:val="24"/>
                <w:lang w:val="lt-LT"/>
              </w:rPr>
            </w:pPr>
            <w:r w:rsidRPr="00EE37B7">
              <w:rPr>
                <w:sz w:val="24"/>
                <w:szCs w:val="24"/>
                <w:lang w:val="lt-LT"/>
              </w:rPr>
              <w:t>Pavadinimas</w:t>
            </w:r>
          </w:p>
        </w:tc>
        <w:tc>
          <w:tcPr>
            <w:tcW w:w="3827" w:type="dxa"/>
            <w:vAlign w:val="center"/>
          </w:tcPr>
          <w:p w14:paraId="1FABCEFB" w14:textId="77777777" w:rsidR="0075735D" w:rsidRPr="00EE37B7" w:rsidRDefault="0075735D" w:rsidP="005D4FA1">
            <w:pPr>
              <w:jc w:val="center"/>
              <w:rPr>
                <w:sz w:val="24"/>
                <w:szCs w:val="24"/>
                <w:lang w:val="lt-LT"/>
              </w:rPr>
            </w:pPr>
            <w:r w:rsidRPr="00EE37B7">
              <w:rPr>
                <w:sz w:val="24"/>
                <w:szCs w:val="24"/>
                <w:lang w:val="lt-LT"/>
              </w:rPr>
              <w:t>Specifikacija</w:t>
            </w:r>
          </w:p>
        </w:tc>
        <w:tc>
          <w:tcPr>
            <w:tcW w:w="1134" w:type="dxa"/>
            <w:vAlign w:val="center"/>
          </w:tcPr>
          <w:p w14:paraId="41C75A4E" w14:textId="77777777" w:rsidR="0075735D" w:rsidRPr="00EE37B7" w:rsidRDefault="0075735D" w:rsidP="005D4FA1">
            <w:pPr>
              <w:ind w:right="9"/>
              <w:jc w:val="center"/>
              <w:rPr>
                <w:sz w:val="24"/>
                <w:szCs w:val="24"/>
                <w:lang w:val="lt-LT"/>
              </w:rPr>
            </w:pPr>
            <w:r w:rsidRPr="00EE37B7">
              <w:rPr>
                <w:sz w:val="24"/>
                <w:szCs w:val="24"/>
                <w:lang w:val="lt-LT"/>
              </w:rPr>
              <w:t>Kiekis</w:t>
            </w:r>
          </w:p>
          <w:p w14:paraId="1D302C95" w14:textId="00B5932E" w:rsidR="0075735D" w:rsidRPr="00EE37B7" w:rsidRDefault="0075735D" w:rsidP="005D4FA1">
            <w:pPr>
              <w:ind w:right="9"/>
              <w:jc w:val="center"/>
              <w:rPr>
                <w:sz w:val="24"/>
                <w:szCs w:val="24"/>
                <w:lang w:val="lt-LT"/>
              </w:rPr>
            </w:pPr>
            <w:r w:rsidRPr="00EE37B7">
              <w:rPr>
                <w:sz w:val="24"/>
                <w:szCs w:val="24"/>
                <w:lang w:val="lt-LT"/>
              </w:rPr>
              <w:t>vnt.</w:t>
            </w:r>
          </w:p>
        </w:tc>
        <w:tc>
          <w:tcPr>
            <w:tcW w:w="992" w:type="dxa"/>
          </w:tcPr>
          <w:p w14:paraId="0F551510" w14:textId="50321AAC" w:rsidR="0075735D" w:rsidRPr="00EE37B7" w:rsidRDefault="0075735D" w:rsidP="005D4FA1">
            <w:pPr>
              <w:ind w:right="9"/>
              <w:jc w:val="center"/>
              <w:rPr>
                <w:lang w:val="lt-LT"/>
              </w:rPr>
            </w:pPr>
            <w:r w:rsidRPr="00EE37B7">
              <w:rPr>
                <w:lang w:val="lt-LT"/>
              </w:rPr>
              <w:t>Mato vnt. kaina Eur be PVM</w:t>
            </w:r>
          </w:p>
        </w:tc>
        <w:tc>
          <w:tcPr>
            <w:tcW w:w="1134" w:type="dxa"/>
          </w:tcPr>
          <w:p w14:paraId="061DE0A0" w14:textId="7A55DA8C" w:rsidR="0075735D" w:rsidRPr="00EE37B7" w:rsidRDefault="0075735D" w:rsidP="005D4FA1">
            <w:pPr>
              <w:ind w:right="9"/>
              <w:jc w:val="center"/>
              <w:rPr>
                <w:lang w:val="lt-LT"/>
              </w:rPr>
            </w:pPr>
            <w:r w:rsidRPr="00EE37B7">
              <w:rPr>
                <w:lang w:val="lt-LT"/>
              </w:rPr>
              <w:t>Mato vnt. kaina Eur su PVM</w:t>
            </w:r>
          </w:p>
        </w:tc>
        <w:tc>
          <w:tcPr>
            <w:tcW w:w="1276" w:type="dxa"/>
          </w:tcPr>
          <w:p w14:paraId="14657239" w14:textId="77777777" w:rsidR="0075735D" w:rsidRDefault="0075735D" w:rsidP="005D4FA1">
            <w:pPr>
              <w:ind w:right="9"/>
              <w:jc w:val="center"/>
              <w:rPr>
                <w:lang w:val="lt-LT"/>
              </w:rPr>
            </w:pPr>
            <w:r w:rsidRPr="00EE37B7">
              <w:rPr>
                <w:lang w:val="lt-LT"/>
              </w:rPr>
              <w:t>Viso kiekio kaina Eur su PVM</w:t>
            </w:r>
          </w:p>
          <w:p w14:paraId="151FD292" w14:textId="12DBB3BA" w:rsidR="0075735D" w:rsidRPr="00EE37B7" w:rsidRDefault="0075735D" w:rsidP="005D4FA1">
            <w:pPr>
              <w:ind w:right="9"/>
              <w:jc w:val="center"/>
              <w:rPr>
                <w:lang w:val="lt-LT"/>
              </w:rPr>
            </w:pPr>
            <w:r>
              <w:rPr>
                <w:lang w:val="lt-LT"/>
              </w:rPr>
              <w:t>skaičiais</w:t>
            </w:r>
          </w:p>
        </w:tc>
        <w:tc>
          <w:tcPr>
            <w:tcW w:w="1276" w:type="dxa"/>
          </w:tcPr>
          <w:p w14:paraId="118A90D5" w14:textId="77777777" w:rsidR="0075735D" w:rsidRDefault="0075735D" w:rsidP="005D4FA1">
            <w:pPr>
              <w:ind w:right="9"/>
              <w:jc w:val="center"/>
              <w:rPr>
                <w:lang w:val="lt-LT"/>
              </w:rPr>
            </w:pPr>
            <w:r w:rsidRPr="0075735D">
              <w:rPr>
                <w:lang w:val="lt-LT"/>
              </w:rPr>
              <w:t>Viso kiekio kaina Eur su PVM</w:t>
            </w:r>
          </w:p>
          <w:p w14:paraId="19C7ED61" w14:textId="0BE2FFF1" w:rsidR="0075735D" w:rsidRPr="00EE37B7" w:rsidRDefault="0075735D" w:rsidP="005D4FA1">
            <w:pPr>
              <w:ind w:right="9"/>
              <w:jc w:val="center"/>
              <w:rPr>
                <w:lang w:val="lt-LT"/>
              </w:rPr>
            </w:pPr>
            <w:r>
              <w:rPr>
                <w:lang w:val="lt-LT"/>
              </w:rPr>
              <w:t>žodžiais</w:t>
            </w:r>
          </w:p>
        </w:tc>
        <w:tc>
          <w:tcPr>
            <w:tcW w:w="2551" w:type="dxa"/>
          </w:tcPr>
          <w:p w14:paraId="49DA7A6E" w14:textId="76E712C4" w:rsidR="0075735D" w:rsidRPr="00EE37B7" w:rsidRDefault="0075735D" w:rsidP="005D4FA1">
            <w:pPr>
              <w:ind w:right="9"/>
              <w:jc w:val="center"/>
              <w:rPr>
                <w:lang w:val="lt-LT"/>
              </w:rPr>
            </w:pPr>
            <w:r w:rsidRPr="00EE37B7">
              <w:rPr>
                <w:lang w:val="lt-LT"/>
              </w:rPr>
              <w:t>Tiekėjo nurodomos konkrečiai siūlomos prekės, parametrai, reikšmės</w:t>
            </w:r>
          </w:p>
        </w:tc>
      </w:tr>
      <w:tr w:rsidR="0075735D" w:rsidRPr="009D37A4" w14:paraId="2D742D66" w14:textId="5D97AC98" w:rsidTr="0075735D">
        <w:trPr>
          <w:trHeight w:val="532"/>
        </w:trPr>
        <w:tc>
          <w:tcPr>
            <w:tcW w:w="391" w:type="dxa"/>
          </w:tcPr>
          <w:p w14:paraId="79FF59ED" w14:textId="77777777" w:rsidR="0075735D" w:rsidRPr="00EE37B7" w:rsidRDefault="0075735D" w:rsidP="00C6738B">
            <w:pPr>
              <w:ind w:right="7"/>
              <w:jc w:val="center"/>
              <w:rPr>
                <w:sz w:val="24"/>
                <w:szCs w:val="24"/>
                <w:lang w:val="lt-LT"/>
              </w:rPr>
            </w:pPr>
            <w:r w:rsidRPr="00EE37B7">
              <w:rPr>
                <w:sz w:val="24"/>
                <w:szCs w:val="24"/>
                <w:lang w:val="lt-LT"/>
              </w:rPr>
              <w:t>1.</w:t>
            </w:r>
          </w:p>
        </w:tc>
        <w:tc>
          <w:tcPr>
            <w:tcW w:w="2197" w:type="dxa"/>
            <w:vAlign w:val="center"/>
          </w:tcPr>
          <w:p w14:paraId="5429C4EB" w14:textId="4FBFB9DE" w:rsidR="0075735D" w:rsidRPr="00EE37B7" w:rsidRDefault="00634E0D" w:rsidP="00C6738B">
            <w:pPr>
              <w:rPr>
                <w:sz w:val="24"/>
                <w:szCs w:val="24"/>
                <w:lang w:val="lt-LT"/>
              </w:rPr>
            </w:pPr>
            <w:r w:rsidRPr="00634E0D">
              <w:rPr>
                <w:sz w:val="24"/>
                <w:szCs w:val="24"/>
                <w:lang w:val="lt-LT"/>
              </w:rPr>
              <w:t>Laboratorijos baldai:</w:t>
            </w:r>
          </w:p>
        </w:tc>
        <w:tc>
          <w:tcPr>
            <w:tcW w:w="3827" w:type="dxa"/>
            <w:vAlign w:val="center"/>
          </w:tcPr>
          <w:p w14:paraId="46C360F1" w14:textId="60FA7F75" w:rsidR="0075735D" w:rsidRPr="00C6738B" w:rsidRDefault="0075735D" w:rsidP="00C6738B">
            <w:pPr>
              <w:rPr>
                <w:sz w:val="24"/>
                <w:szCs w:val="24"/>
                <w:lang w:val="lt-LT"/>
              </w:rPr>
            </w:pPr>
          </w:p>
        </w:tc>
        <w:tc>
          <w:tcPr>
            <w:tcW w:w="1134" w:type="dxa"/>
            <w:vAlign w:val="center"/>
          </w:tcPr>
          <w:p w14:paraId="506AD4D7" w14:textId="78AB5C22" w:rsidR="0075735D" w:rsidRPr="009D37A4" w:rsidRDefault="0075735D" w:rsidP="00C6738B">
            <w:pPr>
              <w:ind w:right="9"/>
              <w:jc w:val="center"/>
              <w:rPr>
                <w:sz w:val="24"/>
                <w:szCs w:val="24"/>
              </w:rPr>
            </w:pPr>
          </w:p>
        </w:tc>
        <w:tc>
          <w:tcPr>
            <w:tcW w:w="992" w:type="dxa"/>
          </w:tcPr>
          <w:p w14:paraId="32817B97" w14:textId="77777777" w:rsidR="0075735D" w:rsidRPr="009D37A4" w:rsidRDefault="0075735D" w:rsidP="00C6738B">
            <w:pPr>
              <w:ind w:right="9"/>
              <w:jc w:val="center"/>
            </w:pPr>
          </w:p>
        </w:tc>
        <w:tc>
          <w:tcPr>
            <w:tcW w:w="1134" w:type="dxa"/>
          </w:tcPr>
          <w:p w14:paraId="6707A6F3" w14:textId="77777777" w:rsidR="0075735D" w:rsidRPr="009D37A4" w:rsidRDefault="0075735D" w:rsidP="00C6738B">
            <w:pPr>
              <w:ind w:right="9"/>
              <w:jc w:val="center"/>
            </w:pPr>
          </w:p>
        </w:tc>
        <w:tc>
          <w:tcPr>
            <w:tcW w:w="1276" w:type="dxa"/>
          </w:tcPr>
          <w:p w14:paraId="5A5DC33F" w14:textId="77777777" w:rsidR="0075735D" w:rsidRPr="009D37A4" w:rsidRDefault="0075735D" w:rsidP="00C6738B">
            <w:pPr>
              <w:ind w:right="9"/>
              <w:jc w:val="center"/>
            </w:pPr>
          </w:p>
        </w:tc>
        <w:tc>
          <w:tcPr>
            <w:tcW w:w="1276" w:type="dxa"/>
          </w:tcPr>
          <w:p w14:paraId="3C511B97" w14:textId="77777777" w:rsidR="0075735D" w:rsidRPr="009D37A4" w:rsidRDefault="0075735D" w:rsidP="00C6738B">
            <w:pPr>
              <w:ind w:right="9"/>
              <w:jc w:val="center"/>
            </w:pPr>
          </w:p>
        </w:tc>
        <w:tc>
          <w:tcPr>
            <w:tcW w:w="2551" w:type="dxa"/>
          </w:tcPr>
          <w:p w14:paraId="1EC52CDF" w14:textId="14B34455" w:rsidR="0075735D" w:rsidRPr="009D37A4" w:rsidRDefault="0075735D" w:rsidP="00C6738B">
            <w:pPr>
              <w:ind w:right="9"/>
              <w:jc w:val="center"/>
            </w:pPr>
          </w:p>
        </w:tc>
      </w:tr>
      <w:tr w:rsidR="00634E0D" w:rsidRPr="009D37A4" w14:paraId="1FACEB53" w14:textId="77777777" w:rsidTr="0088153B">
        <w:trPr>
          <w:trHeight w:val="532"/>
        </w:trPr>
        <w:tc>
          <w:tcPr>
            <w:tcW w:w="391" w:type="dxa"/>
          </w:tcPr>
          <w:p w14:paraId="2B79B644" w14:textId="445E63AB" w:rsidR="00634E0D" w:rsidRPr="00EE37B7" w:rsidRDefault="00634E0D" w:rsidP="00634E0D">
            <w:pPr>
              <w:ind w:right="7"/>
              <w:jc w:val="center"/>
              <w:rPr>
                <w:lang w:val="lt-LT"/>
              </w:rPr>
            </w:pPr>
            <w:r>
              <w:rPr>
                <w:lang w:val="lt-LT"/>
              </w:rPr>
              <w:t>1.1</w:t>
            </w:r>
          </w:p>
        </w:tc>
        <w:tc>
          <w:tcPr>
            <w:tcW w:w="2197" w:type="dxa"/>
            <w:vAlign w:val="center"/>
          </w:tcPr>
          <w:p w14:paraId="7752156F" w14:textId="29D82BEF" w:rsidR="00634E0D" w:rsidRPr="00EE37B7" w:rsidRDefault="00634E0D" w:rsidP="00634E0D">
            <w:pPr>
              <w:rPr>
                <w:lang w:val="lt-LT"/>
              </w:rPr>
            </w:pPr>
            <w:r w:rsidRPr="009D37A4">
              <w:rPr>
                <w:sz w:val="24"/>
                <w:szCs w:val="24"/>
              </w:rPr>
              <w:t>Darbo stalas iš 4 dalių</w:t>
            </w:r>
          </w:p>
        </w:tc>
        <w:tc>
          <w:tcPr>
            <w:tcW w:w="3827" w:type="dxa"/>
          </w:tcPr>
          <w:p w14:paraId="230D2F26" w14:textId="651A3834" w:rsidR="00634E0D" w:rsidRPr="00634E0D" w:rsidRDefault="00634E0D" w:rsidP="00634E0D">
            <w:pPr>
              <w:rPr>
                <w:lang w:val="lt-LT"/>
              </w:rPr>
            </w:pPr>
            <w:r w:rsidRPr="00634E0D">
              <w:rPr>
                <w:sz w:val="24"/>
                <w:szCs w:val="24"/>
                <w:lang w:val="lt-LT"/>
              </w:rPr>
              <w:t xml:space="preserve">Matmenys: 5900x700xH750 mm. Stalviršis gaminamas iš ne plonesnės nei 25 mm laminuotos medžio drožlių arba lygiavertės plokštės, Briaunos laminuotos ne plonesne nei 2 mm PVC/ABS briauna. Pageidautina spalva 1366 akmuo pilkas grigio frisia ar lygiavertė. Stalas su metaliniu rėmu, kojos šonuose sujungtos horizontaliai viršuje ir apačioje, po stalu kojas jungia metalo stygos, o ties viduriu vertikaliai ne mažiau viena koja dėl tvirtumo. Stale yra ne mažiau kaip 4 vnt. atlenkiami dangteliai laidų pravedimui matmenys 160x80mm, po stalviršiu ne mažiau kaip du L-800mm metaliniai kanalai laidams. Baldas su reguliuojamomis kojelėmis grindų nelygumams pašalinti, tvirtas ir stabilus. Baldo konstrukciniai brėžiniai </w:t>
            </w:r>
            <w:r w:rsidRPr="00634E0D">
              <w:rPr>
                <w:sz w:val="24"/>
                <w:szCs w:val="24"/>
                <w:lang w:val="lt-LT"/>
              </w:rPr>
              <w:lastRenderedPageBreak/>
              <w:t>pateikti atskirame priede.</w:t>
            </w:r>
          </w:p>
        </w:tc>
        <w:tc>
          <w:tcPr>
            <w:tcW w:w="1134" w:type="dxa"/>
            <w:vAlign w:val="center"/>
          </w:tcPr>
          <w:p w14:paraId="4BD686F7" w14:textId="39EB0E90" w:rsidR="00634E0D" w:rsidRPr="009D37A4" w:rsidRDefault="00634E0D" w:rsidP="00634E0D">
            <w:pPr>
              <w:ind w:right="9"/>
              <w:jc w:val="center"/>
            </w:pPr>
            <w:r w:rsidRPr="009D37A4">
              <w:rPr>
                <w:sz w:val="24"/>
                <w:szCs w:val="24"/>
              </w:rPr>
              <w:lastRenderedPageBreak/>
              <w:t>1</w:t>
            </w:r>
          </w:p>
        </w:tc>
        <w:tc>
          <w:tcPr>
            <w:tcW w:w="992" w:type="dxa"/>
          </w:tcPr>
          <w:p w14:paraId="00049A7C" w14:textId="77777777" w:rsidR="00634E0D" w:rsidRPr="009D37A4" w:rsidRDefault="00634E0D" w:rsidP="00634E0D">
            <w:pPr>
              <w:ind w:right="9"/>
              <w:jc w:val="center"/>
            </w:pPr>
          </w:p>
        </w:tc>
        <w:tc>
          <w:tcPr>
            <w:tcW w:w="1134" w:type="dxa"/>
          </w:tcPr>
          <w:p w14:paraId="4BA737FA" w14:textId="77777777" w:rsidR="00634E0D" w:rsidRPr="009D37A4" w:rsidRDefault="00634E0D" w:rsidP="00634E0D">
            <w:pPr>
              <w:ind w:right="9"/>
              <w:jc w:val="center"/>
            </w:pPr>
          </w:p>
        </w:tc>
        <w:tc>
          <w:tcPr>
            <w:tcW w:w="1276" w:type="dxa"/>
          </w:tcPr>
          <w:p w14:paraId="691B3CBF" w14:textId="77777777" w:rsidR="00634E0D" w:rsidRPr="009D37A4" w:rsidRDefault="00634E0D" w:rsidP="00634E0D">
            <w:pPr>
              <w:ind w:right="9"/>
              <w:jc w:val="center"/>
            </w:pPr>
          </w:p>
        </w:tc>
        <w:tc>
          <w:tcPr>
            <w:tcW w:w="1276" w:type="dxa"/>
          </w:tcPr>
          <w:p w14:paraId="54F66BAA" w14:textId="77777777" w:rsidR="00634E0D" w:rsidRPr="009D37A4" w:rsidRDefault="00634E0D" w:rsidP="00634E0D">
            <w:pPr>
              <w:ind w:right="9"/>
              <w:jc w:val="center"/>
            </w:pPr>
          </w:p>
        </w:tc>
        <w:tc>
          <w:tcPr>
            <w:tcW w:w="2551" w:type="dxa"/>
          </w:tcPr>
          <w:p w14:paraId="0C8D3167" w14:textId="77777777" w:rsidR="00634E0D" w:rsidRPr="009D37A4" w:rsidRDefault="00634E0D" w:rsidP="00634E0D">
            <w:pPr>
              <w:ind w:right="9"/>
              <w:jc w:val="center"/>
            </w:pPr>
          </w:p>
        </w:tc>
      </w:tr>
      <w:tr w:rsidR="00634E0D" w:rsidRPr="009D37A4" w14:paraId="73E21A25" w14:textId="77777777" w:rsidTr="0088153B">
        <w:trPr>
          <w:trHeight w:val="532"/>
        </w:trPr>
        <w:tc>
          <w:tcPr>
            <w:tcW w:w="391" w:type="dxa"/>
          </w:tcPr>
          <w:p w14:paraId="4E03D963" w14:textId="74226771" w:rsidR="00634E0D" w:rsidRPr="00EE37B7" w:rsidRDefault="00634E0D" w:rsidP="00634E0D">
            <w:pPr>
              <w:ind w:right="7"/>
              <w:jc w:val="center"/>
              <w:rPr>
                <w:lang w:val="lt-LT"/>
              </w:rPr>
            </w:pPr>
            <w:r>
              <w:rPr>
                <w:lang w:val="lt-LT"/>
              </w:rPr>
              <w:lastRenderedPageBreak/>
              <w:t>1.2</w:t>
            </w:r>
          </w:p>
        </w:tc>
        <w:tc>
          <w:tcPr>
            <w:tcW w:w="2197" w:type="dxa"/>
            <w:vAlign w:val="center"/>
          </w:tcPr>
          <w:p w14:paraId="04B78E1A" w14:textId="099A84D4" w:rsidR="00634E0D" w:rsidRPr="00EE37B7" w:rsidRDefault="00634E0D" w:rsidP="00634E0D">
            <w:pPr>
              <w:rPr>
                <w:lang w:val="lt-LT"/>
              </w:rPr>
            </w:pPr>
            <w:r w:rsidRPr="009D37A4">
              <w:rPr>
                <w:sz w:val="24"/>
                <w:szCs w:val="24"/>
              </w:rPr>
              <w:t>Spinta laboratorijai</w:t>
            </w:r>
          </w:p>
        </w:tc>
        <w:tc>
          <w:tcPr>
            <w:tcW w:w="3827" w:type="dxa"/>
          </w:tcPr>
          <w:p w14:paraId="10D322DC" w14:textId="07E67CAE" w:rsidR="00634E0D" w:rsidRPr="00634E0D" w:rsidRDefault="00634E0D" w:rsidP="00634E0D">
            <w:pPr>
              <w:rPr>
                <w:lang w:val="lt-LT"/>
              </w:rPr>
            </w:pPr>
            <w:r w:rsidRPr="00634E0D">
              <w:rPr>
                <w:sz w:val="24"/>
                <w:szCs w:val="24"/>
                <w:lang w:val="lt-LT"/>
              </w:rPr>
              <w:t>Matmenys: 1200x600xH860 mm. Gaminama iš ne plonesnės nei 18 mm laminuotos medžio drožlių arba lygiavertės plokštės, stalviršis iš ne plonesnės nei 38 mm aukšto slėgio laminatu dengtos drožlių plokštės. Matomos briaunos laminuotos ne plonesne nei 2 mm PVC/ABS briauna, kitos – 1 mm PVC/ABS briauna. Spintelė su trimis uždarais skyriais, kuriuose po vieną reguliuojamo aukščio lentyną. Durelių rankenėlės metalinio profilio, žingsnis ne mažesnis nei 128 mm, spalvų pasirinkimas ne mažiau 3 variantai, lankstai švelnaus uždarymo BLUM ar lygiaverčiai. Baldas su reguliuojamomis kojelėmis grindų nelygumams pašalinti, tvirtas ir stabilus. Baldo konstrukciniai brėžiniai pateikti atskirame priede.</w:t>
            </w:r>
          </w:p>
        </w:tc>
        <w:tc>
          <w:tcPr>
            <w:tcW w:w="1134" w:type="dxa"/>
            <w:vAlign w:val="center"/>
          </w:tcPr>
          <w:p w14:paraId="0EED1A3B" w14:textId="3049D383" w:rsidR="00634E0D" w:rsidRPr="009D37A4" w:rsidRDefault="00634E0D" w:rsidP="00634E0D">
            <w:pPr>
              <w:ind w:right="9"/>
              <w:jc w:val="center"/>
            </w:pPr>
            <w:r w:rsidRPr="009D37A4">
              <w:rPr>
                <w:sz w:val="24"/>
                <w:szCs w:val="24"/>
              </w:rPr>
              <w:t>3</w:t>
            </w:r>
          </w:p>
        </w:tc>
        <w:tc>
          <w:tcPr>
            <w:tcW w:w="992" w:type="dxa"/>
          </w:tcPr>
          <w:p w14:paraId="391407C6" w14:textId="77777777" w:rsidR="00634E0D" w:rsidRPr="009D37A4" w:rsidRDefault="00634E0D" w:rsidP="00634E0D">
            <w:pPr>
              <w:ind w:right="9"/>
              <w:jc w:val="center"/>
            </w:pPr>
          </w:p>
        </w:tc>
        <w:tc>
          <w:tcPr>
            <w:tcW w:w="1134" w:type="dxa"/>
          </w:tcPr>
          <w:p w14:paraId="507B1590" w14:textId="77777777" w:rsidR="00634E0D" w:rsidRPr="009D37A4" w:rsidRDefault="00634E0D" w:rsidP="00634E0D">
            <w:pPr>
              <w:ind w:right="9"/>
              <w:jc w:val="center"/>
            </w:pPr>
          </w:p>
        </w:tc>
        <w:tc>
          <w:tcPr>
            <w:tcW w:w="1276" w:type="dxa"/>
          </w:tcPr>
          <w:p w14:paraId="1CF71EF7" w14:textId="77777777" w:rsidR="00634E0D" w:rsidRPr="009D37A4" w:rsidRDefault="00634E0D" w:rsidP="00634E0D">
            <w:pPr>
              <w:ind w:right="9"/>
              <w:jc w:val="center"/>
            </w:pPr>
          </w:p>
        </w:tc>
        <w:tc>
          <w:tcPr>
            <w:tcW w:w="1276" w:type="dxa"/>
          </w:tcPr>
          <w:p w14:paraId="4F6BA18D" w14:textId="77777777" w:rsidR="00634E0D" w:rsidRPr="009D37A4" w:rsidRDefault="00634E0D" w:rsidP="00634E0D">
            <w:pPr>
              <w:ind w:right="9"/>
              <w:jc w:val="center"/>
            </w:pPr>
          </w:p>
        </w:tc>
        <w:tc>
          <w:tcPr>
            <w:tcW w:w="2551" w:type="dxa"/>
          </w:tcPr>
          <w:p w14:paraId="6F21846C" w14:textId="77777777" w:rsidR="00634E0D" w:rsidRPr="009D37A4" w:rsidRDefault="00634E0D" w:rsidP="00634E0D">
            <w:pPr>
              <w:ind w:right="9"/>
              <w:jc w:val="center"/>
            </w:pPr>
          </w:p>
        </w:tc>
      </w:tr>
      <w:tr w:rsidR="00634E0D" w:rsidRPr="0075735D" w14:paraId="5565FB16" w14:textId="77777777" w:rsidTr="00021A20">
        <w:trPr>
          <w:trHeight w:val="532"/>
        </w:trPr>
        <w:tc>
          <w:tcPr>
            <w:tcW w:w="9675" w:type="dxa"/>
            <w:gridSpan w:val="6"/>
          </w:tcPr>
          <w:p w14:paraId="11E9AAA5" w14:textId="36CE430B" w:rsidR="00634E0D" w:rsidRPr="00634E0D" w:rsidRDefault="00634E0D" w:rsidP="00634E0D">
            <w:pPr>
              <w:ind w:right="9"/>
              <w:jc w:val="right"/>
              <w:rPr>
                <w:lang w:val="lt-LT"/>
              </w:rPr>
            </w:pPr>
            <w:r w:rsidRPr="00634E0D">
              <w:rPr>
                <w:lang w:val="lt-LT"/>
              </w:rPr>
              <w:t>Viso 1 dalies pasiūlymo kaina Eur su PVM:</w:t>
            </w:r>
          </w:p>
        </w:tc>
        <w:tc>
          <w:tcPr>
            <w:tcW w:w="1276" w:type="dxa"/>
          </w:tcPr>
          <w:p w14:paraId="4C442D52" w14:textId="77777777" w:rsidR="00634E0D" w:rsidRPr="0075735D" w:rsidRDefault="00634E0D" w:rsidP="00634E0D">
            <w:pPr>
              <w:ind w:right="9"/>
              <w:jc w:val="center"/>
              <w:rPr>
                <w:lang w:val="en-US"/>
              </w:rPr>
            </w:pPr>
          </w:p>
        </w:tc>
        <w:tc>
          <w:tcPr>
            <w:tcW w:w="1276" w:type="dxa"/>
          </w:tcPr>
          <w:p w14:paraId="6E8B7129" w14:textId="77777777" w:rsidR="00634E0D" w:rsidRPr="0075735D" w:rsidRDefault="00634E0D" w:rsidP="00634E0D">
            <w:pPr>
              <w:ind w:right="9"/>
              <w:jc w:val="center"/>
              <w:rPr>
                <w:lang w:val="en-US"/>
              </w:rPr>
            </w:pPr>
          </w:p>
        </w:tc>
        <w:tc>
          <w:tcPr>
            <w:tcW w:w="2551" w:type="dxa"/>
          </w:tcPr>
          <w:p w14:paraId="768131F2" w14:textId="77777777" w:rsidR="00634E0D" w:rsidRPr="0075735D" w:rsidRDefault="00634E0D" w:rsidP="00634E0D">
            <w:pPr>
              <w:ind w:right="9"/>
              <w:jc w:val="center"/>
              <w:rPr>
                <w:lang w:val="en-US"/>
              </w:rPr>
            </w:pPr>
          </w:p>
        </w:tc>
      </w:tr>
      <w:tr w:rsidR="00634E0D" w:rsidRPr="009D37A4" w14:paraId="1375CBC3" w14:textId="0D571ED6" w:rsidTr="000A34C8">
        <w:tblPrEx>
          <w:tblCellMar>
            <w:top w:w="31" w:type="dxa"/>
            <w:left w:w="26" w:type="dxa"/>
          </w:tblCellMar>
        </w:tblPrEx>
        <w:trPr>
          <w:trHeight w:val="532"/>
        </w:trPr>
        <w:tc>
          <w:tcPr>
            <w:tcW w:w="391" w:type="dxa"/>
            <w:vAlign w:val="center"/>
          </w:tcPr>
          <w:p w14:paraId="5CFE6E1B" w14:textId="77777777" w:rsidR="00634E0D" w:rsidRPr="00EE37B7" w:rsidRDefault="00634E0D" w:rsidP="00634E0D">
            <w:pPr>
              <w:ind w:right="7"/>
              <w:jc w:val="center"/>
              <w:rPr>
                <w:sz w:val="24"/>
                <w:szCs w:val="24"/>
                <w:lang w:val="lt-LT"/>
              </w:rPr>
            </w:pPr>
            <w:r w:rsidRPr="00EE37B7">
              <w:rPr>
                <w:sz w:val="24"/>
                <w:szCs w:val="24"/>
                <w:lang w:val="lt-LT"/>
              </w:rPr>
              <w:t>2.</w:t>
            </w:r>
          </w:p>
        </w:tc>
        <w:tc>
          <w:tcPr>
            <w:tcW w:w="2197" w:type="dxa"/>
            <w:vAlign w:val="center"/>
          </w:tcPr>
          <w:p w14:paraId="27D2E9A9" w14:textId="29D1E697" w:rsidR="00634E0D" w:rsidRPr="00EE37B7" w:rsidRDefault="00634E0D" w:rsidP="00634E0D">
            <w:pPr>
              <w:rPr>
                <w:sz w:val="24"/>
                <w:szCs w:val="24"/>
                <w:lang w:val="lt-LT"/>
              </w:rPr>
            </w:pPr>
            <w:r w:rsidRPr="009D37A4">
              <w:rPr>
                <w:sz w:val="24"/>
                <w:szCs w:val="24"/>
              </w:rPr>
              <w:t>Mobili medicininė spintelė</w:t>
            </w:r>
          </w:p>
        </w:tc>
        <w:tc>
          <w:tcPr>
            <w:tcW w:w="3827" w:type="dxa"/>
          </w:tcPr>
          <w:p w14:paraId="7487FD87" w14:textId="77777777" w:rsidR="00634E0D" w:rsidRPr="00634E0D" w:rsidRDefault="00634E0D" w:rsidP="00634E0D">
            <w:pPr>
              <w:rPr>
                <w:sz w:val="24"/>
                <w:szCs w:val="24"/>
                <w:lang w:val="lt-LT"/>
              </w:rPr>
            </w:pPr>
            <w:r w:rsidRPr="00634E0D">
              <w:rPr>
                <w:sz w:val="24"/>
                <w:szCs w:val="24"/>
                <w:lang w:val="lt-LT"/>
              </w:rPr>
              <w:t xml:space="preserve">Matmenys: 710x421x785 mm. Viršutinės lentynos paviršiaus matmenys: apie 580 x 420 mm. Apatinės dalies (apatinės lentynos / skyrelio) dydis: apie 560x400 mm. Stalčius: Išorinis stalčiaus dydis pritaikytas pagal baldo korpusą, tačiau stalčiaus aukštis neturėtų būti mažesnis nei 337 mm. (preliminarūs stalčiaus </w:t>
            </w:r>
            <w:r w:rsidRPr="00634E0D">
              <w:rPr>
                <w:sz w:val="24"/>
                <w:szCs w:val="24"/>
                <w:lang w:val="lt-LT"/>
              </w:rPr>
              <w:lastRenderedPageBreak/>
              <w:t>išmatavimai 521 x 337 x 146 mm). Stalčius turi būti lengvai ištraukiamas ir stabiliai laikytis savo vagoje.</w:t>
            </w:r>
          </w:p>
          <w:p w14:paraId="2016199C" w14:textId="77777777" w:rsidR="00634E0D" w:rsidRPr="00634E0D" w:rsidRDefault="00634E0D" w:rsidP="00634E0D">
            <w:pPr>
              <w:rPr>
                <w:sz w:val="24"/>
                <w:szCs w:val="24"/>
                <w:lang w:val="lt-LT"/>
              </w:rPr>
            </w:pPr>
            <w:r w:rsidRPr="00634E0D">
              <w:rPr>
                <w:sz w:val="24"/>
                <w:szCs w:val="24"/>
                <w:lang w:val="lt-LT"/>
              </w:rPr>
              <w:t>Ratai: Ratai turi būti keturi (4 vnt.), 360° pasisukimo kampo. Ratų skersmuo – ne mažiau kaip 3 coliai. Medžiaga – guma nepaliekanti žymių (tinka tyliai riedėti) arba lygiavertė. Bent du ratai turi turėti stabdžius.</w:t>
            </w:r>
          </w:p>
          <w:p w14:paraId="615AC8CA" w14:textId="0AE12900" w:rsidR="00634E0D" w:rsidRPr="00634E0D" w:rsidRDefault="00634E0D" w:rsidP="00634E0D">
            <w:pPr>
              <w:rPr>
                <w:sz w:val="24"/>
                <w:szCs w:val="24"/>
                <w:lang w:val="lt-LT"/>
              </w:rPr>
            </w:pPr>
            <w:r w:rsidRPr="00634E0D">
              <w:rPr>
                <w:sz w:val="24"/>
                <w:szCs w:val="24"/>
                <w:lang w:val="lt-LT"/>
              </w:rPr>
              <w:t>Vežimėlis turi būti pagamintas iš nerūdijančio plieno. Konstrukcija turi būti tvirta, atspari korozijai ir lengvai valoma. Konstrukcijos metalo storis – ne mažiau kaip 0,6 mm (viršutinė danga) ir ne mažiau kaip 0,8 mm (rėmas). Vežimėlis turi atlaikyti ne mažiau kaip 100 kg bendro krūvio. Vežimėlis turi būti lengvai surenkamas, pridedant aiškią surinkimo instrukciją lietuvių arba anglų kalba. Baldo konstrukciniai brėžiniai pateikti atskirame priede.</w:t>
            </w:r>
          </w:p>
        </w:tc>
        <w:tc>
          <w:tcPr>
            <w:tcW w:w="1134" w:type="dxa"/>
            <w:vAlign w:val="center"/>
          </w:tcPr>
          <w:p w14:paraId="72D5E9C3" w14:textId="7AEEA8BB" w:rsidR="00634E0D" w:rsidRPr="009D37A4" w:rsidRDefault="00634E0D" w:rsidP="00634E0D">
            <w:pPr>
              <w:ind w:right="9"/>
              <w:jc w:val="center"/>
              <w:rPr>
                <w:sz w:val="24"/>
                <w:szCs w:val="24"/>
              </w:rPr>
            </w:pPr>
            <w:r>
              <w:rPr>
                <w:sz w:val="24"/>
                <w:szCs w:val="24"/>
              </w:rPr>
              <w:lastRenderedPageBreak/>
              <w:t>7</w:t>
            </w:r>
          </w:p>
        </w:tc>
        <w:tc>
          <w:tcPr>
            <w:tcW w:w="992" w:type="dxa"/>
          </w:tcPr>
          <w:p w14:paraId="3EBF2D6C" w14:textId="77777777" w:rsidR="00634E0D" w:rsidRPr="009D37A4" w:rsidRDefault="00634E0D" w:rsidP="00634E0D">
            <w:pPr>
              <w:ind w:right="9"/>
              <w:jc w:val="center"/>
            </w:pPr>
          </w:p>
        </w:tc>
        <w:tc>
          <w:tcPr>
            <w:tcW w:w="1134" w:type="dxa"/>
          </w:tcPr>
          <w:p w14:paraId="328424B7" w14:textId="77777777" w:rsidR="00634E0D" w:rsidRPr="009D37A4" w:rsidRDefault="00634E0D" w:rsidP="00634E0D">
            <w:pPr>
              <w:ind w:right="9"/>
              <w:jc w:val="center"/>
            </w:pPr>
          </w:p>
        </w:tc>
        <w:tc>
          <w:tcPr>
            <w:tcW w:w="1276" w:type="dxa"/>
          </w:tcPr>
          <w:p w14:paraId="6ACCF9F6" w14:textId="77777777" w:rsidR="00634E0D" w:rsidRPr="009D37A4" w:rsidRDefault="00634E0D" w:rsidP="00634E0D">
            <w:pPr>
              <w:ind w:right="9"/>
              <w:jc w:val="center"/>
            </w:pPr>
          </w:p>
        </w:tc>
        <w:tc>
          <w:tcPr>
            <w:tcW w:w="1276" w:type="dxa"/>
          </w:tcPr>
          <w:p w14:paraId="2414B310" w14:textId="77777777" w:rsidR="00634E0D" w:rsidRPr="009D37A4" w:rsidRDefault="00634E0D" w:rsidP="00634E0D">
            <w:pPr>
              <w:ind w:right="9"/>
              <w:jc w:val="center"/>
            </w:pPr>
          </w:p>
        </w:tc>
        <w:tc>
          <w:tcPr>
            <w:tcW w:w="2551" w:type="dxa"/>
          </w:tcPr>
          <w:p w14:paraId="6246B794" w14:textId="054ADD33" w:rsidR="00634E0D" w:rsidRPr="009D37A4" w:rsidRDefault="00634E0D" w:rsidP="00634E0D">
            <w:pPr>
              <w:ind w:right="9"/>
              <w:jc w:val="center"/>
            </w:pPr>
          </w:p>
        </w:tc>
      </w:tr>
      <w:tr w:rsidR="00634E0D" w:rsidRPr="009D37A4" w14:paraId="63F7D470" w14:textId="77777777" w:rsidTr="000A34C8">
        <w:tblPrEx>
          <w:tblCellMar>
            <w:top w:w="31" w:type="dxa"/>
            <w:left w:w="26" w:type="dxa"/>
          </w:tblCellMar>
        </w:tblPrEx>
        <w:trPr>
          <w:trHeight w:val="532"/>
        </w:trPr>
        <w:tc>
          <w:tcPr>
            <w:tcW w:w="391" w:type="dxa"/>
            <w:vAlign w:val="center"/>
          </w:tcPr>
          <w:p w14:paraId="18D1A1D0" w14:textId="359DB49D" w:rsidR="00634E0D" w:rsidRPr="00EE37B7" w:rsidRDefault="00634E0D" w:rsidP="00634E0D">
            <w:pPr>
              <w:ind w:right="7"/>
              <w:jc w:val="center"/>
              <w:rPr>
                <w:lang w:val="lt-LT"/>
              </w:rPr>
            </w:pPr>
            <w:r>
              <w:rPr>
                <w:lang w:val="lt-LT"/>
              </w:rPr>
              <w:lastRenderedPageBreak/>
              <w:t>3.</w:t>
            </w:r>
          </w:p>
        </w:tc>
        <w:tc>
          <w:tcPr>
            <w:tcW w:w="2197" w:type="dxa"/>
            <w:vAlign w:val="center"/>
          </w:tcPr>
          <w:p w14:paraId="3D395B11" w14:textId="30CC15EE" w:rsidR="00634E0D" w:rsidRPr="00EE37B7" w:rsidRDefault="00634E0D" w:rsidP="00634E0D">
            <w:pPr>
              <w:rPr>
                <w:lang w:val="lt-LT"/>
              </w:rPr>
            </w:pPr>
            <w:r w:rsidRPr="009D37A4">
              <w:rPr>
                <w:sz w:val="24"/>
                <w:szCs w:val="24"/>
              </w:rPr>
              <w:t>Kėdė</w:t>
            </w:r>
            <w:r>
              <w:rPr>
                <w:sz w:val="24"/>
                <w:szCs w:val="24"/>
              </w:rPr>
              <w:t>s</w:t>
            </w:r>
            <w:r w:rsidRPr="009D37A4">
              <w:rPr>
                <w:sz w:val="24"/>
                <w:szCs w:val="24"/>
              </w:rPr>
              <w:t xml:space="preserve"> pacientams</w:t>
            </w:r>
          </w:p>
        </w:tc>
        <w:tc>
          <w:tcPr>
            <w:tcW w:w="3827" w:type="dxa"/>
          </w:tcPr>
          <w:p w14:paraId="5C675EFC" w14:textId="20721904" w:rsidR="00634E0D" w:rsidRPr="00634E0D" w:rsidRDefault="00634E0D" w:rsidP="00634E0D">
            <w:pPr>
              <w:rPr>
                <w:lang w:val="lt-LT"/>
              </w:rPr>
            </w:pPr>
            <w:r w:rsidRPr="00634E0D">
              <w:rPr>
                <w:sz w:val="24"/>
                <w:szCs w:val="24"/>
                <w:lang w:val="lt-LT"/>
              </w:rPr>
              <w:t xml:space="preserve">Matmenys: 580x533xH850 mm (paklaida +- 10 mm). Kėdės atlošas, sėdimoji dalis, porankiai pagaminti iš plastiko ar lygiavertės medžiagos, plastikinių dalių pasirinkimas iš ne mažiau 5 spalvų įskaitant pilką. Kėdės rėmas uždaro kontūro apvalaus lenkto metalo vamzdžio D – 11 mm (paklaida +- 1 mm), dažyta milteliniu būdu. Pasirinkimas iš ne mažiau 5 spalvų įskaitant baltą, juodą, pilką. Prie kėdės komplektuojami porankiai, prie metalo </w:t>
            </w:r>
            <w:r w:rsidRPr="00634E0D">
              <w:rPr>
                <w:sz w:val="24"/>
                <w:szCs w:val="24"/>
                <w:lang w:val="lt-LT"/>
              </w:rPr>
              <w:lastRenderedPageBreak/>
              <w:t>rėmo turi būti komplektuojami padeliai, neleidžiantys rėmui braižyti grindų. Kėdė turi būti tvirta ir stabil</w:t>
            </w:r>
            <w:bookmarkStart w:id="10" w:name="_GoBack"/>
            <w:bookmarkEnd w:id="10"/>
            <w:r w:rsidRPr="00634E0D">
              <w:rPr>
                <w:sz w:val="24"/>
                <w:szCs w:val="24"/>
                <w:lang w:val="lt-LT"/>
              </w:rPr>
              <w:t>i. Baldo konstrukciniai brėžiniai pateikti atskirame priede.</w:t>
            </w:r>
          </w:p>
        </w:tc>
        <w:tc>
          <w:tcPr>
            <w:tcW w:w="1134" w:type="dxa"/>
            <w:vAlign w:val="center"/>
          </w:tcPr>
          <w:p w14:paraId="04B3D227" w14:textId="543661DA" w:rsidR="00634E0D" w:rsidRPr="009D37A4" w:rsidRDefault="00634E0D" w:rsidP="00634E0D">
            <w:pPr>
              <w:ind w:right="9"/>
              <w:jc w:val="center"/>
            </w:pPr>
            <w:r>
              <w:rPr>
                <w:sz w:val="24"/>
                <w:szCs w:val="24"/>
              </w:rPr>
              <w:lastRenderedPageBreak/>
              <w:t>14</w:t>
            </w:r>
          </w:p>
        </w:tc>
        <w:tc>
          <w:tcPr>
            <w:tcW w:w="992" w:type="dxa"/>
          </w:tcPr>
          <w:p w14:paraId="0191C52A" w14:textId="77777777" w:rsidR="00634E0D" w:rsidRPr="009D37A4" w:rsidRDefault="00634E0D" w:rsidP="00634E0D">
            <w:pPr>
              <w:ind w:right="9"/>
              <w:jc w:val="center"/>
            </w:pPr>
          </w:p>
        </w:tc>
        <w:tc>
          <w:tcPr>
            <w:tcW w:w="1134" w:type="dxa"/>
          </w:tcPr>
          <w:p w14:paraId="50458910" w14:textId="77777777" w:rsidR="00634E0D" w:rsidRPr="009D37A4" w:rsidRDefault="00634E0D" w:rsidP="00634E0D">
            <w:pPr>
              <w:ind w:right="9"/>
              <w:jc w:val="center"/>
            </w:pPr>
          </w:p>
        </w:tc>
        <w:tc>
          <w:tcPr>
            <w:tcW w:w="1276" w:type="dxa"/>
          </w:tcPr>
          <w:p w14:paraId="16A81C7C" w14:textId="77777777" w:rsidR="00634E0D" w:rsidRPr="009D37A4" w:rsidRDefault="00634E0D" w:rsidP="00634E0D">
            <w:pPr>
              <w:ind w:right="9"/>
              <w:jc w:val="center"/>
            </w:pPr>
          </w:p>
        </w:tc>
        <w:tc>
          <w:tcPr>
            <w:tcW w:w="1276" w:type="dxa"/>
          </w:tcPr>
          <w:p w14:paraId="44B58D92" w14:textId="77777777" w:rsidR="00634E0D" w:rsidRPr="009D37A4" w:rsidRDefault="00634E0D" w:rsidP="00634E0D">
            <w:pPr>
              <w:ind w:right="9"/>
              <w:jc w:val="center"/>
            </w:pPr>
          </w:p>
        </w:tc>
        <w:tc>
          <w:tcPr>
            <w:tcW w:w="2551" w:type="dxa"/>
          </w:tcPr>
          <w:p w14:paraId="4A596EAE" w14:textId="42A4BB63" w:rsidR="00634E0D" w:rsidRPr="009D37A4" w:rsidRDefault="00634E0D" w:rsidP="00634E0D">
            <w:pPr>
              <w:ind w:right="9"/>
              <w:jc w:val="center"/>
            </w:pPr>
          </w:p>
        </w:tc>
      </w:tr>
    </w:tbl>
    <w:p w14:paraId="342C33A3" w14:textId="77777777" w:rsidR="00782B64" w:rsidRPr="009D5188" w:rsidRDefault="00782B64" w:rsidP="009D5188">
      <w:pPr>
        <w:ind w:firstLine="720"/>
        <w:jc w:val="both"/>
        <w:rPr>
          <w:b/>
          <w:sz w:val="22"/>
          <w:szCs w:val="22"/>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B64624"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B64624"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B64624"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B64624"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B64624"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B64624"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B64624"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202DD33F"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2C3A4F">
              <w:rPr>
                <w:b/>
                <w:bCs/>
                <w:lang w:val="lt-LT"/>
              </w:rPr>
              <w:t>BALDAI</w:t>
            </w:r>
            <w:r w:rsidR="004E1092">
              <w:rPr>
                <w:b/>
                <w:bCs/>
                <w:lang w:val="lt-LT"/>
              </w:rPr>
              <w:t xml:space="preserve"> (</w:t>
            </w:r>
            <w:r w:rsidR="00B64624" w:rsidRPr="00B64624">
              <w:rPr>
                <w:b/>
                <w:bCs/>
                <w:lang w:val="lt-LT"/>
              </w:rPr>
              <w:t>LABORATORIJOS BALDAI, MOBILI SPINTELĖ, KĖDĖS PACIENTAMS</w:t>
            </w:r>
            <w:r w:rsidRPr="00774160">
              <w:rPr>
                <w:b/>
                <w:bCs/>
                <w:lang w:val="lt-LT"/>
              </w:rPr>
              <w:t>)</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B64624"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B64624"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9C403F" w:rsidP="005D4FA1">
            <w:pPr>
              <w:jc w:val="center"/>
              <w:rPr>
                <w:kern w:val="2"/>
                <w:lang w:val="lt-LT"/>
              </w:rPr>
            </w:pPr>
            <w:hyperlink r:id="rId13" w:history="1">
              <w:r w:rsidR="006510F6" w:rsidRPr="00CC082E">
                <w:rPr>
                  <w:rStyle w:val="Hyperlink"/>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B64624"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B64624"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lastRenderedPageBreak/>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5378345A"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0577D8" w:rsidRPr="000577D8">
              <w:rPr>
                <w:b/>
                <w:bCs/>
                <w:lang w:val="lt-LT"/>
              </w:rPr>
              <w:t>BALDAI (</w:t>
            </w:r>
            <w:r w:rsidR="00B64624" w:rsidRPr="00B64624">
              <w:rPr>
                <w:b/>
                <w:bCs/>
                <w:lang w:val="lt-LT"/>
              </w:rPr>
              <w:t>LABORATORIJOS BALDAI, MOBILI SPINTELĖ, KĖDĖS PACIENTAMS</w:t>
            </w:r>
            <w:r w:rsidR="000577D8" w:rsidRPr="000577D8">
              <w:rPr>
                <w:b/>
                <w:bCs/>
                <w:lang w:val="lt-LT"/>
              </w:rPr>
              <w:t>)</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B64624"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1" w:name="_Hlk208578308"/>
            <w:r w:rsidRPr="00455D9F">
              <w:rPr>
                <w:b/>
                <w:bCs/>
                <w:kern w:val="2"/>
                <w:lang w:val="lt-LT"/>
              </w:rPr>
              <w:t xml:space="preserve">Informacija apie Europos Sąjungos lėšomis finansuojamą projektą </w:t>
            </w:r>
            <w:bookmarkEnd w:id="11"/>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5D4FA1">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B64624"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B64624"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4E27C5BD"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4E1092">
              <w:rPr>
                <w:kern w:val="2"/>
                <w:lang w:val="lt-LT"/>
              </w:rPr>
              <w:t>90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B64624"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ListParagraph"/>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ListParagraph"/>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B64624"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B64624"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B64624"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B64624"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lastRenderedPageBreak/>
              <w:t>Perskaičiuota Sutarties kaina / Prekių įkainiai įforminami Susitarimu ir turi būti taikomi nuo naujo PVM įvedimo datos (nepriklausomai 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B64624"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B64624"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B64624"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B64624"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B64624"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w:t>
            </w:r>
            <w:r w:rsidRPr="00455D9F">
              <w:rPr>
                <w:kern w:val="2"/>
                <w:lang w:val="lt-LT"/>
              </w:rPr>
              <w:lastRenderedPageBreak/>
              <w:t>subtiekėjai ir (ar) specialistai“.</w:t>
            </w:r>
          </w:p>
        </w:tc>
      </w:tr>
      <w:tr w:rsidR="006510F6" w:rsidRPr="00B64624"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lastRenderedPageBreak/>
              <w:t>8. PRIEVOLIŲ PAGAL SUTARTĮ ĮVYKDYMO UŽTIKRINIMAS</w:t>
            </w:r>
          </w:p>
        </w:tc>
      </w:tr>
      <w:tr w:rsidR="006510F6" w:rsidRPr="00B64624"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B64624"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B64624"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B64624"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B64624"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B64624"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B64624"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B64624"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7777777"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Pr>
                <w:kern w:val="2"/>
                <w:lang w:val="lt-LT"/>
              </w:rPr>
              <w:t>4</w:t>
            </w:r>
            <w:r w:rsidRPr="00455D9F">
              <w:rPr>
                <w:kern w:val="2"/>
                <w:lang w:val="lt-LT"/>
              </w:rPr>
              <w:t xml:space="preserve"> (</w:t>
            </w:r>
            <w:r>
              <w:rPr>
                <w:kern w:val="2"/>
                <w:lang w:val="lt-LT"/>
              </w:rPr>
              <w:t>keturis</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B64624"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B64624"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B64624"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B64624"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shd w:val="clear" w:color="auto" w:fill="auto"/>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 xml:space="preserve">13.2.  Su perkamomis Prekėmis susiję socialiniai </w:t>
            </w:r>
            <w:r w:rsidRPr="00455D9F">
              <w:rPr>
                <w:b/>
                <w:bCs/>
                <w:kern w:val="2"/>
                <w:lang w:val="lt-LT"/>
              </w:rPr>
              <w:lastRenderedPageBreak/>
              <w:t>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lastRenderedPageBreak/>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lastRenderedPageBreak/>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B64624"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4"/>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5A199" w14:textId="77777777" w:rsidR="005D4FA1" w:rsidRDefault="005D4FA1" w:rsidP="000A171B">
      <w:r>
        <w:separator/>
      </w:r>
    </w:p>
  </w:endnote>
  <w:endnote w:type="continuationSeparator" w:id="0">
    <w:p w14:paraId="5E4A8B68" w14:textId="77777777" w:rsidR="005D4FA1" w:rsidRDefault="005D4FA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C312C6B" w14:textId="77777777" w:rsidR="005D4FA1" w:rsidRDefault="005D4FA1">
        <w:pPr>
          <w:pStyle w:val="Footer"/>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33644" w14:textId="77777777" w:rsidR="005D4FA1" w:rsidRDefault="005D4FA1" w:rsidP="000A171B">
      <w:r>
        <w:separator/>
      </w:r>
    </w:p>
  </w:footnote>
  <w:footnote w:type="continuationSeparator" w:id="0">
    <w:p w14:paraId="1803D7AB" w14:textId="77777777" w:rsidR="005D4FA1" w:rsidRDefault="005D4FA1"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0EB20A0"/>
    <w:multiLevelType w:val="multilevel"/>
    <w:tmpl w:val="1918FAD4"/>
    <w:lvl w:ilvl="0">
      <w:start w:val="1"/>
      <w:numFmt w:val="decimal"/>
      <w:pStyle w:val="ListNumber"/>
      <w:suff w:val="space"/>
      <w:lvlText w:val="%1."/>
      <w:lvlJc w:val="left"/>
      <w:pPr>
        <w:ind w:left="340" w:hanging="340"/>
      </w:pPr>
      <w:rPr>
        <w:rFonts w:hint="default"/>
      </w:rPr>
    </w:lvl>
    <w:lvl w:ilvl="1">
      <w:start w:val="1"/>
      <w:numFmt w:val="decimal"/>
      <w:pStyle w:val="ListNumber2"/>
      <w:suff w:val="space"/>
      <w:lvlText w:val="%1.%2."/>
      <w:lvlJc w:val="left"/>
      <w:pPr>
        <w:ind w:left="624" w:hanging="340"/>
      </w:pPr>
      <w:rPr>
        <w:rFonts w:hint="default"/>
      </w:rPr>
    </w:lvl>
    <w:lvl w:ilvl="2">
      <w:start w:val="1"/>
      <w:numFmt w:val="decimal"/>
      <w:pStyle w:val="ListNumber3"/>
      <w:suff w:val="space"/>
      <w:lvlText w:val="%1.%2.%3."/>
      <w:lvlJc w:val="left"/>
      <w:pPr>
        <w:ind w:left="340" w:hanging="340"/>
      </w:pPr>
      <w:rPr>
        <w:rFonts w:hint="default"/>
      </w:rPr>
    </w:lvl>
    <w:lvl w:ilvl="3">
      <w:start w:val="1"/>
      <w:numFmt w:val="decimal"/>
      <w:pStyle w:val="ListNumber4"/>
      <w:suff w:val="space"/>
      <w:lvlText w:val="%1.%2.%3.%4."/>
      <w:lvlJc w:val="left"/>
      <w:pPr>
        <w:ind w:left="340" w:hanging="340"/>
      </w:pPr>
      <w:rPr>
        <w:rFonts w:hint="default"/>
      </w:rPr>
    </w:lvl>
    <w:lvl w:ilvl="4">
      <w:start w:val="1"/>
      <w:numFmt w:val="decimal"/>
      <w:pStyle w:val="ListNumber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0471E"/>
    <w:rsid w:val="000132C8"/>
    <w:rsid w:val="00042DF2"/>
    <w:rsid w:val="0004416E"/>
    <w:rsid w:val="00054DFD"/>
    <w:rsid w:val="000577D8"/>
    <w:rsid w:val="000837EA"/>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7131"/>
    <w:rsid w:val="004D6DDD"/>
    <w:rsid w:val="004E1092"/>
    <w:rsid w:val="004F2A75"/>
    <w:rsid w:val="00501690"/>
    <w:rsid w:val="0050408A"/>
    <w:rsid w:val="00505885"/>
    <w:rsid w:val="00556C9B"/>
    <w:rsid w:val="0055754C"/>
    <w:rsid w:val="00562268"/>
    <w:rsid w:val="00572BDE"/>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A734E"/>
    <w:rsid w:val="00BC4015"/>
    <w:rsid w:val="00BC56E3"/>
    <w:rsid w:val="00BC7329"/>
    <w:rsid w:val="00BD0A84"/>
    <w:rsid w:val="00C00D1F"/>
    <w:rsid w:val="00C20749"/>
    <w:rsid w:val="00C35BCB"/>
    <w:rsid w:val="00C37569"/>
    <w:rsid w:val="00C40D3A"/>
    <w:rsid w:val="00C47DE0"/>
    <w:rsid w:val="00C6344C"/>
    <w:rsid w:val="00C66A9C"/>
    <w:rsid w:val="00C6738B"/>
    <w:rsid w:val="00C701C5"/>
    <w:rsid w:val="00C7757B"/>
    <w:rsid w:val="00CA1F10"/>
    <w:rsid w:val="00CA5FCF"/>
    <w:rsid w:val="00CB0F27"/>
    <w:rsid w:val="00CB4980"/>
    <w:rsid w:val="00CC1B2E"/>
    <w:rsid w:val="00CE0C88"/>
    <w:rsid w:val="00CF46CE"/>
    <w:rsid w:val="00CF7E13"/>
    <w:rsid w:val="00D02649"/>
    <w:rsid w:val="00D05D45"/>
    <w:rsid w:val="00D117BD"/>
    <w:rsid w:val="00D153E4"/>
    <w:rsid w:val="00D27AC6"/>
    <w:rsid w:val="00D33419"/>
    <w:rsid w:val="00D34FD5"/>
    <w:rsid w:val="00D4328D"/>
    <w:rsid w:val="00D43377"/>
    <w:rsid w:val="00D45A66"/>
    <w:rsid w:val="00D56527"/>
    <w:rsid w:val="00D63AEB"/>
    <w:rsid w:val="00D74C17"/>
    <w:rsid w:val="00D80D29"/>
    <w:rsid w:val="00D83F0D"/>
    <w:rsid w:val="00DB34E7"/>
    <w:rsid w:val="00DB4F2C"/>
    <w:rsid w:val="00DB5EA9"/>
    <w:rsid w:val="00DC2D9F"/>
    <w:rsid w:val="00DE0A54"/>
    <w:rsid w:val="00DE2DE5"/>
    <w:rsid w:val="00DE4F25"/>
    <w:rsid w:val="00DE6D23"/>
    <w:rsid w:val="00DF29C8"/>
    <w:rsid w:val="00E0019E"/>
    <w:rsid w:val="00E142B6"/>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EEB"/>
    <w:pPr>
      <w:spacing w:before="60" w:after="60"/>
      <w:jc w:val="both"/>
      <w:outlineLvl w:val="2"/>
    </w:pPr>
    <w:rPr>
      <w:lang w:val="lt-LT" w:eastAsia="en-US"/>
    </w:rPr>
  </w:style>
  <w:style w:type="paragraph" w:styleId="Heading4">
    <w:name w:val="heading 4"/>
    <w:basedOn w:val="Normal"/>
    <w:next w:val="Normal"/>
    <w:link w:val="Heading4Char"/>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iPriority w:val="99"/>
    <w:qFormat/>
    <w:rsid w:val="00925EEB"/>
    <w:pPr>
      <w:spacing w:before="240" w:after="60"/>
      <w:outlineLvl w:val="4"/>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aliases w:val="En-tête-1 Char,En-tête-2 Char,hd Char,Header 2 Char,Char Char1,Specialioji žyma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basedOn w:val="DefaultParagraphFont"/>
    <w:link w:val="Heading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iPriority w:val="99"/>
    <w:unhideWhenUsed/>
    <w:rsid w:val="000A171B"/>
    <w:pPr>
      <w:tabs>
        <w:tab w:val="center" w:pos="4819"/>
        <w:tab w:val="right" w:pos="9638"/>
      </w:tabs>
    </w:pPr>
  </w:style>
  <w:style w:type="character" w:customStyle="1" w:styleId="FooterChar">
    <w:name w:val="Footer Char"/>
    <w:basedOn w:val="DefaultParagraphFont"/>
    <w:link w:val="Footer"/>
    <w:uiPriority w:val="99"/>
    <w:rsid w:val="000A171B"/>
    <w:rPr>
      <w:rFonts w:ascii="Times New Roman" w:eastAsia="Times New Roman" w:hAnsi="Times New Roman" w:cs="Times New Roman"/>
      <w:sz w:val="24"/>
      <w:szCs w:val="24"/>
      <w:lang w:val="ru-RU" w:eastAsia="ru-RU"/>
    </w:rPr>
  </w:style>
  <w:style w:type="paragraph" w:styleId="ListParagraph">
    <w:name w:val="List Paragraph"/>
    <w:aliases w:val="List Paragraph Red,ERP-List Paragraph,List Paragraph1,List Paragraph11,Numbering,Bullet EY,List Paragraph2,List Paragraph111,lp1,Bullet 1,Use Case List Paragraph,List Paragraph21,Buletai,Paragraph,Table of contents numbered,List L1"/>
    <w:basedOn w:val="Normal"/>
    <w:link w:val="ListParagraphChar"/>
    <w:uiPriority w:val="34"/>
    <w:qFormat/>
    <w:rsid w:val="0038269F"/>
    <w:pPr>
      <w:ind w:left="720"/>
      <w:contextualSpacing/>
    </w:p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EF3659"/>
    <w:rPr>
      <w:rFonts w:ascii="Tahoma" w:hAnsi="Tahoma" w:cs="Tahoma"/>
      <w:sz w:val="16"/>
      <w:szCs w:val="16"/>
    </w:rPr>
  </w:style>
  <w:style w:type="character" w:customStyle="1" w:styleId="BalloonTextChar">
    <w:name w:val="Balloon Text Char"/>
    <w:basedOn w:val="DefaultParagraphFont"/>
    <w:link w:val="BalloonText"/>
    <w:rsid w:val="00EF3659"/>
    <w:rPr>
      <w:rFonts w:ascii="Tahoma" w:eastAsia="Times New Roman" w:hAnsi="Tahoma" w:cs="Tahoma"/>
      <w:sz w:val="16"/>
      <w:szCs w:val="16"/>
      <w:lang w:val="ru-RU" w:eastAsia="ru-RU"/>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NormalWeb">
    <w:name w:val="Normal (Web)"/>
    <w:basedOn w:val="Normal"/>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yperlink">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Normal"/>
    <w:rsid w:val="00EE647A"/>
    <w:pPr>
      <w:spacing w:before="120" w:after="120"/>
      <w:ind w:left="1418" w:hanging="567"/>
      <w:jc w:val="both"/>
    </w:pPr>
    <w:rPr>
      <w:szCs w:val="20"/>
      <w:lang w:val="en-GB" w:eastAsia="lt-LT"/>
    </w:rPr>
  </w:style>
  <w:style w:type="numbering" w:customStyle="1" w:styleId="Sraonra1">
    <w:name w:val="Sąrašo nėra1"/>
    <w:next w:val="NoList"/>
    <w:uiPriority w:val="99"/>
    <w:semiHidden/>
    <w:unhideWhenUsed/>
    <w:rsid w:val="00815E93"/>
  </w:style>
  <w:style w:type="character" w:customStyle="1" w:styleId="ListParagraphChar">
    <w:name w:val="List Paragraph Char"/>
    <w:aliases w:val="List Paragraph Red Char,ERP-List Paragraph Char,List Paragraph1 Char,List Paragraph11 Char,Numbering Char,Bullet EY Char,List Paragraph2 Char,List Paragraph111 Char,lp1 Char,Bullet 1 Char,Use Case List Paragraph Char,Buletai Char"/>
    <w:link w:val="ListParagraph"/>
    <w:uiPriority w:val="34"/>
    <w:qFormat/>
    <w:locked/>
    <w:rsid w:val="00E6656B"/>
    <w:rPr>
      <w:rFonts w:ascii="Times New Roman" w:eastAsia="Times New Roman" w:hAnsi="Times New Roman" w:cs="Times New Roman"/>
      <w:sz w:val="24"/>
      <w:szCs w:val="24"/>
      <w:lang w:val="ru-RU" w:eastAsia="ru-RU"/>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925EEB"/>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925EEB"/>
    <w:rPr>
      <w:rFonts w:ascii="Times New Roman" w:eastAsia="Times New Roman" w:hAnsi="Times New Roman" w:cs="Times New Roman"/>
    </w:rPr>
  </w:style>
  <w:style w:type="paragraph" w:customStyle="1" w:styleId="Sraopastraipa2">
    <w:name w:val="Sąrašo pastraipa2"/>
    <w:basedOn w:val="Normal"/>
    <w:qFormat/>
    <w:rsid w:val="00925EEB"/>
    <w:pPr>
      <w:ind w:left="720" w:firstLine="709"/>
      <w:contextualSpacing/>
      <w:jc w:val="both"/>
    </w:pPr>
    <w:rPr>
      <w:lang w:val="lt-LT" w:eastAsia="lt-LT"/>
    </w:rPr>
  </w:style>
  <w:style w:type="character" w:customStyle="1" w:styleId="BodyTextChar">
    <w:name w:val="Body Text Char"/>
    <w:aliases w:val="body indent Char,ändrad Char,Body single Char,Char Char Char,Char Char2 Char,body text Char,contents Char,bt Char,Corps de texte Char,body tesx Char,heading_txt Char,bodytxy2... Char,bodytxy2 Char,Body Text - Level 2 Char,??2 Char"/>
    <w:basedOn w:val="DefaultParagraphFont"/>
    <w:link w:val="BodyText"/>
    <w:uiPriority w:val="99"/>
    <w:locked/>
    <w:rsid w:val="00925EEB"/>
  </w:style>
  <w:style w:type="paragraph" w:styleId="BodyText">
    <w:name w:val="Body Text"/>
    <w:aliases w:val="body indent,ändrad,Body single,Char Char,Char Char2,body text,contents,bt,Corps de texte,body tesx,heading_txt,bodytxy2...,bodytxy2,Body Text - Level 2,??2,Head3NoNumber,?drad,Body Text Ro,EHPT,Body Text2,Body Text1"/>
    <w:basedOn w:val="Normal"/>
    <w:link w:val="BodyTextChar"/>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DefaultParagraphFont"/>
    <w:uiPriority w:val="99"/>
    <w:semiHidden/>
    <w:rsid w:val="00925EEB"/>
    <w:rPr>
      <w:rFonts w:ascii="Times New Roman" w:eastAsia="Times New Roman" w:hAnsi="Times New Roman" w:cs="Times New Roman"/>
      <w:sz w:val="24"/>
      <w:szCs w:val="24"/>
      <w:lang w:val="ru-RU" w:eastAsia="ru-RU"/>
    </w:rPr>
  </w:style>
  <w:style w:type="paragraph" w:styleId="PlainText">
    <w:name w:val="Plain Text"/>
    <w:basedOn w:val="Normal"/>
    <w:link w:val="PlainTextChar"/>
    <w:unhideWhenUsed/>
    <w:rsid w:val="00925EEB"/>
    <w:rPr>
      <w:rFonts w:ascii="Courier New" w:eastAsia="Calibri" w:hAnsi="Courier New" w:cs="Courier New"/>
      <w:sz w:val="20"/>
      <w:szCs w:val="20"/>
      <w:lang w:val="lt-LT" w:eastAsia="lt-LT"/>
    </w:rPr>
  </w:style>
  <w:style w:type="character" w:customStyle="1" w:styleId="PlainTextChar">
    <w:name w:val="Plain Text Char"/>
    <w:basedOn w:val="DefaultParagraphFont"/>
    <w:link w:val="PlainText"/>
    <w:rsid w:val="00925EEB"/>
    <w:rPr>
      <w:rFonts w:ascii="Courier New" w:eastAsia="Calibri" w:hAnsi="Courier New" w:cs="Courier New"/>
      <w:sz w:val="20"/>
      <w:szCs w:val="20"/>
      <w:lang w:eastAsia="lt-LT"/>
    </w:rPr>
  </w:style>
  <w:style w:type="paragraph" w:customStyle="1" w:styleId="western">
    <w:name w:val="western"/>
    <w:basedOn w:val="Normal"/>
    <w:rsid w:val="00925EEB"/>
    <w:pPr>
      <w:spacing w:before="100" w:beforeAutospacing="1"/>
    </w:pPr>
    <w:rPr>
      <w:sz w:val="22"/>
      <w:szCs w:val="22"/>
      <w:lang w:val="lt-LT" w:eastAsia="lt-LT"/>
    </w:rPr>
  </w:style>
  <w:style w:type="paragraph" w:customStyle="1" w:styleId="modPunktai">
    <w:name w:val="mod: Punktai"/>
    <w:basedOn w:val="Heading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UnresolvedMention">
    <w:name w:val="Unresolved Mention"/>
    <w:basedOn w:val="DefaultParagraphFont"/>
    <w:uiPriority w:val="99"/>
    <w:semiHidden/>
    <w:unhideWhenUsed/>
    <w:rsid w:val="00925EEB"/>
    <w:rPr>
      <w:color w:val="605E5C"/>
      <w:shd w:val="clear" w:color="auto" w:fill="E1DFDD"/>
    </w:rPr>
  </w:style>
  <w:style w:type="character" w:styleId="FollowedHyperlink">
    <w:name w:val="FollowedHyperlink"/>
    <w:basedOn w:val="DefaultParagraphFont"/>
    <w:uiPriority w:val="99"/>
    <w:semiHidden/>
    <w:unhideWhenUsed/>
    <w:rsid w:val="00925EEB"/>
    <w:rPr>
      <w:color w:val="800080" w:themeColor="followedHyperlink"/>
      <w:u w:val="single"/>
    </w:rPr>
  </w:style>
  <w:style w:type="character" w:styleId="PageNumber">
    <w:name w:val="page number"/>
    <w:basedOn w:val="DefaultParagraphFont"/>
    <w:rsid w:val="00925EEB"/>
  </w:style>
  <w:style w:type="character" w:styleId="CommentReference">
    <w:name w:val="annotation reference"/>
    <w:uiPriority w:val="99"/>
    <w:rsid w:val="00925EEB"/>
    <w:rPr>
      <w:sz w:val="16"/>
      <w:szCs w:val="16"/>
    </w:rPr>
  </w:style>
  <w:style w:type="paragraph" w:styleId="CommentText">
    <w:name w:val="annotation text"/>
    <w:basedOn w:val="Normal"/>
    <w:link w:val="CommentTextChar"/>
    <w:rsid w:val="00925EEB"/>
    <w:rPr>
      <w:sz w:val="20"/>
      <w:szCs w:val="20"/>
      <w:lang w:val="lt-LT" w:eastAsia="lt-LT"/>
    </w:rPr>
  </w:style>
  <w:style w:type="character" w:customStyle="1" w:styleId="CommentTextChar">
    <w:name w:val="Comment Text Char"/>
    <w:basedOn w:val="DefaultParagraphFont"/>
    <w:link w:val="CommentText"/>
    <w:rsid w:val="00925EE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25EEB"/>
    <w:rPr>
      <w:b/>
      <w:bCs/>
      <w:lang w:val="x-none" w:eastAsia="x-none"/>
    </w:rPr>
  </w:style>
  <w:style w:type="character" w:customStyle="1" w:styleId="CommentSubjectChar">
    <w:name w:val="Comment Subject Char"/>
    <w:basedOn w:val="CommentTextChar"/>
    <w:link w:val="CommentSubject"/>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rsid w:val="00925EEB"/>
    <w:pPr>
      <w:spacing w:after="120"/>
      <w:ind w:left="283"/>
    </w:pPr>
    <w:rPr>
      <w:rFonts w:eastAsia="Calibri"/>
      <w:lang w:val="lt-LT" w:eastAsia="en-US"/>
    </w:rPr>
  </w:style>
  <w:style w:type="character" w:customStyle="1" w:styleId="BodyTextIndentChar">
    <w:name w:val="Body Text Indent Char"/>
    <w:basedOn w:val="DefaultParagraphFont"/>
    <w:link w:val="BodyTextIndent"/>
    <w:uiPriority w:val="99"/>
    <w:rsid w:val="00925EEB"/>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925EEB"/>
    <w:pPr>
      <w:spacing w:after="120"/>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rsid w:val="00925EEB"/>
    <w:rPr>
      <w:rFonts w:ascii="Times New Roman" w:eastAsia="Calibri" w:hAnsi="Times New Roman" w:cs="Times New Roman"/>
      <w:sz w:val="16"/>
      <w:szCs w:val="16"/>
    </w:rPr>
  </w:style>
  <w:style w:type="character" w:styleId="Emphasis">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925EEB"/>
    <w:pPr>
      <w:spacing w:after="0" w:line="240" w:lineRule="auto"/>
    </w:pPr>
    <w:rPr>
      <w:rFonts w:ascii="Calibri" w:eastAsia="Calibri" w:hAnsi="Calibri"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0">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NoSpacing">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Normal"/>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ListNumber">
    <w:name w:val="List Number"/>
    <w:basedOn w:val="Normal"/>
    <w:rsid w:val="00925EEB"/>
    <w:pPr>
      <w:numPr>
        <w:numId w:val="5"/>
      </w:numPr>
      <w:spacing w:before="60" w:after="60"/>
      <w:jc w:val="both"/>
    </w:pPr>
    <w:rPr>
      <w:lang w:val="lt-LT" w:eastAsia="en-US"/>
    </w:rPr>
  </w:style>
  <w:style w:type="paragraph" w:styleId="ListNumber2">
    <w:name w:val="List Number 2"/>
    <w:basedOn w:val="Normal"/>
    <w:rsid w:val="00925EEB"/>
    <w:pPr>
      <w:numPr>
        <w:ilvl w:val="1"/>
        <w:numId w:val="5"/>
      </w:numPr>
      <w:jc w:val="both"/>
    </w:pPr>
    <w:rPr>
      <w:lang w:val="lt-LT" w:eastAsia="en-US"/>
    </w:rPr>
  </w:style>
  <w:style w:type="paragraph" w:styleId="ListNumber3">
    <w:name w:val="List Number 3"/>
    <w:basedOn w:val="Normal"/>
    <w:rsid w:val="00925EEB"/>
    <w:pPr>
      <w:numPr>
        <w:ilvl w:val="2"/>
        <w:numId w:val="5"/>
      </w:numPr>
      <w:jc w:val="both"/>
    </w:pPr>
    <w:rPr>
      <w:lang w:val="en-GB" w:eastAsia="en-US"/>
    </w:rPr>
  </w:style>
  <w:style w:type="paragraph" w:styleId="ListNumber4">
    <w:name w:val="List Number 4"/>
    <w:basedOn w:val="Normal"/>
    <w:rsid w:val="00925EEB"/>
    <w:pPr>
      <w:numPr>
        <w:ilvl w:val="3"/>
        <w:numId w:val="5"/>
      </w:numPr>
      <w:jc w:val="both"/>
    </w:pPr>
    <w:rPr>
      <w:szCs w:val="20"/>
      <w:lang w:val="lt-LT" w:eastAsia="en-US"/>
    </w:rPr>
  </w:style>
  <w:style w:type="paragraph" w:styleId="ListNumber5">
    <w:name w:val="List Number 5"/>
    <w:basedOn w:val="Normal"/>
    <w:rsid w:val="00925EEB"/>
    <w:pPr>
      <w:numPr>
        <w:ilvl w:val="4"/>
        <w:numId w:val="5"/>
      </w:numPr>
      <w:jc w:val="both"/>
    </w:pPr>
    <w:rPr>
      <w:szCs w:val="20"/>
      <w:lang w:val="lt-LT" w:eastAsia="en-US"/>
    </w:rPr>
  </w:style>
  <w:style w:type="paragraph" w:customStyle="1" w:styleId="ListNumber6">
    <w:name w:val="List Number 6"/>
    <w:basedOn w:val="Normal"/>
    <w:rsid w:val="00925EEB"/>
    <w:pPr>
      <w:numPr>
        <w:ilvl w:val="5"/>
        <w:numId w:val="5"/>
      </w:numPr>
      <w:jc w:val="both"/>
    </w:pPr>
    <w:rPr>
      <w:lang w:val="lt-LT" w:eastAsia="en-US"/>
    </w:rPr>
  </w:style>
  <w:style w:type="paragraph" w:customStyle="1" w:styleId="ListNumber2FirstLine">
    <w:name w:val="List Number 2 First Line"/>
    <w:basedOn w:val="ListNumber2"/>
    <w:rsid w:val="00925EEB"/>
    <w:pPr>
      <w:ind w:left="0" w:firstLine="397"/>
    </w:pPr>
    <w:rPr>
      <w:lang w:val="en-US"/>
    </w:rPr>
  </w:style>
  <w:style w:type="paragraph" w:customStyle="1" w:styleId="ListNumber3FirstLine">
    <w:name w:val="List Number 3 First Line"/>
    <w:basedOn w:val="ListNumber3"/>
    <w:rsid w:val="00925EEB"/>
    <w:rPr>
      <w:lang w:val="lt-LT"/>
    </w:rPr>
  </w:style>
  <w:style w:type="paragraph" w:customStyle="1" w:styleId="EYBulletText">
    <w:name w:val="EY Bullet Text"/>
    <w:basedOn w:val="Normal"/>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Normal"/>
    <w:rsid w:val="00B35A88"/>
    <w:pPr>
      <w:spacing w:before="100" w:beforeAutospacing="1" w:after="100" w:afterAutospacing="1"/>
    </w:pPr>
    <w:rPr>
      <w:lang w:val="en-US" w:eastAsia="en-US"/>
    </w:rPr>
  </w:style>
  <w:style w:type="character" w:customStyle="1" w:styleId="normaltextrun">
    <w:name w:val="normaltextrun"/>
    <w:basedOn w:val="DefaultParagraphFont"/>
    <w:rsid w:val="00B35A88"/>
  </w:style>
  <w:style w:type="character" w:customStyle="1" w:styleId="eop">
    <w:name w:val="eop"/>
    <w:basedOn w:val="DefaultParagraphFont"/>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Normal"/>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NoList"/>
    <w:semiHidden/>
    <w:rsid w:val="006510F6"/>
  </w:style>
  <w:style w:type="numbering" w:customStyle="1" w:styleId="Sraonra111">
    <w:name w:val="Sąrašo nėra111"/>
    <w:next w:val="NoList"/>
    <w:uiPriority w:val="99"/>
    <w:semiHidden/>
    <w:unhideWhenUsed/>
    <w:rsid w:val="006510F6"/>
  </w:style>
  <w:style w:type="numbering" w:customStyle="1" w:styleId="Sraonra1111">
    <w:name w:val="Sąrašo nėra1111"/>
    <w:next w:val="NoList"/>
    <w:semiHidden/>
    <w:rsid w:val="006510F6"/>
  </w:style>
  <w:style w:type="numbering" w:customStyle="1" w:styleId="Sraonra11111">
    <w:name w:val="Sąrašo nėra11111"/>
    <w:next w:val="NoList"/>
    <w:uiPriority w:val="99"/>
    <w:semiHidden/>
    <w:unhideWhenUsed/>
    <w:rsid w:val="006510F6"/>
  </w:style>
  <w:style w:type="character" w:customStyle="1" w:styleId="StandardChar">
    <w:name w:val="Standard Char"/>
    <w:basedOn w:val="DefaultParagraphFont"/>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FootnoteText">
    <w:name w:val="footnote text"/>
    <w:basedOn w:val="Normal"/>
    <w:link w:val="FootnoteTextChar"/>
    <w:uiPriority w:val="99"/>
    <w:semiHidden/>
    <w:unhideWhenUsed/>
    <w:rsid w:val="006510F6"/>
    <w:rPr>
      <w:sz w:val="20"/>
      <w:szCs w:val="20"/>
      <w:lang w:val="lt-LT" w:eastAsia="en-US"/>
    </w:rPr>
  </w:style>
  <w:style w:type="character" w:customStyle="1" w:styleId="FootnoteTextChar">
    <w:name w:val="Footnote Text Char"/>
    <w:basedOn w:val="DefaultParagraphFont"/>
    <w:link w:val="FootnoteText"/>
    <w:uiPriority w:val="99"/>
    <w:semiHidden/>
    <w:rsid w:val="006510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1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jonavospspc.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jonavospspc.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2353</TotalTime>
  <Pages>47</Pages>
  <Words>21304</Words>
  <Characters>121433</Characters>
  <Application>Microsoft Office Word</Application>
  <DocSecurity>0</DocSecurity>
  <Lines>1011</Lines>
  <Paragraphs>284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Romas</cp:lastModifiedBy>
  <cp:revision>173</cp:revision>
  <cp:lastPrinted>2018-05-08T10:14:00Z</cp:lastPrinted>
  <dcterms:created xsi:type="dcterms:W3CDTF">2012-01-17T09:47:00Z</dcterms:created>
  <dcterms:modified xsi:type="dcterms:W3CDTF">2026-02-01T15:04:00Z</dcterms:modified>
</cp:coreProperties>
</file>