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34D095D1" w:rsidR="00B767F3" w:rsidRPr="002F0070" w:rsidRDefault="00A53E67" w:rsidP="002F0070">
            <w:pPr>
              <w:jc w:val="both"/>
              <w:rPr>
                <w:rFonts w:ascii="Cambria" w:hAnsi="Cambria"/>
                <w:kern w:val="2"/>
                <w:sz w:val="20"/>
              </w:rPr>
            </w:pPr>
            <w:r>
              <w:rPr>
                <w:rFonts w:ascii="Cambria" w:hAnsi="Cambria"/>
                <w:kern w:val="2"/>
                <w:sz w:val="20"/>
              </w:rPr>
              <w:t>Deguonies drėkintuvai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02"/>
        <w:gridCol w:w="3609"/>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593739">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402"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609" w:type="dxa"/>
          </w:tcPr>
          <w:p w14:paraId="1A86750A" w14:textId="34F66748" w:rsidR="004E15BF" w:rsidRPr="00593739" w:rsidRDefault="004E15BF" w:rsidP="004E15BF">
            <w:pPr>
              <w:jc w:val="both"/>
              <w:rPr>
                <w:rFonts w:ascii="Cambria" w:hAnsi="Cambria"/>
                <w:b/>
                <w:kern w:val="2"/>
                <w:sz w:val="20"/>
              </w:rPr>
            </w:pPr>
            <w:r w:rsidRPr="00593739">
              <w:rPr>
                <w:rFonts w:ascii="Cambria" w:hAnsi="Cambria"/>
                <w:b/>
                <w:sz w:val="20"/>
              </w:rPr>
              <w:t>Lietuvos sveikatos mokslų universiteto ligoninė Kauno klinikos</w:t>
            </w:r>
          </w:p>
        </w:tc>
      </w:tr>
      <w:tr w:rsidR="004E15BF" w:rsidRPr="002F0070" w14:paraId="3C548A23" w14:textId="77777777" w:rsidTr="00593739">
        <w:tc>
          <w:tcPr>
            <w:tcW w:w="2547" w:type="dxa"/>
            <w:vMerge/>
          </w:tcPr>
          <w:p w14:paraId="6F39D6C5" w14:textId="77777777" w:rsidR="004E15BF" w:rsidRPr="002F0070" w:rsidRDefault="004E15BF" w:rsidP="004E15BF">
            <w:pPr>
              <w:rPr>
                <w:rFonts w:ascii="Cambria" w:hAnsi="Cambria"/>
                <w:kern w:val="2"/>
                <w:sz w:val="20"/>
              </w:rPr>
            </w:pPr>
          </w:p>
        </w:tc>
        <w:tc>
          <w:tcPr>
            <w:tcW w:w="3402"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609"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593739">
        <w:tc>
          <w:tcPr>
            <w:tcW w:w="2547" w:type="dxa"/>
            <w:vMerge/>
          </w:tcPr>
          <w:p w14:paraId="12442C78" w14:textId="77777777" w:rsidR="004E15BF" w:rsidRPr="002F0070" w:rsidRDefault="004E15BF" w:rsidP="004E15BF">
            <w:pPr>
              <w:rPr>
                <w:rFonts w:ascii="Cambria" w:hAnsi="Cambria"/>
                <w:kern w:val="2"/>
                <w:sz w:val="20"/>
              </w:rPr>
            </w:pPr>
          </w:p>
        </w:tc>
        <w:tc>
          <w:tcPr>
            <w:tcW w:w="3402"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609"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593739">
        <w:tc>
          <w:tcPr>
            <w:tcW w:w="2547" w:type="dxa"/>
            <w:vMerge/>
          </w:tcPr>
          <w:p w14:paraId="08391543" w14:textId="77777777" w:rsidR="004E15BF" w:rsidRPr="002F0070" w:rsidRDefault="004E15BF" w:rsidP="004E15BF">
            <w:pPr>
              <w:rPr>
                <w:rFonts w:ascii="Cambria" w:hAnsi="Cambria"/>
                <w:kern w:val="2"/>
                <w:sz w:val="20"/>
              </w:rPr>
            </w:pPr>
          </w:p>
        </w:tc>
        <w:tc>
          <w:tcPr>
            <w:tcW w:w="3402"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609"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593739">
        <w:tc>
          <w:tcPr>
            <w:tcW w:w="2547" w:type="dxa"/>
            <w:vMerge/>
          </w:tcPr>
          <w:p w14:paraId="28CCF5F1" w14:textId="77777777" w:rsidR="004E15BF" w:rsidRPr="002F0070" w:rsidRDefault="004E15BF" w:rsidP="004E15BF">
            <w:pPr>
              <w:rPr>
                <w:rFonts w:ascii="Cambria" w:hAnsi="Cambria"/>
                <w:kern w:val="2"/>
                <w:sz w:val="20"/>
              </w:rPr>
            </w:pPr>
          </w:p>
        </w:tc>
        <w:tc>
          <w:tcPr>
            <w:tcW w:w="3402"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609"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593739">
        <w:tc>
          <w:tcPr>
            <w:tcW w:w="2547" w:type="dxa"/>
            <w:vMerge/>
          </w:tcPr>
          <w:p w14:paraId="237F0EA0" w14:textId="77777777" w:rsidR="004E15BF" w:rsidRPr="002F0070" w:rsidRDefault="004E15BF" w:rsidP="004E15BF">
            <w:pPr>
              <w:rPr>
                <w:rFonts w:ascii="Cambria" w:hAnsi="Cambria"/>
                <w:kern w:val="2"/>
                <w:sz w:val="20"/>
              </w:rPr>
            </w:pPr>
          </w:p>
        </w:tc>
        <w:tc>
          <w:tcPr>
            <w:tcW w:w="3402"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609"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593739">
        <w:tc>
          <w:tcPr>
            <w:tcW w:w="2547" w:type="dxa"/>
            <w:vMerge/>
          </w:tcPr>
          <w:p w14:paraId="1E99B4CF" w14:textId="77777777" w:rsidR="004E15BF" w:rsidRPr="002F0070" w:rsidRDefault="004E15BF" w:rsidP="004E15BF">
            <w:pPr>
              <w:rPr>
                <w:rFonts w:ascii="Cambria" w:hAnsi="Cambria"/>
                <w:kern w:val="2"/>
                <w:sz w:val="20"/>
              </w:rPr>
            </w:pPr>
          </w:p>
        </w:tc>
        <w:tc>
          <w:tcPr>
            <w:tcW w:w="3402"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609"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593739">
        <w:tc>
          <w:tcPr>
            <w:tcW w:w="2547" w:type="dxa"/>
            <w:vMerge/>
          </w:tcPr>
          <w:p w14:paraId="0F34584F" w14:textId="77777777" w:rsidR="004E15BF" w:rsidRPr="002F0070" w:rsidRDefault="004E15BF" w:rsidP="004E15BF">
            <w:pPr>
              <w:rPr>
                <w:rFonts w:ascii="Cambria" w:hAnsi="Cambria"/>
                <w:kern w:val="2"/>
                <w:sz w:val="20"/>
              </w:rPr>
            </w:pPr>
          </w:p>
        </w:tc>
        <w:tc>
          <w:tcPr>
            <w:tcW w:w="3402"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609"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593739">
        <w:tc>
          <w:tcPr>
            <w:tcW w:w="2547" w:type="dxa"/>
            <w:vMerge/>
          </w:tcPr>
          <w:p w14:paraId="40F4E194" w14:textId="77777777" w:rsidR="004E15BF" w:rsidRPr="002F0070" w:rsidRDefault="004E15BF" w:rsidP="004E15BF">
            <w:pPr>
              <w:rPr>
                <w:rFonts w:ascii="Cambria" w:hAnsi="Cambria"/>
                <w:kern w:val="2"/>
                <w:sz w:val="20"/>
              </w:rPr>
            </w:pPr>
          </w:p>
        </w:tc>
        <w:tc>
          <w:tcPr>
            <w:tcW w:w="3402"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609"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593739">
        <w:tc>
          <w:tcPr>
            <w:tcW w:w="2547" w:type="dxa"/>
            <w:vMerge/>
          </w:tcPr>
          <w:p w14:paraId="26B0F6B9" w14:textId="77777777" w:rsidR="00B767F3" w:rsidRPr="002F0070" w:rsidRDefault="00B767F3" w:rsidP="002F0070">
            <w:pPr>
              <w:rPr>
                <w:rFonts w:ascii="Cambria" w:hAnsi="Cambria"/>
                <w:kern w:val="2"/>
                <w:sz w:val="20"/>
              </w:rPr>
            </w:pPr>
          </w:p>
        </w:tc>
        <w:tc>
          <w:tcPr>
            <w:tcW w:w="3402"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609"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593739">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402"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609"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593739">
        <w:tc>
          <w:tcPr>
            <w:tcW w:w="2547" w:type="dxa"/>
            <w:vMerge/>
          </w:tcPr>
          <w:p w14:paraId="124649CF" w14:textId="77777777" w:rsidR="00B767F3" w:rsidRPr="002F0070" w:rsidRDefault="00B767F3" w:rsidP="002F0070">
            <w:pPr>
              <w:rPr>
                <w:rFonts w:ascii="Cambria" w:hAnsi="Cambria"/>
                <w:b/>
                <w:bCs/>
                <w:kern w:val="2"/>
                <w:sz w:val="20"/>
              </w:rPr>
            </w:pPr>
          </w:p>
        </w:tc>
        <w:tc>
          <w:tcPr>
            <w:tcW w:w="3402"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609"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593739">
        <w:tc>
          <w:tcPr>
            <w:tcW w:w="2547" w:type="dxa"/>
            <w:vMerge/>
          </w:tcPr>
          <w:p w14:paraId="7C838BE7" w14:textId="77777777" w:rsidR="00B767F3" w:rsidRPr="002F0070" w:rsidRDefault="00B767F3" w:rsidP="002F0070">
            <w:pPr>
              <w:rPr>
                <w:rFonts w:ascii="Cambria" w:hAnsi="Cambria"/>
                <w:b/>
                <w:bCs/>
                <w:kern w:val="2"/>
                <w:sz w:val="20"/>
              </w:rPr>
            </w:pPr>
          </w:p>
        </w:tc>
        <w:tc>
          <w:tcPr>
            <w:tcW w:w="3402"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609"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593739">
        <w:tc>
          <w:tcPr>
            <w:tcW w:w="2547" w:type="dxa"/>
            <w:vMerge/>
          </w:tcPr>
          <w:p w14:paraId="60DFBC9E" w14:textId="77777777" w:rsidR="00B767F3" w:rsidRPr="002F0070" w:rsidRDefault="00B767F3" w:rsidP="002F0070">
            <w:pPr>
              <w:rPr>
                <w:rFonts w:ascii="Cambria" w:hAnsi="Cambria"/>
                <w:b/>
                <w:bCs/>
                <w:kern w:val="2"/>
                <w:sz w:val="20"/>
              </w:rPr>
            </w:pPr>
          </w:p>
        </w:tc>
        <w:tc>
          <w:tcPr>
            <w:tcW w:w="3402"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609"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593739">
        <w:tc>
          <w:tcPr>
            <w:tcW w:w="2547" w:type="dxa"/>
            <w:vMerge/>
          </w:tcPr>
          <w:p w14:paraId="7F9384F3" w14:textId="77777777" w:rsidR="00B767F3" w:rsidRPr="002F0070" w:rsidRDefault="00B767F3" w:rsidP="002F0070">
            <w:pPr>
              <w:rPr>
                <w:rFonts w:ascii="Cambria" w:hAnsi="Cambria"/>
                <w:b/>
                <w:bCs/>
                <w:kern w:val="2"/>
                <w:sz w:val="20"/>
              </w:rPr>
            </w:pPr>
          </w:p>
        </w:tc>
        <w:tc>
          <w:tcPr>
            <w:tcW w:w="3402"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609"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593739">
        <w:tc>
          <w:tcPr>
            <w:tcW w:w="2547" w:type="dxa"/>
            <w:vMerge/>
          </w:tcPr>
          <w:p w14:paraId="008F27AB" w14:textId="77777777" w:rsidR="00B767F3" w:rsidRPr="002F0070" w:rsidRDefault="00B767F3" w:rsidP="002F0070">
            <w:pPr>
              <w:rPr>
                <w:rFonts w:ascii="Cambria" w:hAnsi="Cambria"/>
                <w:b/>
                <w:bCs/>
                <w:kern w:val="2"/>
                <w:sz w:val="20"/>
              </w:rPr>
            </w:pPr>
          </w:p>
        </w:tc>
        <w:tc>
          <w:tcPr>
            <w:tcW w:w="3402"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609"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593739">
        <w:tc>
          <w:tcPr>
            <w:tcW w:w="2547" w:type="dxa"/>
            <w:vMerge/>
          </w:tcPr>
          <w:p w14:paraId="7F57DC4A" w14:textId="77777777" w:rsidR="00B767F3" w:rsidRPr="002F0070" w:rsidRDefault="00B767F3" w:rsidP="002F0070">
            <w:pPr>
              <w:rPr>
                <w:rFonts w:ascii="Cambria" w:hAnsi="Cambria"/>
                <w:b/>
                <w:bCs/>
                <w:kern w:val="2"/>
                <w:sz w:val="20"/>
              </w:rPr>
            </w:pPr>
          </w:p>
        </w:tc>
        <w:tc>
          <w:tcPr>
            <w:tcW w:w="3402"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609"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593739">
        <w:tc>
          <w:tcPr>
            <w:tcW w:w="2547" w:type="dxa"/>
            <w:vMerge/>
          </w:tcPr>
          <w:p w14:paraId="052EF525" w14:textId="77777777" w:rsidR="00B767F3" w:rsidRPr="002F0070" w:rsidRDefault="00B767F3" w:rsidP="002F0070">
            <w:pPr>
              <w:rPr>
                <w:rFonts w:ascii="Cambria" w:hAnsi="Cambria"/>
                <w:b/>
                <w:bCs/>
                <w:kern w:val="2"/>
                <w:sz w:val="20"/>
              </w:rPr>
            </w:pPr>
          </w:p>
        </w:tc>
        <w:tc>
          <w:tcPr>
            <w:tcW w:w="3402"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609"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593739">
        <w:tc>
          <w:tcPr>
            <w:tcW w:w="2547" w:type="dxa"/>
            <w:vMerge/>
          </w:tcPr>
          <w:p w14:paraId="3A32526B" w14:textId="77777777" w:rsidR="00B767F3" w:rsidRPr="002F0070" w:rsidRDefault="00B767F3" w:rsidP="002F0070">
            <w:pPr>
              <w:rPr>
                <w:rFonts w:ascii="Cambria" w:hAnsi="Cambria"/>
                <w:b/>
                <w:bCs/>
                <w:kern w:val="2"/>
                <w:sz w:val="20"/>
              </w:rPr>
            </w:pPr>
          </w:p>
        </w:tc>
        <w:tc>
          <w:tcPr>
            <w:tcW w:w="3402"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609"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593739">
        <w:tc>
          <w:tcPr>
            <w:tcW w:w="2547" w:type="dxa"/>
            <w:vMerge/>
          </w:tcPr>
          <w:p w14:paraId="0207F6D8" w14:textId="77777777" w:rsidR="00B767F3" w:rsidRPr="002F0070" w:rsidRDefault="00B767F3" w:rsidP="002F0070">
            <w:pPr>
              <w:rPr>
                <w:rFonts w:ascii="Cambria" w:hAnsi="Cambria"/>
                <w:b/>
                <w:bCs/>
                <w:kern w:val="2"/>
                <w:sz w:val="20"/>
              </w:rPr>
            </w:pPr>
          </w:p>
        </w:tc>
        <w:tc>
          <w:tcPr>
            <w:tcW w:w="3402"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609"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77FABD74"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A53E67">
              <w:rPr>
                <w:rFonts w:ascii="Cambria" w:hAnsi="Cambria"/>
                <w:b/>
                <w:kern w:val="2"/>
                <w:sz w:val="20"/>
              </w:rPr>
              <w:t>deguonies drėkintuvus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0A782DD" w:rsidR="00B767F3" w:rsidRPr="002F0070" w:rsidRDefault="004F43A0" w:rsidP="002F0070">
            <w:pPr>
              <w:rPr>
                <w:rFonts w:ascii="Cambria" w:hAnsi="Cambria"/>
                <w:kern w:val="2"/>
                <w:sz w:val="20"/>
              </w:rPr>
            </w:pPr>
            <w:r w:rsidRPr="00A53E67">
              <w:rPr>
                <w:rFonts w:ascii="Cambria" w:hAnsi="Cambria"/>
                <w:kern w:val="2"/>
                <w:sz w:val="20"/>
              </w:rPr>
              <w:t>Atviras konkursas</w:t>
            </w:r>
            <w:r w:rsidR="00A53E67" w:rsidRPr="00A53E67">
              <w:rPr>
                <w:rFonts w:ascii="Cambria" w:hAnsi="Cambria"/>
                <w:kern w:val="2"/>
                <w:sz w:val="20"/>
              </w:rPr>
              <w:t xml:space="preserve"> „Deguonies drėkintuvai“ Nr.</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5A3246B" w14:textId="77777777" w:rsidR="00B767F3"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17BD2B2B" w14:textId="51FAD90B" w:rsidR="00042D5B" w:rsidRPr="00700184" w:rsidRDefault="00042D5B" w:rsidP="00700184">
            <w:pPr>
              <w:spacing w:after="120"/>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w:t>
            </w:r>
            <w:r w:rsidRPr="00527376">
              <w:rPr>
                <w:rFonts w:ascii="Cambria" w:hAnsi="Cambria"/>
                <w:sz w:val="20"/>
              </w:rPr>
              <w:t xml:space="preserve">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0FD2F1B2"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kalba</w:t>
            </w:r>
            <w:r w:rsidRPr="00321EFD">
              <w:rPr>
                <w:rFonts w:ascii="Cambria" w:hAnsi="Cambria"/>
                <w:kern w:val="2"/>
                <w:sz w:val="20"/>
              </w:rPr>
              <w:t xml:space="preserve">; (ii) Prekių perdavimo-priėmimo aktas. </w:t>
            </w:r>
          </w:p>
          <w:p w14:paraId="73FFA04B" w14:textId="5A74020F" w:rsidR="00700184" w:rsidRPr="002F0070" w:rsidRDefault="00700184" w:rsidP="00A53E67">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33085F"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B767F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F0070" w:rsidRDefault="00DD7479" w:rsidP="002F0070">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09C997" w14:textId="412F153B" w:rsidR="004F43A0" w:rsidRDefault="00DD7479" w:rsidP="00A20183">
            <w:pPr>
              <w:jc w:val="both"/>
              <w:rPr>
                <w:rFonts w:ascii="Cambria" w:hAnsi="Cambria"/>
                <w:kern w:val="2"/>
                <w:sz w:val="20"/>
              </w:rPr>
            </w:pPr>
            <w:r w:rsidRPr="00A20183">
              <w:rPr>
                <w:rFonts w:ascii="Cambria" w:hAnsi="Cambria"/>
                <w:kern w:val="2"/>
                <w:sz w:val="20"/>
              </w:rPr>
              <w:t xml:space="preserve">Prekėms nustatomas Techninėje specifikacijoje nustatytas </w:t>
            </w:r>
            <w:r w:rsidRPr="002F0070">
              <w:rPr>
                <w:rFonts w:ascii="Cambria" w:hAnsi="Cambria"/>
                <w:kern w:val="2"/>
                <w:sz w:val="20"/>
              </w:rPr>
              <w:t xml:space="preserve">garantinis terminas, kuris yra </w:t>
            </w:r>
            <w:r w:rsidR="00A53E67" w:rsidRPr="00A53E67">
              <w:rPr>
                <w:rFonts w:ascii="Cambria" w:hAnsi="Cambria"/>
                <w:kern w:val="2"/>
                <w:sz w:val="20"/>
              </w:rPr>
              <w:t>(žr. sutarties priedą Nr. 1 „Techninė specifikacija“</w:t>
            </w:r>
            <w:r w:rsidR="00955CE2">
              <w:rPr>
                <w:rFonts w:ascii="Cambria" w:hAnsi="Cambria"/>
                <w:kern w:val="2"/>
                <w:sz w:val="20"/>
              </w:rPr>
              <w:t xml:space="preserve"> (1 </w:t>
            </w:r>
            <w:proofErr w:type="spellStart"/>
            <w:r w:rsidR="00955CE2">
              <w:rPr>
                <w:rFonts w:ascii="Cambria" w:hAnsi="Cambria"/>
                <w:kern w:val="2"/>
                <w:sz w:val="20"/>
              </w:rPr>
              <w:t>p.d</w:t>
            </w:r>
            <w:proofErr w:type="spellEnd"/>
            <w:r w:rsidR="00955CE2">
              <w:rPr>
                <w:rFonts w:ascii="Cambria" w:hAnsi="Cambria"/>
                <w:kern w:val="2"/>
                <w:sz w:val="20"/>
              </w:rPr>
              <w:t xml:space="preserve">. 14 p., 2 </w:t>
            </w:r>
            <w:proofErr w:type="spellStart"/>
            <w:r w:rsidR="00955CE2">
              <w:rPr>
                <w:rFonts w:ascii="Cambria" w:hAnsi="Cambria"/>
                <w:kern w:val="2"/>
                <w:sz w:val="20"/>
              </w:rPr>
              <w:t>p.d</w:t>
            </w:r>
            <w:proofErr w:type="spellEnd"/>
            <w:r w:rsidR="00955CE2">
              <w:rPr>
                <w:rFonts w:ascii="Cambria" w:hAnsi="Cambria"/>
                <w:kern w:val="2"/>
                <w:sz w:val="20"/>
              </w:rPr>
              <w:t>. 14 p.)</w:t>
            </w:r>
            <w:bookmarkStart w:id="0" w:name="_GoBack"/>
            <w:bookmarkEnd w:id="0"/>
            <w:r w:rsidR="00A53E67" w:rsidRPr="00A53E67">
              <w:rPr>
                <w:rFonts w:ascii="Cambria" w:hAnsi="Cambria"/>
                <w:kern w:val="2"/>
                <w:sz w:val="20"/>
              </w:rPr>
              <w:t>).</w:t>
            </w:r>
          </w:p>
          <w:p w14:paraId="5290D4C5" w14:textId="2B5D5EC7" w:rsidR="00B767F3" w:rsidRPr="002F0070" w:rsidRDefault="00DD7479" w:rsidP="00A20183">
            <w:pPr>
              <w:jc w:val="both"/>
              <w:rPr>
                <w:rFonts w:ascii="Cambria" w:hAnsi="Cambria"/>
                <w:kern w:val="2"/>
                <w:sz w:val="20"/>
              </w:rPr>
            </w:pPr>
            <w:r w:rsidRPr="002F0070">
              <w:rPr>
                <w:rFonts w:ascii="Cambria" w:hAnsi="Cambria"/>
                <w:kern w:val="2"/>
                <w:sz w:val="20"/>
              </w:rPr>
              <w:t>Garantinis terminas, skaičiuojamas nuo Prekių perdavimo–priėmimo akto ar Sąskaitos (kai Prekių perdavimo–priėmimo aktas nėra pasirašomas) pasirašymo dienos.</w:t>
            </w:r>
          </w:p>
        </w:tc>
      </w:tr>
      <w:tr w:rsidR="00B767F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2F0070" w:rsidRDefault="00DD7479" w:rsidP="002F007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6E25508" w:rsidR="004F43A0" w:rsidRPr="00A53E67" w:rsidRDefault="00DD7479" w:rsidP="00A20183">
            <w:pPr>
              <w:jc w:val="both"/>
              <w:rPr>
                <w:rFonts w:ascii="Cambria" w:hAnsi="Cambria"/>
                <w:sz w:val="20"/>
              </w:rPr>
            </w:pPr>
            <w:r w:rsidRPr="00A53E67">
              <w:rPr>
                <w:rFonts w:ascii="Cambria" w:hAnsi="Cambria"/>
                <w:sz w:val="20"/>
              </w:rPr>
              <w:t xml:space="preserve">Garantinio termino laikotarpiu nustačius Prekių trūkumų, Tiekėjas turi </w:t>
            </w:r>
            <w:r w:rsidRPr="00A53E67">
              <w:rPr>
                <w:rFonts w:ascii="Cambria" w:hAnsi="Cambria"/>
                <w:bCs/>
                <w:sz w:val="20"/>
              </w:rPr>
              <w:t>ne vėliau kaip</w:t>
            </w:r>
            <w:r w:rsidRPr="00A53E67">
              <w:rPr>
                <w:rFonts w:ascii="Cambria" w:hAnsi="Cambria"/>
                <w:sz w:val="20"/>
              </w:rPr>
              <w:t xml:space="preserve"> per </w:t>
            </w:r>
            <w:r w:rsidR="00A20183" w:rsidRPr="00A53E67">
              <w:rPr>
                <w:rFonts w:ascii="Cambria" w:hAnsi="Cambria"/>
                <w:sz w:val="20"/>
                <w:shd w:val="clear" w:color="auto" w:fill="FFFFFF" w:themeFill="background1"/>
                <w:lang w:eastAsia="lt-LT"/>
              </w:rPr>
              <w:t>15 (penkiolika)</w:t>
            </w:r>
            <w:r w:rsidR="00A20183" w:rsidRPr="00A53E67">
              <w:rPr>
                <w:rFonts w:ascii="Cambria" w:hAnsi="Cambria"/>
                <w:sz w:val="20"/>
                <w:lang w:eastAsia="lt-LT"/>
              </w:rPr>
              <w:t xml:space="preserve"> darbo dienų</w:t>
            </w:r>
            <w:r w:rsidR="004F43A0" w:rsidRPr="00A53E67">
              <w:rPr>
                <w:rFonts w:ascii="Cambria" w:hAnsi="Cambria"/>
                <w:sz w:val="20"/>
                <w:lang w:eastAsia="lt-LT"/>
              </w:rPr>
              <w:t xml:space="preserve"> </w:t>
            </w:r>
            <w:r w:rsidRPr="00A53E67">
              <w:rPr>
                <w:rFonts w:ascii="Cambria" w:hAnsi="Cambria"/>
                <w:sz w:val="20"/>
              </w:rPr>
              <w:t>nuo rašytinės pretenzijos gavimo dienos pašalinti Prekių trūkumus.</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lastRenderedPageBreak/>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lastRenderedPageBreak/>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7417E0E6"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A53E67">
              <w:rPr>
                <w:rFonts w:ascii="Cambria" w:hAnsi="Cambria"/>
                <w:color w:val="000000"/>
                <w:kern w:val="2"/>
                <w:sz w:val="20"/>
              </w:rPr>
              <w:t>36</w:t>
            </w:r>
            <w:r w:rsidR="009F5CF5" w:rsidRPr="000E5E41">
              <w:rPr>
                <w:rFonts w:ascii="Cambria" w:hAnsi="Cambria"/>
                <w:kern w:val="2"/>
                <w:sz w:val="20"/>
              </w:rPr>
              <w:t xml:space="preserve"> (</w:t>
            </w:r>
            <w:r w:rsidR="00A53E67">
              <w:rPr>
                <w:rFonts w:ascii="Cambria" w:hAnsi="Cambria"/>
                <w:kern w:val="2"/>
                <w:sz w:val="20"/>
              </w:rPr>
              <w:t>trisdešimt šeši</w:t>
            </w:r>
            <w:r w:rsidR="009F5CF5" w:rsidRPr="000E5E41">
              <w:rPr>
                <w:rFonts w:ascii="Cambria" w:hAnsi="Cambria"/>
                <w:kern w:val="2"/>
                <w:sz w:val="20"/>
              </w:rPr>
              <w:t>) mėnesi</w:t>
            </w:r>
            <w:r w:rsidR="00A53E67">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03C8E3C" w14:textId="77777777" w:rsidR="00A53E67" w:rsidRDefault="00A53E67" w:rsidP="00A53E67">
            <w:pPr>
              <w:rPr>
                <w:rFonts w:ascii="Cambria" w:hAnsi="Cambria"/>
                <w:kern w:val="2"/>
                <w:sz w:val="20"/>
              </w:rPr>
            </w:pPr>
            <w:r w:rsidRPr="002F0070">
              <w:rPr>
                <w:rFonts w:ascii="Cambria" w:hAnsi="Cambria"/>
                <w:kern w:val="2"/>
                <w:sz w:val="20"/>
              </w:rPr>
              <w:t xml:space="preserve">Netaikoma </w:t>
            </w:r>
          </w:p>
          <w:p w14:paraId="5BFF1F84" w14:textId="18917B86"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lastRenderedPageBreak/>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lastRenderedPageBreak/>
              <w:t xml:space="preserve">14.1. </w:t>
            </w:r>
          </w:p>
        </w:tc>
        <w:tc>
          <w:tcPr>
            <w:tcW w:w="6835" w:type="dxa"/>
            <w:gridSpan w:val="3"/>
          </w:tcPr>
          <w:p w14:paraId="612BA4B0" w14:textId="2D6B288E" w:rsidR="00B05B68" w:rsidRPr="00A53E67" w:rsidRDefault="00B05B68" w:rsidP="00B05B68">
            <w:pPr>
              <w:rPr>
                <w:rFonts w:ascii="Cambria" w:hAnsi="Cambria"/>
                <w:kern w:val="2"/>
                <w:sz w:val="20"/>
              </w:rPr>
            </w:pPr>
            <w:r w:rsidRPr="00A53E67">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A53E67" w:rsidRDefault="00B05B68" w:rsidP="00B05B68">
            <w:pPr>
              <w:rPr>
                <w:rFonts w:ascii="Cambria" w:hAnsi="Cambria"/>
                <w:kern w:val="2"/>
                <w:sz w:val="20"/>
              </w:rPr>
            </w:pPr>
            <w:r w:rsidRPr="00A53E67">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A53E67" w:rsidRDefault="00B05B68" w:rsidP="00B05B68">
            <w:pPr>
              <w:rPr>
                <w:rFonts w:ascii="Cambria" w:hAnsi="Cambria"/>
                <w:kern w:val="2"/>
                <w:sz w:val="20"/>
              </w:rPr>
            </w:pPr>
            <w:r w:rsidRPr="00A53E67">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A53E67" w:rsidRDefault="00B05B68" w:rsidP="00B05B68">
            <w:pPr>
              <w:rPr>
                <w:rFonts w:ascii="Cambria" w:hAnsi="Cambria"/>
                <w:color w:val="0070C0"/>
                <w:kern w:val="2"/>
                <w:sz w:val="20"/>
              </w:rPr>
            </w:pPr>
            <w:r w:rsidRPr="00A53E67">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A53E67">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29D4C218" w14:textId="0956C6BF" w:rsidR="00A53E67" w:rsidRDefault="00A53E67" w:rsidP="00A53E67">
            <w:pPr>
              <w:jc w:val="center"/>
              <w:rPr>
                <w:rFonts w:ascii="Cambria" w:hAnsi="Cambria"/>
                <w:sz w:val="20"/>
              </w:rPr>
            </w:pPr>
            <w:r w:rsidRPr="0088592B">
              <w:rPr>
                <w:rFonts w:ascii="Cambria" w:hAnsi="Cambria"/>
                <w:sz w:val="20"/>
              </w:rPr>
              <w:t>Generalinis direktorius</w:t>
            </w:r>
          </w:p>
          <w:p w14:paraId="79278680" w14:textId="6226E61D" w:rsidR="00B767F3" w:rsidRPr="002F0070" w:rsidRDefault="00A53E67" w:rsidP="00A53E67">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A53E67" w:rsidRDefault="00DD7479" w:rsidP="002F0070">
            <w:pPr>
              <w:jc w:val="center"/>
              <w:rPr>
                <w:rFonts w:ascii="Cambria" w:hAnsi="Cambria"/>
                <w:b/>
                <w:bCs/>
                <w:kern w:val="2"/>
                <w:sz w:val="20"/>
              </w:rPr>
            </w:pPr>
            <w:r w:rsidRPr="00A53E67">
              <w:rPr>
                <w:rFonts w:ascii="Cambria" w:hAnsi="Cambria"/>
                <w:b/>
                <w:bCs/>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111" w:type="dxa"/>
        <w:tblInd w:w="-5" w:type="dxa"/>
        <w:tblLook w:val="04A0" w:firstRow="1" w:lastRow="0" w:firstColumn="1" w:lastColumn="0" w:noHBand="0" w:noVBand="1"/>
      </w:tblPr>
      <w:tblGrid>
        <w:gridCol w:w="968"/>
        <w:gridCol w:w="2510"/>
        <w:gridCol w:w="1960"/>
        <w:gridCol w:w="680"/>
        <w:gridCol w:w="1350"/>
        <w:gridCol w:w="926"/>
        <w:gridCol w:w="835"/>
        <w:gridCol w:w="882"/>
      </w:tblGrid>
      <w:tr w:rsidR="00A53E67" w:rsidRPr="00A53E67" w14:paraId="4DD59382" w14:textId="77777777" w:rsidTr="00A53E67">
        <w:trPr>
          <w:trHeight w:val="518"/>
        </w:trPr>
        <w:tc>
          <w:tcPr>
            <w:tcW w:w="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93045" w14:textId="77777777" w:rsidR="00A53E67" w:rsidRPr="00A53E67" w:rsidRDefault="00A53E67" w:rsidP="00A53E67">
            <w:pPr>
              <w:jc w:val="center"/>
              <w:rPr>
                <w:rFonts w:ascii="Cambria" w:hAnsi="Cambria" w:cs="Calibri"/>
                <w:b/>
                <w:bCs/>
                <w:sz w:val="20"/>
                <w:lang w:eastAsia="lt-LT"/>
              </w:rPr>
            </w:pPr>
            <w:r w:rsidRPr="00A53E67">
              <w:rPr>
                <w:rFonts w:ascii="Cambria" w:hAnsi="Cambria" w:cs="Calibri"/>
                <w:b/>
                <w:bCs/>
                <w:sz w:val="20"/>
                <w:lang w:eastAsia="lt-LT"/>
              </w:rPr>
              <w:t>Pirkimo dalies Nr.</w:t>
            </w:r>
          </w:p>
        </w:tc>
        <w:tc>
          <w:tcPr>
            <w:tcW w:w="2510" w:type="dxa"/>
            <w:tcBorders>
              <w:top w:val="single" w:sz="4" w:space="0" w:color="auto"/>
              <w:left w:val="nil"/>
              <w:bottom w:val="single" w:sz="4" w:space="0" w:color="auto"/>
              <w:right w:val="single" w:sz="4" w:space="0" w:color="auto"/>
            </w:tcBorders>
            <w:shd w:val="clear" w:color="000000" w:fill="FFFFFF"/>
            <w:vAlign w:val="center"/>
            <w:hideMark/>
          </w:tcPr>
          <w:p w14:paraId="39AD9238" w14:textId="77777777" w:rsidR="00A53E67" w:rsidRPr="00A53E67" w:rsidRDefault="00A53E67" w:rsidP="00A53E67">
            <w:pPr>
              <w:jc w:val="center"/>
              <w:rPr>
                <w:rFonts w:ascii="Cambria" w:hAnsi="Cambria" w:cs="Calibri"/>
                <w:b/>
                <w:bCs/>
                <w:sz w:val="20"/>
                <w:lang w:eastAsia="lt-LT"/>
              </w:rPr>
            </w:pPr>
            <w:r w:rsidRPr="00A53E67">
              <w:rPr>
                <w:rFonts w:ascii="Cambria" w:hAnsi="Cambria" w:cs="Calibri"/>
                <w:b/>
                <w:bCs/>
                <w:sz w:val="20"/>
                <w:lang w:eastAsia="lt-LT"/>
              </w:rPr>
              <w:t>Pavadinimas</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2CF4F4D" w14:textId="77777777" w:rsidR="00A53E67" w:rsidRPr="00A53E67" w:rsidRDefault="00A53E67" w:rsidP="00A53E67">
            <w:pPr>
              <w:jc w:val="center"/>
              <w:rPr>
                <w:rFonts w:ascii="Cambria" w:hAnsi="Cambria" w:cs="Calibri"/>
                <w:b/>
                <w:bCs/>
                <w:sz w:val="20"/>
                <w:lang w:eastAsia="lt-LT"/>
              </w:rPr>
            </w:pPr>
            <w:r w:rsidRPr="00A53E67">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6221875" w14:textId="77777777" w:rsidR="00A53E67" w:rsidRPr="00A53E67" w:rsidRDefault="00A53E67" w:rsidP="00A53E67">
            <w:pPr>
              <w:jc w:val="center"/>
              <w:rPr>
                <w:rFonts w:ascii="Cambria" w:hAnsi="Cambria" w:cs="Calibri"/>
                <w:b/>
                <w:bCs/>
                <w:color w:val="000000"/>
                <w:sz w:val="20"/>
                <w:lang w:eastAsia="lt-LT"/>
              </w:rPr>
            </w:pPr>
            <w:r w:rsidRPr="00A53E67">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5113864" w14:textId="77777777" w:rsidR="00A53E67" w:rsidRPr="00A53E67" w:rsidRDefault="00A53E67" w:rsidP="00A53E67">
            <w:pPr>
              <w:jc w:val="center"/>
              <w:rPr>
                <w:rFonts w:ascii="Cambria" w:hAnsi="Cambria" w:cs="Calibri"/>
                <w:b/>
                <w:bCs/>
                <w:sz w:val="20"/>
                <w:lang w:eastAsia="lt-LT"/>
              </w:rPr>
            </w:pPr>
            <w:r w:rsidRPr="00A53E67">
              <w:rPr>
                <w:rFonts w:ascii="Cambria" w:hAnsi="Cambria" w:cs="Calibri"/>
                <w:b/>
                <w:bCs/>
                <w:sz w:val="20"/>
                <w:lang w:eastAsia="lt-LT"/>
              </w:rPr>
              <w:t>Orientacinis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50AD1FC8" w14:textId="77777777" w:rsidR="00A53E67" w:rsidRPr="00A53E67" w:rsidRDefault="00A53E67" w:rsidP="00A53E67">
            <w:pPr>
              <w:jc w:val="center"/>
              <w:rPr>
                <w:rFonts w:ascii="Cambria" w:hAnsi="Cambria" w:cs="Calibri"/>
                <w:b/>
                <w:bCs/>
                <w:sz w:val="20"/>
                <w:lang w:eastAsia="lt-LT"/>
              </w:rPr>
            </w:pPr>
            <w:r w:rsidRPr="00A53E67">
              <w:rPr>
                <w:rFonts w:ascii="Cambria" w:hAnsi="Cambria" w:cs="Calibri"/>
                <w:b/>
                <w:bCs/>
                <w:sz w:val="20"/>
                <w:lang w:eastAsia="lt-LT"/>
              </w:rPr>
              <w:t>Vieneto kaina Eur</w:t>
            </w:r>
            <w:r w:rsidRPr="00A53E67">
              <w:rPr>
                <w:rFonts w:ascii="Cambria" w:hAnsi="Cambria" w:cs="Calibri"/>
                <w:b/>
                <w:bCs/>
                <w:sz w:val="20"/>
                <w:lang w:eastAsia="lt-LT"/>
              </w:rPr>
              <w:br/>
              <w:t>(be PVM)</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1CA91220" w14:textId="77777777" w:rsidR="00A53E67" w:rsidRPr="00A53E67" w:rsidRDefault="00A53E67" w:rsidP="00A53E67">
            <w:pPr>
              <w:jc w:val="center"/>
              <w:rPr>
                <w:rFonts w:ascii="Cambria" w:hAnsi="Cambria" w:cs="Calibri"/>
                <w:b/>
                <w:bCs/>
                <w:sz w:val="20"/>
                <w:lang w:eastAsia="lt-LT"/>
              </w:rPr>
            </w:pPr>
            <w:r w:rsidRPr="00A53E67">
              <w:rPr>
                <w:rFonts w:ascii="Cambria" w:hAnsi="Cambria" w:cs="Calibri"/>
                <w:b/>
                <w:bCs/>
                <w:sz w:val="20"/>
                <w:lang w:eastAsia="lt-LT"/>
              </w:rPr>
              <w:t xml:space="preserve">Kaina viso    Eur </w:t>
            </w:r>
            <w:r w:rsidRPr="00A53E67">
              <w:rPr>
                <w:rFonts w:ascii="Cambria" w:hAnsi="Cambria" w:cs="Calibri"/>
                <w:b/>
                <w:bCs/>
                <w:sz w:val="20"/>
                <w:lang w:eastAsia="lt-LT"/>
              </w:rPr>
              <w:br/>
              <w:t>(be PVM)</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1D2920A1" w14:textId="77777777" w:rsidR="00A53E67" w:rsidRPr="00A53E67" w:rsidRDefault="00A53E67" w:rsidP="00A53E67">
            <w:pPr>
              <w:jc w:val="center"/>
              <w:rPr>
                <w:rFonts w:ascii="Cambria" w:hAnsi="Cambria" w:cs="Calibri"/>
                <w:b/>
                <w:bCs/>
                <w:sz w:val="20"/>
                <w:lang w:eastAsia="lt-LT"/>
              </w:rPr>
            </w:pPr>
            <w:r w:rsidRPr="00A53E67">
              <w:rPr>
                <w:rFonts w:ascii="Cambria" w:hAnsi="Cambria" w:cs="Calibri"/>
                <w:b/>
                <w:bCs/>
                <w:sz w:val="20"/>
                <w:lang w:eastAsia="lt-LT"/>
              </w:rPr>
              <w:t xml:space="preserve">Kaina viso    Eur </w:t>
            </w:r>
            <w:r w:rsidRPr="00A53E67">
              <w:rPr>
                <w:rFonts w:ascii="Cambria" w:hAnsi="Cambria" w:cs="Calibri"/>
                <w:b/>
                <w:bCs/>
                <w:sz w:val="20"/>
                <w:lang w:eastAsia="lt-LT"/>
              </w:rPr>
              <w:br/>
              <w:t>(su PVM)</w:t>
            </w:r>
          </w:p>
        </w:tc>
      </w:tr>
      <w:tr w:rsidR="00A53E67" w:rsidRPr="00A53E67" w14:paraId="5886E06E" w14:textId="77777777" w:rsidTr="00A53E67">
        <w:trPr>
          <w:trHeight w:val="224"/>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1588C5F6" w14:textId="77777777" w:rsidR="00A53E67" w:rsidRPr="00A53E67" w:rsidRDefault="00A53E67" w:rsidP="00A53E67">
            <w:pPr>
              <w:jc w:val="center"/>
              <w:rPr>
                <w:rFonts w:ascii="Cambria" w:hAnsi="Cambria" w:cs="Calibri"/>
                <w:bCs/>
                <w:color w:val="000000"/>
                <w:sz w:val="20"/>
                <w:lang w:eastAsia="lt-LT"/>
              </w:rPr>
            </w:pPr>
            <w:r w:rsidRPr="00A53E67">
              <w:rPr>
                <w:rFonts w:ascii="Cambria" w:hAnsi="Cambria" w:cs="Calibri"/>
                <w:bCs/>
                <w:color w:val="000000"/>
                <w:sz w:val="20"/>
                <w:lang w:eastAsia="lt-LT"/>
              </w:rPr>
              <w:t>1</w:t>
            </w:r>
          </w:p>
        </w:tc>
        <w:tc>
          <w:tcPr>
            <w:tcW w:w="2510" w:type="dxa"/>
            <w:tcBorders>
              <w:top w:val="nil"/>
              <w:left w:val="nil"/>
              <w:bottom w:val="single" w:sz="4" w:space="0" w:color="auto"/>
              <w:right w:val="single" w:sz="4" w:space="0" w:color="auto"/>
            </w:tcBorders>
            <w:shd w:val="clear" w:color="auto" w:fill="auto"/>
            <w:vAlign w:val="center"/>
            <w:hideMark/>
          </w:tcPr>
          <w:p w14:paraId="3B1F18C7" w14:textId="77777777" w:rsidR="00A53E67" w:rsidRPr="00A53E67" w:rsidRDefault="00A53E67" w:rsidP="00A53E67">
            <w:pPr>
              <w:rPr>
                <w:rFonts w:ascii="Cambria" w:hAnsi="Cambria" w:cs="Calibri"/>
                <w:color w:val="000000"/>
                <w:sz w:val="20"/>
                <w:lang w:eastAsia="lt-LT"/>
              </w:rPr>
            </w:pPr>
            <w:r w:rsidRPr="00A53E67">
              <w:rPr>
                <w:rFonts w:ascii="Cambria" w:hAnsi="Cambria" w:cs="Calibri"/>
                <w:color w:val="000000"/>
                <w:sz w:val="20"/>
                <w:lang w:eastAsia="lt-LT"/>
              </w:rPr>
              <w:t>Deguonies drėkintuvai</w:t>
            </w:r>
          </w:p>
        </w:tc>
        <w:tc>
          <w:tcPr>
            <w:tcW w:w="1960" w:type="dxa"/>
            <w:tcBorders>
              <w:top w:val="nil"/>
              <w:left w:val="nil"/>
              <w:bottom w:val="single" w:sz="4" w:space="0" w:color="auto"/>
              <w:right w:val="single" w:sz="4" w:space="0" w:color="auto"/>
            </w:tcBorders>
            <w:shd w:val="clear" w:color="auto" w:fill="auto"/>
            <w:vAlign w:val="bottom"/>
            <w:hideMark/>
          </w:tcPr>
          <w:p w14:paraId="33065CCA" w14:textId="77777777" w:rsidR="00A53E67" w:rsidRPr="00A53E67" w:rsidRDefault="00A53E67" w:rsidP="00A53E67">
            <w:pPr>
              <w:jc w:val="center"/>
              <w:rPr>
                <w:rFonts w:ascii="Cambria" w:hAnsi="Cambria" w:cs="Calibri"/>
                <w:color w:val="000000"/>
                <w:sz w:val="20"/>
                <w:lang w:eastAsia="lt-LT"/>
              </w:rPr>
            </w:pPr>
            <w:r w:rsidRPr="00A53E67">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16228AB3" w14:textId="77777777" w:rsidR="00A53E67" w:rsidRPr="00A53E67" w:rsidRDefault="00A53E67" w:rsidP="00A53E67">
            <w:pPr>
              <w:jc w:val="center"/>
              <w:rPr>
                <w:rFonts w:ascii="Cambria" w:hAnsi="Cambria" w:cs="Calibri"/>
                <w:color w:val="000000"/>
                <w:sz w:val="20"/>
                <w:lang w:eastAsia="lt-LT"/>
              </w:rPr>
            </w:pPr>
            <w:r w:rsidRPr="00A53E67">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62FBC49" w14:textId="77777777" w:rsidR="00A53E67" w:rsidRPr="00A53E67" w:rsidRDefault="00A53E67" w:rsidP="00A53E67">
            <w:pPr>
              <w:jc w:val="center"/>
              <w:rPr>
                <w:rFonts w:ascii="Cambria" w:hAnsi="Cambria" w:cs="Calibri"/>
                <w:color w:val="000000"/>
                <w:sz w:val="20"/>
                <w:lang w:eastAsia="lt-LT"/>
              </w:rPr>
            </w:pPr>
            <w:r w:rsidRPr="00A53E67">
              <w:rPr>
                <w:rFonts w:ascii="Cambria" w:hAnsi="Cambria" w:cs="Calibri"/>
                <w:color w:val="000000"/>
                <w:sz w:val="20"/>
                <w:lang w:eastAsia="lt-LT"/>
              </w:rPr>
              <w:t>200</w:t>
            </w:r>
          </w:p>
        </w:tc>
        <w:tc>
          <w:tcPr>
            <w:tcW w:w="926" w:type="dxa"/>
            <w:tcBorders>
              <w:top w:val="nil"/>
              <w:left w:val="nil"/>
              <w:bottom w:val="single" w:sz="4" w:space="0" w:color="auto"/>
              <w:right w:val="single" w:sz="4" w:space="0" w:color="auto"/>
            </w:tcBorders>
            <w:shd w:val="clear" w:color="auto" w:fill="auto"/>
            <w:vAlign w:val="bottom"/>
            <w:hideMark/>
          </w:tcPr>
          <w:p w14:paraId="30570C65" w14:textId="77777777" w:rsidR="00A53E67" w:rsidRPr="00A53E67" w:rsidRDefault="00A53E67" w:rsidP="00A53E67">
            <w:pPr>
              <w:jc w:val="center"/>
              <w:rPr>
                <w:rFonts w:ascii="Cambria" w:hAnsi="Cambria" w:cs="Calibri"/>
                <w:color w:val="000000"/>
                <w:sz w:val="20"/>
                <w:lang w:eastAsia="lt-LT"/>
              </w:rPr>
            </w:pPr>
            <w:r w:rsidRPr="00A53E67">
              <w:rPr>
                <w:rFonts w:ascii="Cambria" w:hAnsi="Cambria" w:cs="Calibri"/>
                <w:color w:val="000000"/>
                <w:sz w:val="20"/>
                <w:lang w:eastAsia="lt-LT"/>
              </w:rPr>
              <w:t> </w:t>
            </w:r>
          </w:p>
        </w:tc>
        <w:tc>
          <w:tcPr>
            <w:tcW w:w="835" w:type="dxa"/>
            <w:tcBorders>
              <w:top w:val="nil"/>
              <w:left w:val="nil"/>
              <w:bottom w:val="single" w:sz="4" w:space="0" w:color="auto"/>
              <w:right w:val="single" w:sz="4" w:space="0" w:color="auto"/>
            </w:tcBorders>
            <w:shd w:val="clear" w:color="auto" w:fill="auto"/>
            <w:vAlign w:val="bottom"/>
            <w:hideMark/>
          </w:tcPr>
          <w:p w14:paraId="16834A4C" w14:textId="77777777" w:rsidR="00A53E67" w:rsidRPr="00A53E67" w:rsidRDefault="00A53E67" w:rsidP="00A53E67">
            <w:pPr>
              <w:jc w:val="center"/>
              <w:rPr>
                <w:rFonts w:ascii="Cambria" w:hAnsi="Cambria" w:cs="Calibri"/>
                <w:color w:val="000000"/>
                <w:sz w:val="20"/>
                <w:lang w:eastAsia="lt-LT"/>
              </w:rPr>
            </w:pPr>
            <w:r w:rsidRPr="00A53E67">
              <w:rPr>
                <w:rFonts w:ascii="Cambria" w:hAnsi="Cambria" w:cs="Calibri"/>
                <w:color w:val="000000"/>
                <w:sz w:val="20"/>
                <w:lang w:eastAsia="lt-LT"/>
              </w:rPr>
              <w:t> </w:t>
            </w:r>
          </w:p>
        </w:tc>
        <w:tc>
          <w:tcPr>
            <w:tcW w:w="882" w:type="dxa"/>
            <w:tcBorders>
              <w:top w:val="nil"/>
              <w:left w:val="nil"/>
              <w:bottom w:val="single" w:sz="4" w:space="0" w:color="auto"/>
              <w:right w:val="single" w:sz="4" w:space="0" w:color="auto"/>
            </w:tcBorders>
            <w:shd w:val="clear" w:color="auto" w:fill="auto"/>
            <w:vAlign w:val="bottom"/>
            <w:hideMark/>
          </w:tcPr>
          <w:p w14:paraId="45C603A6" w14:textId="77777777" w:rsidR="00A53E67" w:rsidRPr="00A53E67" w:rsidRDefault="00A53E67" w:rsidP="00A53E67">
            <w:pPr>
              <w:jc w:val="center"/>
              <w:rPr>
                <w:rFonts w:ascii="Cambria" w:hAnsi="Cambria" w:cs="Calibri"/>
                <w:color w:val="000000"/>
                <w:sz w:val="20"/>
                <w:lang w:eastAsia="lt-LT"/>
              </w:rPr>
            </w:pPr>
            <w:r w:rsidRPr="00A53E67">
              <w:rPr>
                <w:rFonts w:ascii="Cambria" w:hAnsi="Cambria" w:cs="Calibri"/>
                <w:color w:val="000000"/>
                <w:sz w:val="20"/>
                <w:lang w:eastAsia="lt-LT"/>
              </w:rPr>
              <w:t> </w:t>
            </w:r>
          </w:p>
        </w:tc>
      </w:tr>
      <w:tr w:rsidR="00A53E67" w:rsidRPr="00A53E67" w14:paraId="1C9E5CBA" w14:textId="77777777" w:rsidTr="00A53E67">
        <w:trPr>
          <w:trHeight w:val="224"/>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495CAFBB" w14:textId="77777777" w:rsidR="00A53E67" w:rsidRPr="00A53E67" w:rsidRDefault="00A53E67" w:rsidP="00A53E67">
            <w:pPr>
              <w:jc w:val="center"/>
              <w:rPr>
                <w:rFonts w:ascii="Cambria" w:hAnsi="Cambria" w:cs="Calibri"/>
                <w:bCs/>
                <w:color w:val="000000"/>
                <w:sz w:val="20"/>
                <w:lang w:eastAsia="lt-LT"/>
              </w:rPr>
            </w:pPr>
            <w:r w:rsidRPr="00A53E67">
              <w:rPr>
                <w:rFonts w:ascii="Cambria" w:hAnsi="Cambria" w:cs="Calibri"/>
                <w:bCs/>
                <w:color w:val="000000"/>
                <w:sz w:val="20"/>
                <w:lang w:eastAsia="lt-LT"/>
              </w:rPr>
              <w:t>2</w:t>
            </w:r>
          </w:p>
        </w:tc>
        <w:tc>
          <w:tcPr>
            <w:tcW w:w="2510" w:type="dxa"/>
            <w:tcBorders>
              <w:top w:val="nil"/>
              <w:left w:val="nil"/>
              <w:bottom w:val="single" w:sz="4" w:space="0" w:color="auto"/>
              <w:right w:val="single" w:sz="4" w:space="0" w:color="auto"/>
            </w:tcBorders>
            <w:shd w:val="clear" w:color="auto" w:fill="auto"/>
            <w:noWrap/>
            <w:vAlign w:val="center"/>
            <w:hideMark/>
          </w:tcPr>
          <w:p w14:paraId="03CE75A0" w14:textId="77777777" w:rsidR="00A53E67" w:rsidRPr="00A53E67" w:rsidRDefault="00A53E67" w:rsidP="00A53E67">
            <w:pPr>
              <w:rPr>
                <w:rFonts w:ascii="Cambria" w:hAnsi="Cambria" w:cs="Calibri"/>
                <w:color w:val="000000"/>
                <w:sz w:val="20"/>
                <w:lang w:eastAsia="lt-LT"/>
              </w:rPr>
            </w:pPr>
            <w:r w:rsidRPr="00A53E67">
              <w:rPr>
                <w:rFonts w:ascii="Cambria" w:hAnsi="Cambria" w:cs="Calibri"/>
                <w:color w:val="000000"/>
                <w:sz w:val="20"/>
                <w:lang w:eastAsia="lt-LT"/>
              </w:rPr>
              <w:t>Deguonies drėkintuvas</w:t>
            </w:r>
          </w:p>
        </w:tc>
        <w:tc>
          <w:tcPr>
            <w:tcW w:w="1960" w:type="dxa"/>
            <w:tcBorders>
              <w:top w:val="nil"/>
              <w:left w:val="nil"/>
              <w:bottom w:val="single" w:sz="4" w:space="0" w:color="auto"/>
              <w:right w:val="single" w:sz="4" w:space="0" w:color="auto"/>
            </w:tcBorders>
            <w:shd w:val="clear" w:color="auto" w:fill="auto"/>
            <w:vAlign w:val="bottom"/>
            <w:hideMark/>
          </w:tcPr>
          <w:p w14:paraId="228322B0" w14:textId="77777777" w:rsidR="00A53E67" w:rsidRPr="00A53E67" w:rsidRDefault="00A53E67" w:rsidP="00A53E67">
            <w:pPr>
              <w:jc w:val="center"/>
              <w:rPr>
                <w:rFonts w:ascii="Cambria" w:hAnsi="Cambria" w:cs="Calibri"/>
                <w:color w:val="000000"/>
                <w:sz w:val="20"/>
                <w:lang w:eastAsia="lt-LT"/>
              </w:rPr>
            </w:pPr>
            <w:r w:rsidRPr="00A53E67">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1BD6902F" w14:textId="77777777" w:rsidR="00A53E67" w:rsidRPr="00A53E67" w:rsidRDefault="00A53E67" w:rsidP="00A53E67">
            <w:pPr>
              <w:jc w:val="center"/>
              <w:rPr>
                <w:rFonts w:ascii="Cambria" w:hAnsi="Cambria" w:cs="Calibri"/>
                <w:color w:val="000000"/>
                <w:sz w:val="20"/>
                <w:lang w:eastAsia="lt-LT"/>
              </w:rPr>
            </w:pPr>
            <w:r w:rsidRPr="00A53E67">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166112D" w14:textId="77777777" w:rsidR="00A53E67" w:rsidRPr="00A53E67" w:rsidRDefault="00A53E67" w:rsidP="00A53E67">
            <w:pPr>
              <w:jc w:val="center"/>
              <w:rPr>
                <w:rFonts w:ascii="Cambria" w:hAnsi="Cambria" w:cs="Calibri"/>
                <w:color w:val="000000"/>
                <w:sz w:val="20"/>
                <w:lang w:eastAsia="lt-LT"/>
              </w:rPr>
            </w:pPr>
            <w:r w:rsidRPr="00A53E67">
              <w:rPr>
                <w:rFonts w:ascii="Cambria" w:hAnsi="Cambria" w:cs="Calibri"/>
                <w:color w:val="000000"/>
                <w:sz w:val="20"/>
                <w:lang w:eastAsia="lt-LT"/>
              </w:rPr>
              <w:t>6</w:t>
            </w:r>
          </w:p>
        </w:tc>
        <w:tc>
          <w:tcPr>
            <w:tcW w:w="926" w:type="dxa"/>
            <w:tcBorders>
              <w:top w:val="nil"/>
              <w:left w:val="nil"/>
              <w:bottom w:val="single" w:sz="4" w:space="0" w:color="auto"/>
              <w:right w:val="single" w:sz="4" w:space="0" w:color="auto"/>
            </w:tcBorders>
            <w:shd w:val="clear" w:color="auto" w:fill="auto"/>
            <w:vAlign w:val="bottom"/>
            <w:hideMark/>
          </w:tcPr>
          <w:p w14:paraId="13ADA45F" w14:textId="77777777" w:rsidR="00A53E67" w:rsidRPr="00A53E67" w:rsidRDefault="00A53E67" w:rsidP="00A53E67">
            <w:pPr>
              <w:jc w:val="center"/>
              <w:rPr>
                <w:rFonts w:ascii="Cambria" w:hAnsi="Cambria" w:cs="Calibri"/>
                <w:color w:val="000000"/>
                <w:sz w:val="20"/>
                <w:lang w:eastAsia="lt-LT"/>
              </w:rPr>
            </w:pPr>
            <w:r w:rsidRPr="00A53E67">
              <w:rPr>
                <w:rFonts w:ascii="Cambria" w:hAnsi="Cambria" w:cs="Calibri"/>
                <w:color w:val="000000"/>
                <w:sz w:val="20"/>
                <w:lang w:eastAsia="lt-LT"/>
              </w:rPr>
              <w:t> </w:t>
            </w:r>
          </w:p>
        </w:tc>
        <w:tc>
          <w:tcPr>
            <w:tcW w:w="835" w:type="dxa"/>
            <w:tcBorders>
              <w:top w:val="nil"/>
              <w:left w:val="nil"/>
              <w:bottom w:val="single" w:sz="4" w:space="0" w:color="auto"/>
              <w:right w:val="single" w:sz="4" w:space="0" w:color="auto"/>
            </w:tcBorders>
            <w:shd w:val="clear" w:color="auto" w:fill="auto"/>
            <w:vAlign w:val="bottom"/>
            <w:hideMark/>
          </w:tcPr>
          <w:p w14:paraId="07878CC2" w14:textId="77777777" w:rsidR="00A53E67" w:rsidRPr="00A53E67" w:rsidRDefault="00A53E67" w:rsidP="00A53E67">
            <w:pPr>
              <w:jc w:val="center"/>
              <w:rPr>
                <w:rFonts w:ascii="Cambria" w:hAnsi="Cambria" w:cs="Calibri"/>
                <w:color w:val="000000"/>
                <w:sz w:val="20"/>
                <w:lang w:eastAsia="lt-LT"/>
              </w:rPr>
            </w:pPr>
            <w:r w:rsidRPr="00A53E67">
              <w:rPr>
                <w:rFonts w:ascii="Cambria" w:hAnsi="Cambria" w:cs="Calibri"/>
                <w:color w:val="000000"/>
                <w:sz w:val="20"/>
                <w:lang w:eastAsia="lt-LT"/>
              </w:rPr>
              <w:t> </w:t>
            </w:r>
          </w:p>
        </w:tc>
        <w:tc>
          <w:tcPr>
            <w:tcW w:w="882" w:type="dxa"/>
            <w:tcBorders>
              <w:top w:val="nil"/>
              <w:left w:val="nil"/>
              <w:bottom w:val="single" w:sz="4" w:space="0" w:color="auto"/>
              <w:right w:val="single" w:sz="4" w:space="0" w:color="auto"/>
            </w:tcBorders>
            <w:shd w:val="clear" w:color="auto" w:fill="auto"/>
            <w:vAlign w:val="bottom"/>
            <w:hideMark/>
          </w:tcPr>
          <w:p w14:paraId="762FA373" w14:textId="77777777" w:rsidR="00A53E67" w:rsidRPr="00A53E67" w:rsidRDefault="00A53E67" w:rsidP="00A53E67">
            <w:pPr>
              <w:jc w:val="center"/>
              <w:rPr>
                <w:rFonts w:ascii="Cambria" w:hAnsi="Cambria" w:cs="Calibri"/>
                <w:color w:val="000000"/>
                <w:sz w:val="20"/>
                <w:lang w:eastAsia="lt-LT"/>
              </w:rPr>
            </w:pPr>
            <w:r w:rsidRPr="00A53E67">
              <w:rPr>
                <w:rFonts w:ascii="Cambria" w:hAnsi="Cambria" w:cs="Calibri"/>
                <w:color w:val="000000"/>
                <w:sz w:val="20"/>
                <w:lang w:eastAsia="lt-LT"/>
              </w:rPr>
              <w:t> </w:t>
            </w:r>
          </w:p>
        </w:tc>
      </w:tr>
      <w:tr w:rsidR="009E3200" w:rsidRPr="00A53E67" w14:paraId="7A69A2B6" w14:textId="77777777" w:rsidTr="00A53E67">
        <w:trPr>
          <w:trHeight w:val="20"/>
        </w:trPr>
        <w:tc>
          <w:tcPr>
            <w:tcW w:w="922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61654E" w14:textId="77777777" w:rsidR="009E3200" w:rsidRPr="00A53E67" w:rsidRDefault="009E3200" w:rsidP="004F3F07">
            <w:pPr>
              <w:jc w:val="right"/>
              <w:rPr>
                <w:rFonts w:ascii="Cambria" w:hAnsi="Cambria" w:cs="Calibri"/>
                <w:bCs/>
                <w:color w:val="000000"/>
                <w:sz w:val="20"/>
                <w:lang w:eastAsia="lt-LT"/>
              </w:rPr>
            </w:pPr>
            <w:r w:rsidRPr="00A53E67">
              <w:rPr>
                <w:rFonts w:ascii="Cambria" w:hAnsi="Cambria" w:cs="Calibri"/>
                <w:bCs/>
                <w:color w:val="000000"/>
                <w:sz w:val="20"/>
                <w:lang w:eastAsia="lt-LT"/>
              </w:rPr>
              <w:t>Pradinės sutarties vertė EUR (su PVM):</w:t>
            </w:r>
          </w:p>
        </w:tc>
        <w:tc>
          <w:tcPr>
            <w:tcW w:w="882" w:type="dxa"/>
            <w:tcBorders>
              <w:top w:val="nil"/>
              <w:left w:val="nil"/>
              <w:bottom w:val="single" w:sz="4" w:space="0" w:color="auto"/>
              <w:right w:val="single" w:sz="4" w:space="0" w:color="auto"/>
            </w:tcBorders>
            <w:shd w:val="clear" w:color="auto" w:fill="auto"/>
            <w:noWrap/>
            <w:vAlign w:val="bottom"/>
            <w:hideMark/>
          </w:tcPr>
          <w:p w14:paraId="7678267E" w14:textId="77777777" w:rsidR="009E3200" w:rsidRPr="00A53E67" w:rsidRDefault="009E3200" w:rsidP="004F3F07">
            <w:pPr>
              <w:jc w:val="center"/>
              <w:rPr>
                <w:rFonts w:ascii="Cambria" w:hAnsi="Cambria" w:cs="Calibri"/>
                <w:bCs/>
                <w:color w:val="000000"/>
                <w:sz w:val="20"/>
                <w:lang w:eastAsia="lt-LT"/>
              </w:rPr>
            </w:pPr>
            <w:r w:rsidRPr="00A53E67">
              <w:rPr>
                <w:rFonts w:ascii="Cambria" w:hAnsi="Cambria" w:cs="Calibri"/>
                <w:bCs/>
                <w:color w:val="000000"/>
                <w:sz w:val="20"/>
                <w:lang w:eastAsia="lt-LT"/>
              </w:rPr>
              <w:t> </w:t>
            </w:r>
          </w:p>
        </w:tc>
      </w:tr>
    </w:tbl>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581E4" w14:textId="77777777" w:rsidR="0033085F" w:rsidRDefault="0033085F">
      <w:r>
        <w:separator/>
      </w:r>
    </w:p>
  </w:endnote>
  <w:endnote w:type="continuationSeparator" w:id="0">
    <w:p w14:paraId="79679783" w14:textId="77777777" w:rsidR="0033085F" w:rsidRDefault="0033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82771" w14:textId="77777777" w:rsidR="0033085F" w:rsidRDefault="0033085F">
      <w:r>
        <w:separator/>
      </w:r>
    </w:p>
  </w:footnote>
  <w:footnote w:type="continuationSeparator" w:id="0">
    <w:p w14:paraId="18EA81B1" w14:textId="77777777" w:rsidR="0033085F" w:rsidRDefault="00330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B2EB7"/>
    <w:rsid w:val="00201517"/>
    <w:rsid w:val="00202E5E"/>
    <w:rsid w:val="00211125"/>
    <w:rsid w:val="002F0070"/>
    <w:rsid w:val="002F0B5F"/>
    <w:rsid w:val="0033085F"/>
    <w:rsid w:val="00356241"/>
    <w:rsid w:val="003B2818"/>
    <w:rsid w:val="003E5D1D"/>
    <w:rsid w:val="004E15BF"/>
    <w:rsid w:val="004F43A0"/>
    <w:rsid w:val="005828DD"/>
    <w:rsid w:val="00587E3C"/>
    <w:rsid w:val="00593739"/>
    <w:rsid w:val="005C7E47"/>
    <w:rsid w:val="006861F6"/>
    <w:rsid w:val="00700184"/>
    <w:rsid w:val="007919E1"/>
    <w:rsid w:val="0091487B"/>
    <w:rsid w:val="00955CE2"/>
    <w:rsid w:val="009E3200"/>
    <w:rsid w:val="009F5CF5"/>
    <w:rsid w:val="00A20183"/>
    <w:rsid w:val="00A4682F"/>
    <w:rsid w:val="00A53E67"/>
    <w:rsid w:val="00A701FD"/>
    <w:rsid w:val="00AA5A77"/>
    <w:rsid w:val="00AC58F5"/>
    <w:rsid w:val="00B05B68"/>
    <w:rsid w:val="00B31D53"/>
    <w:rsid w:val="00B557D9"/>
    <w:rsid w:val="00B767F3"/>
    <w:rsid w:val="00BD4F15"/>
    <w:rsid w:val="00D145BE"/>
    <w:rsid w:val="00D76015"/>
    <w:rsid w:val="00DD7479"/>
    <w:rsid w:val="00E26D72"/>
    <w:rsid w:val="00EB39E5"/>
    <w:rsid w:val="00EB6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26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11608</Words>
  <Characters>6618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2026-02-02T06:30:00Z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