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A31B5" w14:textId="77777777" w:rsidR="00D56090" w:rsidRDefault="002D55F8">
      <w:pPr>
        <w:jc w:val="center"/>
        <w:rPr>
          <w:lang w:val="lt-LT"/>
        </w:rPr>
      </w:pPr>
      <w:r>
        <w:rPr>
          <w:noProof/>
          <w:lang w:val="lt-LT" w:eastAsia="lt-LT"/>
        </w:rPr>
        <w:drawing>
          <wp:inline distT="0" distB="0" distL="0" distR="0" wp14:anchorId="29013388" wp14:editId="2E22AE04">
            <wp:extent cx="1212575" cy="962025"/>
            <wp:effectExtent l="0" t="0" r="6985" b="0"/>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597" cy="971563"/>
                    </a:xfrm>
                    <a:prstGeom prst="rect">
                      <a:avLst/>
                    </a:prstGeom>
                    <a:noFill/>
                    <a:ln>
                      <a:noFill/>
                    </a:ln>
                  </pic:spPr>
                </pic:pic>
              </a:graphicData>
            </a:graphic>
          </wp:inline>
        </w:drawing>
      </w:r>
    </w:p>
    <w:p w14:paraId="7331E34A" w14:textId="77777777" w:rsidR="00D56090" w:rsidRDefault="00D56090">
      <w:pPr>
        <w:spacing w:after="60"/>
        <w:jc w:val="center"/>
        <w:rPr>
          <w:b/>
          <w:lang w:val="lt-LT"/>
        </w:rPr>
      </w:pPr>
      <w:r>
        <w:rPr>
          <w:b/>
          <w:sz w:val="20"/>
          <w:lang w:val="lt-LT"/>
        </w:rPr>
        <w:t>VALSTYBINĖ ATOMINĖS ENERGETIKOS SAUGOS INSPEKCIJA</w:t>
      </w:r>
    </w:p>
    <w:p w14:paraId="5BE9755B" w14:textId="77777777" w:rsidR="00203F8E" w:rsidRDefault="00D56090" w:rsidP="00203F8E">
      <w:pPr>
        <w:jc w:val="center"/>
        <w:rPr>
          <w:b/>
        </w:rPr>
      </w:pPr>
      <w:r>
        <w:rPr>
          <w:b/>
        </w:rPr>
        <w:t xml:space="preserve">STATE </w:t>
      </w:r>
      <w:r w:rsidR="00E17B36">
        <w:rPr>
          <w:b/>
        </w:rPr>
        <w:t>NUCLEAR POWER</w:t>
      </w:r>
      <w:r>
        <w:rPr>
          <w:b/>
        </w:rPr>
        <w:t xml:space="preserve"> SAFETY INSPECTORATE</w:t>
      </w:r>
    </w:p>
    <w:p w14:paraId="26481E6B" w14:textId="77777777" w:rsidR="00B87D30" w:rsidRPr="00B87D30" w:rsidRDefault="00CA63AC" w:rsidP="00E17B36">
      <w:pPr>
        <w:jc w:val="center"/>
        <w:rPr>
          <w:sz w:val="18"/>
          <w:szCs w:val="18"/>
        </w:rPr>
      </w:pPr>
      <w:r>
        <w:rPr>
          <w:sz w:val="18"/>
          <w:szCs w:val="18"/>
        </w:rPr>
        <w:t>B</w:t>
      </w:r>
      <w:r w:rsidR="00203F8E" w:rsidRPr="00B87D30">
        <w:rPr>
          <w:sz w:val="18"/>
          <w:szCs w:val="18"/>
        </w:rPr>
        <w:t>udgetary agency, A.</w:t>
      </w:r>
      <w:r w:rsidR="00223591" w:rsidRPr="00B87D30">
        <w:rPr>
          <w:sz w:val="18"/>
          <w:szCs w:val="18"/>
        </w:rPr>
        <w:t xml:space="preserve"> </w:t>
      </w:r>
      <w:r w:rsidR="00203F8E" w:rsidRPr="00B87D30">
        <w:rPr>
          <w:sz w:val="18"/>
          <w:szCs w:val="18"/>
          <w:lang w:val="lt-LT"/>
        </w:rPr>
        <w:t>Goštauto</w:t>
      </w:r>
      <w:r w:rsidR="00203F8E" w:rsidRPr="00B87D30">
        <w:rPr>
          <w:sz w:val="18"/>
          <w:szCs w:val="18"/>
        </w:rPr>
        <w:t xml:space="preserve"> 12</w:t>
      </w:r>
      <w:r w:rsidR="00D56090" w:rsidRPr="00B87D30">
        <w:rPr>
          <w:sz w:val="18"/>
          <w:szCs w:val="18"/>
        </w:rPr>
        <w:t xml:space="preserve">, LT-01108 Vilnius, </w:t>
      </w:r>
      <w:r w:rsidR="00E17B36" w:rsidRPr="00B87D30">
        <w:rPr>
          <w:sz w:val="18"/>
          <w:szCs w:val="18"/>
        </w:rPr>
        <w:t xml:space="preserve">Lithuania </w:t>
      </w:r>
    </w:p>
    <w:p w14:paraId="37C3BA1A" w14:textId="77777777" w:rsidR="00D56090" w:rsidRPr="00BD71FD" w:rsidRDefault="00B87D30" w:rsidP="00E17B36">
      <w:pPr>
        <w:jc w:val="center"/>
        <w:rPr>
          <w:sz w:val="18"/>
          <w:szCs w:val="18"/>
          <w:lang w:val="pt-BR"/>
        </w:rPr>
      </w:pPr>
      <w:r w:rsidRPr="00BD71FD">
        <w:rPr>
          <w:sz w:val="18"/>
          <w:szCs w:val="18"/>
          <w:lang w:val="pt-BR"/>
        </w:rPr>
        <w:t>t</w:t>
      </w:r>
      <w:r w:rsidR="003D3E8A" w:rsidRPr="00BD71FD">
        <w:rPr>
          <w:sz w:val="18"/>
          <w:szCs w:val="18"/>
          <w:lang w:val="pt-BR"/>
        </w:rPr>
        <w:t>el</w:t>
      </w:r>
      <w:r w:rsidR="00D56090" w:rsidRPr="00BD71FD">
        <w:rPr>
          <w:sz w:val="18"/>
          <w:szCs w:val="18"/>
          <w:lang w:val="pt-BR"/>
        </w:rPr>
        <w:t>.</w:t>
      </w:r>
      <w:r w:rsidR="00D835E3" w:rsidRPr="00BD71FD">
        <w:rPr>
          <w:sz w:val="18"/>
          <w:szCs w:val="18"/>
          <w:lang w:val="pt-BR"/>
        </w:rPr>
        <w:t>:</w:t>
      </w:r>
      <w:r w:rsidR="00D56090" w:rsidRPr="00BD71FD">
        <w:rPr>
          <w:sz w:val="18"/>
          <w:szCs w:val="18"/>
          <w:lang w:val="pt-BR"/>
        </w:rPr>
        <w:t xml:space="preserve"> +370 5 262</w:t>
      </w:r>
      <w:r w:rsidR="00801D3D" w:rsidRPr="00BD71FD">
        <w:rPr>
          <w:sz w:val="18"/>
          <w:szCs w:val="18"/>
          <w:lang w:val="pt-BR"/>
        </w:rPr>
        <w:t xml:space="preserve"> </w:t>
      </w:r>
      <w:r w:rsidR="00D56090" w:rsidRPr="00BD71FD">
        <w:rPr>
          <w:sz w:val="18"/>
          <w:szCs w:val="18"/>
          <w:lang w:val="pt-BR"/>
        </w:rPr>
        <w:t>4141</w:t>
      </w:r>
      <w:r w:rsidR="00D835E3" w:rsidRPr="00BD71FD">
        <w:rPr>
          <w:sz w:val="18"/>
          <w:szCs w:val="18"/>
          <w:lang w:val="pt-BR"/>
        </w:rPr>
        <w:t>,</w:t>
      </w:r>
      <w:r w:rsidR="00D56090" w:rsidRPr="00BD71FD">
        <w:rPr>
          <w:sz w:val="18"/>
          <w:szCs w:val="18"/>
          <w:lang w:val="pt-BR"/>
        </w:rPr>
        <w:t xml:space="preserve"> 266</w:t>
      </w:r>
      <w:r w:rsidR="00801D3D" w:rsidRPr="00BD71FD">
        <w:rPr>
          <w:sz w:val="18"/>
          <w:szCs w:val="18"/>
          <w:lang w:val="pt-BR"/>
        </w:rPr>
        <w:t xml:space="preserve"> </w:t>
      </w:r>
      <w:r w:rsidR="003D3E8A" w:rsidRPr="00BD71FD">
        <w:rPr>
          <w:sz w:val="18"/>
          <w:szCs w:val="18"/>
          <w:lang w:val="pt-BR"/>
        </w:rPr>
        <w:t>1584</w:t>
      </w:r>
      <w:r w:rsidR="00E17B36" w:rsidRPr="00BD71FD">
        <w:rPr>
          <w:sz w:val="18"/>
          <w:szCs w:val="18"/>
          <w:lang w:val="pt-BR"/>
        </w:rPr>
        <w:t>,</w:t>
      </w:r>
      <w:r w:rsidRPr="00BD71FD">
        <w:rPr>
          <w:sz w:val="18"/>
          <w:szCs w:val="18"/>
          <w:lang w:val="pt-BR"/>
        </w:rPr>
        <w:t xml:space="preserve"> f</w:t>
      </w:r>
      <w:r w:rsidR="003D3E8A" w:rsidRPr="00BD71FD">
        <w:rPr>
          <w:sz w:val="18"/>
          <w:szCs w:val="18"/>
          <w:lang w:val="pt-BR"/>
        </w:rPr>
        <w:t>ax</w:t>
      </w:r>
      <w:r w:rsidR="00D56090" w:rsidRPr="00BD71FD">
        <w:rPr>
          <w:sz w:val="18"/>
          <w:szCs w:val="18"/>
          <w:lang w:val="pt-BR"/>
        </w:rPr>
        <w:t>.</w:t>
      </w:r>
      <w:r w:rsidR="00D835E3" w:rsidRPr="00BD71FD">
        <w:rPr>
          <w:sz w:val="18"/>
          <w:szCs w:val="18"/>
          <w:lang w:val="pt-BR"/>
        </w:rPr>
        <w:t>:</w:t>
      </w:r>
      <w:r w:rsidR="00D56090" w:rsidRPr="00BD71FD">
        <w:rPr>
          <w:sz w:val="18"/>
          <w:szCs w:val="18"/>
          <w:lang w:val="pt-BR"/>
        </w:rPr>
        <w:t xml:space="preserve"> +370 5 261</w:t>
      </w:r>
      <w:r w:rsidR="00801D3D" w:rsidRPr="00BD71FD">
        <w:rPr>
          <w:sz w:val="18"/>
          <w:szCs w:val="18"/>
          <w:lang w:val="pt-BR"/>
        </w:rPr>
        <w:t xml:space="preserve"> </w:t>
      </w:r>
      <w:r w:rsidR="00E17B36" w:rsidRPr="00BD71FD">
        <w:rPr>
          <w:sz w:val="18"/>
          <w:szCs w:val="18"/>
          <w:lang w:val="pt-BR"/>
        </w:rPr>
        <w:t xml:space="preserve">4487, </w:t>
      </w:r>
      <w:r w:rsidRPr="00BD71FD">
        <w:rPr>
          <w:sz w:val="18"/>
          <w:szCs w:val="18"/>
          <w:lang w:val="pt-BR"/>
        </w:rPr>
        <w:t>e</w:t>
      </w:r>
      <w:r w:rsidR="00557E28" w:rsidRPr="00BD71FD">
        <w:rPr>
          <w:sz w:val="18"/>
          <w:szCs w:val="18"/>
          <w:lang w:val="pt-BR"/>
        </w:rPr>
        <w:t>-</w:t>
      </w:r>
      <w:r w:rsidR="00D56090" w:rsidRPr="00BD71FD">
        <w:rPr>
          <w:sz w:val="18"/>
          <w:szCs w:val="18"/>
          <w:lang w:val="pt-BR"/>
        </w:rPr>
        <w:t>mail</w:t>
      </w:r>
      <w:r w:rsidR="00557E28" w:rsidRPr="00BD71FD">
        <w:rPr>
          <w:sz w:val="18"/>
          <w:szCs w:val="18"/>
          <w:lang w:val="pt-BR"/>
        </w:rPr>
        <w:t>:</w:t>
      </w:r>
      <w:r w:rsidR="00D56090" w:rsidRPr="00BD71FD">
        <w:rPr>
          <w:sz w:val="18"/>
          <w:szCs w:val="18"/>
          <w:lang w:val="pt-BR"/>
        </w:rPr>
        <w:t xml:space="preserve"> </w:t>
      </w:r>
      <w:hyperlink r:id="rId12" w:history="1">
        <w:r w:rsidR="00D56090" w:rsidRPr="00BD71FD">
          <w:rPr>
            <w:rStyle w:val="Hyperlink"/>
            <w:sz w:val="18"/>
            <w:szCs w:val="18"/>
            <w:lang w:val="pt-BR"/>
          </w:rPr>
          <w:t>atom@vatesi.lt</w:t>
        </w:r>
      </w:hyperlink>
      <w:r w:rsidRPr="00BD71FD">
        <w:rPr>
          <w:sz w:val="18"/>
          <w:szCs w:val="18"/>
          <w:lang w:val="pt-BR"/>
        </w:rPr>
        <w:t xml:space="preserve">,  </w:t>
      </w:r>
      <w:hyperlink r:id="rId13" w:history="1">
        <w:r w:rsidRPr="00BD71FD">
          <w:rPr>
            <w:rStyle w:val="Hyperlink"/>
            <w:sz w:val="18"/>
            <w:szCs w:val="18"/>
            <w:lang w:val="pt-BR"/>
          </w:rPr>
          <w:t>http://www.vatesi.lt</w:t>
        </w:r>
      </w:hyperlink>
      <w:r w:rsidRPr="00BD71FD">
        <w:rPr>
          <w:sz w:val="18"/>
          <w:szCs w:val="18"/>
          <w:lang w:val="pt-BR"/>
        </w:rPr>
        <w:t xml:space="preserve"> </w:t>
      </w:r>
    </w:p>
    <w:p w14:paraId="6AC73901" w14:textId="77777777" w:rsidR="00203F8E" w:rsidRPr="00B87D30" w:rsidRDefault="00203F8E" w:rsidP="00774CEE">
      <w:pPr>
        <w:pBdr>
          <w:bottom w:val="single" w:sz="4" w:space="1" w:color="auto"/>
        </w:pBdr>
        <w:jc w:val="center"/>
        <w:rPr>
          <w:sz w:val="18"/>
          <w:szCs w:val="18"/>
        </w:rPr>
      </w:pPr>
      <w:r w:rsidRPr="00B87D30">
        <w:rPr>
          <w:sz w:val="18"/>
          <w:szCs w:val="18"/>
        </w:rPr>
        <w:t>Data have been accumulated and stored in the register of Legal Entities, code 188639874</w:t>
      </w:r>
    </w:p>
    <w:p w14:paraId="77E2D917" w14:textId="77777777" w:rsidR="007D3C81" w:rsidRDefault="007D3C81" w:rsidP="007D3C81">
      <w:pPr>
        <w:rPr>
          <w:sz w:val="18"/>
          <w:szCs w:val="18"/>
        </w:rPr>
      </w:pPr>
    </w:p>
    <w:tbl>
      <w:tblPr>
        <w:tblW w:w="0" w:type="auto"/>
        <w:tblLayout w:type="fixed"/>
        <w:tblLook w:val="0000" w:firstRow="0" w:lastRow="0" w:firstColumn="0" w:lastColumn="0" w:noHBand="0" w:noVBand="0"/>
      </w:tblPr>
      <w:tblGrid>
        <w:gridCol w:w="3190"/>
        <w:gridCol w:w="2339"/>
        <w:gridCol w:w="4041"/>
      </w:tblGrid>
      <w:tr w:rsidR="00D56090" w14:paraId="4458680E" w14:textId="77777777" w:rsidTr="00AD7796">
        <w:trPr>
          <w:trHeight w:val="663"/>
        </w:trPr>
        <w:tc>
          <w:tcPr>
            <w:tcW w:w="3190" w:type="dxa"/>
          </w:tcPr>
          <w:p w14:paraId="54AF3FC4" w14:textId="77777777" w:rsidR="00AD7796" w:rsidRDefault="00AD7796" w:rsidP="00AD7796">
            <w:r>
              <w:t xml:space="preserve">For </w:t>
            </w:r>
            <w:r w:rsidR="00B8329D">
              <w:t>S</w:t>
            </w:r>
            <w:r>
              <w:t>uppliers</w:t>
            </w:r>
          </w:p>
          <w:p w14:paraId="622E1825" w14:textId="77777777" w:rsidR="00AD7796" w:rsidRDefault="00AD7796" w:rsidP="00AD7796"/>
          <w:p w14:paraId="1D612A65" w14:textId="77777777" w:rsidR="00D56090" w:rsidRDefault="00AD7796" w:rsidP="007E6127">
            <w:pPr>
              <w:rPr>
                <w:b/>
              </w:rPr>
            </w:pPr>
            <w:r>
              <w:t xml:space="preserve">Sent </w:t>
            </w:r>
            <w:r w:rsidR="007E6127">
              <w:t>via</w:t>
            </w:r>
            <w:r>
              <w:t xml:space="preserve"> CVP IS</w:t>
            </w:r>
            <w:r w:rsidR="007E6127">
              <w:t xml:space="preserve"> </w:t>
            </w:r>
          </w:p>
        </w:tc>
        <w:tc>
          <w:tcPr>
            <w:tcW w:w="2339" w:type="dxa"/>
          </w:tcPr>
          <w:p w14:paraId="33A42E32" w14:textId="77777777" w:rsidR="00D56090" w:rsidRDefault="00D56090">
            <w:pPr>
              <w:rPr>
                <w:b/>
              </w:rPr>
            </w:pPr>
          </w:p>
        </w:tc>
        <w:tc>
          <w:tcPr>
            <w:tcW w:w="4041" w:type="dxa"/>
          </w:tcPr>
          <w:p w14:paraId="3C8D1546" w14:textId="2A8F8AA7" w:rsidR="00AD7796" w:rsidRPr="000E7506" w:rsidRDefault="00AD7796" w:rsidP="00AD7796">
            <w:pPr>
              <w:ind w:right="243"/>
              <w:jc w:val="both"/>
            </w:pPr>
            <w:r w:rsidRPr="000E7506">
              <w:t>20</w:t>
            </w:r>
            <w:r w:rsidR="002D55F8">
              <w:t>2</w:t>
            </w:r>
            <w:r w:rsidR="00593EC4">
              <w:t>6</w:t>
            </w:r>
            <w:r w:rsidRPr="000E7506">
              <w:t>-</w:t>
            </w:r>
            <w:r w:rsidR="00593EC4">
              <w:t>01</w:t>
            </w:r>
            <w:r w:rsidRPr="000E7506">
              <w:t>-</w:t>
            </w:r>
            <w:r>
              <w:t xml:space="preserve">      </w:t>
            </w:r>
            <w:r w:rsidRPr="000E7506">
              <w:t xml:space="preserve"> Nr. (25.1-</w:t>
            </w:r>
            <w:r w:rsidR="00AF2967">
              <w:t>23</w:t>
            </w:r>
            <w:r w:rsidRPr="000E7506">
              <w:t>) 22.1-</w:t>
            </w:r>
          </w:p>
          <w:p w14:paraId="0B75E17E" w14:textId="77777777" w:rsidR="00D56090" w:rsidRDefault="00D56090">
            <w:pPr>
              <w:rPr>
                <w:b/>
              </w:rPr>
            </w:pPr>
          </w:p>
        </w:tc>
      </w:tr>
    </w:tbl>
    <w:p w14:paraId="0E9CAD4B" w14:textId="77777777" w:rsidR="00D56090" w:rsidRDefault="00D56090"/>
    <w:p w14:paraId="2BB0BF4F" w14:textId="77777777" w:rsidR="00D56090" w:rsidRDefault="00D56090"/>
    <w:p w14:paraId="3BED0D20" w14:textId="38CB2015" w:rsidR="00C35E64" w:rsidRDefault="00AD7796" w:rsidP="00BD71FD">
      <w:pPr>
        <w:pStyle w:val="Title"/>
        <w:spacing w:before="0" w:beforeAutospacing="0" w:after="0" w:afterAutospacing="0"/>
        <w:jc w:val="both"/>
        <w:rPr>
          <w:sz w:val="24"/>
          <w:szCs w:val="24"/>
          <w:lang w:val="en-GB"/>
        </w:rPr>
      </w:pPr>
      <w:r w:rsidRPr="002B5DC3">
        <w:rPr>
          <w:sz w:val="24"/>
          <w:szCs w:val="24"/>
        </w:rPr>
        <w:t xml:space="preserve">ON THE STATE NUCLEAR </w:t>
      </w:r>
      <w:r w:rsidR="00B8329D" w:rsidRPr="002B5DC3">
        <w:rPr>
          <w:sz w:val="24"/>
          <w:szCs w:val="24"/>
        </w:rPr>
        <w:t xml:space="preserve">POWER </w:t>
      </w:r>
      <w:r w:rsidRPr="002B5DC3">
        <w:rPr>
          <w:sz w:val="24"/>
          <w:szCs w:val="24"/>
        </w:rPr>
        <w:t xml:space="preserve">SAFETY INSPECTORATE CLARIFICATION OF THE </w:t>
      </w:r>
      <w:r w:rsidR="00B8329D" w:rsidRPr="002B5DC3">
        <w:rPr>
          <w:sz w:val="24"/>
          <w:szCs w:val="24"/>
        </w:rPr>
        <w:t xml:space="preserve">TERMS AND </w:t>
      </w:r>
      <w:r w:rsidRPr="002B5DC3">
        <w:rPr>
          <w:sz w:val="24"/>
          <w:szCs w:val="24"/>
        </w:rPr>
        <w:t xml:space="preserve">CONDITIONS </w:t>
      </w:r>
      <w:r w:rsidR="00B8329D" w:rsidRPr="002B5DC3">
        <w:rPr>
          <w:sz w:val="24"/>
          <w:szCs w:val="24"/>
        </w:rPr>
        <w:t>FOR</w:t>
      </w:r>
      <w:r w:rsidRPr="002B5DC3">
        <w:rPr>
          <w:sz w:val="24"/>
          <w:szCs w:val="24"/>
        </w:rPr>
        <w:t xml:space="preserve"> THE </w:t>
      </w:r>
      <w:r w:rsidR="00B8329D" w:rsidRPr="002B5DC3">
        <w:rPr>
          <w:caps/>
          <w:sz w:val="24"/>
          <w:szCs w:val="24"/>
        </w:rPr>
        <w:t xml:space="preserve">PROCUREMENT </w:t>
      </w:r>
      <w:r w:rsidR="00C35E64" w:rsidRPr="00C35E64">
        <w:rPr>
          <w:caps/>
          <w:sz w:val="24"/>
          <w:szCs w:val="24"/>
        </w:rPr>
        <w:t>NO. 5569220</w:t>
      </w:r>
      <w:r w:rsidR="00C35E64" w:rsidRPr="00C35E64">
        <w:rPr>
          <w:sz w:val="24"/>
          <w:szCs w:val="24"/>
          <w:lang w:val="en-GB"/>
        </w:rPr>
        <w:t xml:space="preserve"> </w:t>
      </w:r>
      <w:r w:rsidR="00B8329D" w:rsidRPr="002B5DC3">
        <w:rPr>
          <w:caps/>
          <w:sz w:val="24"/>
          <w:szCs w:val="24"/>
        </w:rPr>
        <w:t xml:space="preserve">OF </w:t>
      </w:r>
      <w:r w:rsidR="00BD71FD" w:rsidRPr="00B33B86">
        <w:rPr>
          <w:sz w:val="24"/>
          <w:szCs w:val="24"/>
          <w:lang w:val="en-GB"/>
        </w:rPr>
        <w:t xml:space="preserve">CONSULTING SERVICES ON REVIEW OF THE TECHNICAL DESIGN DOCUMENTATION AND ITS SAFETY JUSTIFICATION FOR THE RECONSTRUCTION OF THE IGNALINA NUCLEAR POWER PLANT BITUMINIZED RADIOACTIVE WASTE STORAGE FACILITY AND </w:t>
      </w:r>
      <w:r w:rsidR="00BD71FD">
        <w:rPr>
          <w:sz w:val="24"/>
          <w:szCs w:val="24"/>
          <w:lang w:val="en-GB"/>
        </w:rPr>
        <w:t>UPGRADE TO</w:t>
      </w:r>
      <w:r w:rsidR="00BD71FD" w:rsidRPr="003A03E8">
        <w:rPr>
          <w:sz w:val="24"/>
          <w:szCs w:val="24"/>
          <w:lang w:val="en-GB"/>
        </w:rPr>
        <w:t xml:space="preserve"> THE DISPOSAL FACILITY</w:t>
      </w:r>
    </w:p>
    <w:p w14:paraId="73452807" w14:textId="77777777" w:rsidR="002B5DC3" w:rsidRPr="002B5DC3" w:rsidRDefault="002B5DC3" w:rsidP="00B8329D">
      <w:pPr>
        <w:ind w:firstLine="720"/>
        <w:jc w:val="both"/>
        <w:rPr>
          <w:lang w:val="en-US"/>
        </w:rPr>
      </w:pPr>
    </w:p>
    <w:p w14:paraId="3F1D7D71" w14:textId="6A57E4DE" w:rsidR="00AD7796" w:rsidRDefault="007B3631" w:rsidP="00244C4B">
      <w:pPr>
        <w:ind w:firstLine="720"/>
        <w:jc w:val="both"/>
      </w:pPr>
      <w:r w:rsidRPr="007B3631">
        <w:t>The State Nuclear Power Safety Inspectorate (hereinafter referred to as VATESI) is conducting a public procurement for "Consulting services related to the review of the technical design and safety-justifying project documentation for the reconstruction and transformation of the bituminized radioactive waste storage facility into a waste disposal site" (procurement number 5569220, hereinafter referred to as the Procurement) through an open competition, and has received a request from a supplier to clarify/precisely define the Procurement documents through the Central Public Procurement Information System.</w:t>
      </w:r>
    </w:p>
    <w:p w14:paraId="48F40CC9" w14:textId="13E93D14" w:rsidR="00C35E64" w:rsidRPr="00244C4B" w:rsidRDefault="00C35E64" w:rsidP="00244C4B">
      <w:pPr>
        <w:ind w:firstLine="720"/>
        <w:jc w:val="both"/>
        <w:rPr>
          <w:lang w:val="en-US"/>
        </w:rPr>
      </w:pPr>
      <w:r w:rsidRPr="00C35E64">
        <w:rPr>
          <w:lang w:val="en-US"/>
        </w:rPr>
        <w:t>The VATESI public procurement commission provides answers to the submitted questions:</w:t>
      </w:r>
    </w:p>
    <w:p w14:paraId="69623D47" w14:textId="77777777" w:rsidR="00612392" w:rsidRDefault="00612392" w:rsidP="00B8329D">
      <w:pPr>
        <w:ind w:firstLine="720"/>
        <w:jc w:val="both"/>
      </w:pPr>
    </w:p>
    <w:tbl>
      <w:tblPr>
        <w:tblStyle w:val="TableGrid"/>
        <w:tblW w:w="5000" w:type="pct"/>
        <w:jc w:val="center"/>
        <w:tblLayout w:type="fixed"/>
        <w:tblLook w:val="04A0" w:firstRow="1" w:lastRow="0" w:firstColumn="1" w:lastColumn="0" w:noHBand="0" w:noVBand="1"/>
      </w:tblPr>
      <w:tblGrid>
        <w:gridCol w:w="421"/>
        <w:gridCol w:w="4110"/>
        <w:gridCol w:w="5098"/>
      </w:tblGrid>
      <w:tr w:rsidR="00AD7796" w:rsidRPr="00AD7796" w14:paraId="299485CC" w14:textId="77777777" w:rsidTr="00E8163A">
        <w:trPr>
          <w:jc w:val="center"/>
        </w:trPr>
        <w:tc>
          <w:tcPr>
            <w:tcW w:w="421" w:type="dxa"/>
          </w:tcPr>
          <w:p w14:paraId="78D5B5D7" w14:textId="77777777" w:rsidR="00AD7796" w:rsidRPr="00AD7796" w:rsidRDefault="00AD7796" w:rsidP="00AD7796">
            <w:pPr>
              <w:jc w:val="both"/>
            </w:pPr>
          </w:p>
        </w:tc>
        <w:tc>
          <w:tcPr>
            <w:tcW w:w="4110" w:type="dxa"/>
          </w:tcPr>
          <w:p w14:paraId="39ADEC45" w14:textId="77777777" w:rsidR="00AD7796" w:rsidRPr="00AD7796" w:rsidRDefault="00AD7796" w:rsidP="00AD7796">
            <w:pPr>
              <w:jc w:val="both"/>
              <w:rPr>
                <w:b/>
              </w:rPr>
            </w:pPr>
            <w:r w:rsidRPr="00AD7796">
              <w:rPr>
                <w:b/>
              </w:rPr>
              <w:t>QUESTION:</w:t>
            </w:r>
          </w:p>
        </w:tc>
        <w:tc>
          <w:tcPr>
            <w:tcW w:w="5098" w:type="dxa"/>
          </w:tcPr>
          <w:p w14:paraId="604DF3F2" w14:textId="77777777" w:rsidR="00AD7796" w:rsidRPr="00AD7796" w:rsidRDefault="00AD7796" w:rsidP="00AD7796">
            <w:pPr>
              <w:jc w:val="both"/>
              <w:rPr>
                <w:b/>
              </w:rPr>
            </w:pPr>
            <w:r w:rsidRPr="00AD7796">
              <w:rPr>
                <w:b/>
              </w:rPr>
              <w:t>ANSWER:</w:t>
            </w:r>
          </w:p>
        </w:tc>
      </w:tr>
      <w:tr w:rsidR="007A7356" w:rsidRPr="00FA6512" w14:paraId="42B73911" w14:textId="77777777" w:rsidTr="00E8163A">
        <w:trPr>
          <w:jc w:val="center"/>
        </w:trPr>
        <w:tc>
          <w:tcPr>
            <w:tcW w:w="421" w:type="dxa"/>
          </w:tcPr>
          <w:p w14:paraId="41DDB8C1" w14:textId="77777777" w:rsidR="007A7356" w:rsidRPr="00FA6512" w:rsidRDefault="007A7356" w:rsidP="007A7356">
            <w:pPr>
              <w:jc w:val="both"/>
            </w:pPr>
            <w:r w:rsidRPr="00FA6512">
              <w:t xml:space="preserve">1. </w:t>
            </w:r>
          </w:p>
        </w:tc>
        <w:tc>
          <w:tcPr>
            <w:tcW w:w="4110" w:type="dxa"/>
          </w:tcPr>
          <w:p w14:paraId="72058F30" w14:textId="0AD51098" w:rsidR="007A7356" w:rsidRPr="00FA6512" w:rsidRDefault="0039364C" w:rsidP="0039364C">
            <w:pPr>
              <w:jc w:val="both"/>
              <w:rPr>
                <w:i/>
                <w:iCs/>
                <w:color w:val="333333"/>
                <w:lang w:val="lt-LT" w:eastAsia="lt-LT"/>
              </w:rPr>
            </w:pPr>
            <w:proofErr w:type="spellStart"/>
            <w:r w:rsidRPr="00FA6512">
              <w:rPr>
                <w:i/>
                <w:iCs/>
                <w:color w:val="333333"/>
                <w:lang w:val="lt-LT" w:eastAsia="lt-LT"/>
              </w:rPr>
              <w:t>Can</w:t>
            </w:r>
            <w:proofErr w:type="spellEnd"/>
            <w:r w:rsidRPr="00FA6512">
              <w:rPr>
                <w:i/>
                <w:iCs/>
                <w:color w:val="333333"/>
                <w:lang w:val="lt-LT" w:eastAsia="lt-LT"/>
              </w:rPr>
              <w:t xml:space="preserve"> </w:t>
            </w:r>
            <w:proofErr w:type="spellStart"/>
            <w:r w:rsidRPr="00FA6512">
              <w:rPr>
                <w:i/>
                <w:iCs/>
                <w:color w:val="333333"/>
                <w:lang w:val="lt-LT" w:eastAsia="lt-LT"/>
              </w:rPr>
              <w:t>you</w:t>
            </w:r>
            <w:proofErr w:type="spellEnd"/>
            <w:r w:rsidRPr="00FA6512">
              <w:rPr>
                <w:i/>
                <w:iCs/>
                <w:color w:val="333333"/>
                <w:lang w:val="lt-LT" w:eastAsia="lt-LT"/>
              </w:rPr>
              <w:t xml:space="preserve"> </w:t>
            </w:r>
            <w:proofErr w:type="spellStart"/>
            <w:r w:rsidRPr="00FA6512">
              <w:rPr>
                <w:i/>
                <w:iCs/>
                <w:color w:val="333333"/>
                <w:lang w:val="lt-LT" w:eastAsia="lt-LT"/>
              </w:rPr>
              <w:t>please</w:t>
            </w:r>
            <w:proofErr w:type="spellEnd"/>
            <w:r w:rsidRPr="00FA6512">
              <w:rPr>
                <w:i/>
                <w:iCs/>
                <w:color w:val="333333"/>
                <w:lang w:val="lt-LT" w:eastAsia="lt-LT"/>
              </w:rPr>
              <w:t xml:space="preserve"> </w:t>
            </w:r>
            <w:proofErr w:type="spellStart"/>
            <w:r w:rsidRPr="00FA6512">
              <w:rPr>
                <w:i/>
                <w:iCs/>
                <w:color w:val="333333"/>
                <w:lang w:val="lt-LT" w:eastAsia="lt-LT"/>
              </w:rPr>
              <w:t>clarify</w:t>
            </w:r>
            <w:proofErr w:type="spellEnd"/>
            <w:r w:rsidRPr="00FA6512">
              <w:rPr>
                <w:i/>
                <w:iCs/>
                <w:color w:val="333333"/>
                <w:lang w:val="lt-LT" w:eastAsia="lt-LT"/>
              </w:rPr>
              <w:t xml:space="preserve"> </w:t>
            </w:r>
            <w:proofErr w:type="spellStart"/>
            <w:r w:rsidRPr="00FA6512">
              <w:rPr>
                <w:i/>
                <w:iCs/>
                <w:color w:val="333333"/>
                <w:lang w:val="lt-LT" w:eastAsia="lt-LT"/>
              </w:rPr>
              <w:t>if</w:t>
            </w:r>
            <w:proofErr w:type="spellEnd"/>
            <w:r w:rsidRPr="00FA6512">
              <w:rPr>
                <w:i/>
                <w:iCs/>
                <w:color w:val="333333"/>
                <w:lang w:val="lt-LT" w:eastAsia="lt-LT"/>
              </w:rPr>
              <w:t xml:space="preserve"> </w:t>
            </w:r>
            <w:proofErr w:type="spellStart"/>
            <w:r w:rsidRPr="00FA6512">
              <w:rPr>
                <w:i/>
                <w:iCs/>
                <w:color w:val="333333"/>
                <w:lang w:val="lt-LT" w:eastAsia="lt-LT"/>
              </w:rPr>
              <w:t>during</w:t>
            </w:r>
            <w:proofErr w:type="spellEnd"/>
            <w:r w:rsidRPr="00FA6512">
              <w:rPr>
                <w:i/>
                <w:iCs/>
                <w:color w:val="333333"/>
                <w:lang w:val="lt-LT" w:eastAsia="lt-LT"/>
              </w:rPr>
              <w:t xml:space="preserve"> </w:t>
            </w:r>
            <w:proofErr w:type="spellStart"/>
            <w:r w:rsidRPr="00FA6512">
              <w:rPr>
                <w:i/>
                <w:iCs/>
                <w:color w:val="333333"/>
                <w:lang w:val="lt-LT" w:eastAsia="lt-LT"/>
              </w:rPr>
              <w:t>the</w:t>
            </w:r>
            <w:proofErr w:type="spellEnd"/>
            <w:r w:rsidRPr="00FA6512">
              <w:rPr>
                <w:i/>
                <w:iCs/>
                <w:color w:val="333333"/>
                <w:lang w:val="lt-LT" w:eastAsia="lt-LT"/>
              </w:rPr>
              <w:t xml:space="preserve"> </w:t>
            </w:r>
            <w:proofErr w:type="spellStart"/>
            <w:r w:rsidRPr="00FA6512">
              <w:rPr>
                <w:i/>
                <w:iCs/>
                <w:color w:val="333333"/>
                <w:lang w:val="lt-LT" w:eastAsia="lt-LT"/>
              </w:rPr>
              <w:t>execution</w:t>
            </w:r>
            <w:proofErr w:type="spellEnd"/>
            <w:r w:rsidRPr="00FA6512">
              <w:rPr>
                <w:i/>
                <w:iCs/>
                <w:color w:val="333333"/>
                <w:lang w:val="lt-LT" w:eastAsia="lt-LT"/>
              </w:rPr>
              <w:t xml:space="preserve"> </w:t>
            </w:r>
            <w:proofErr w:type="spellStart"/>
            <w:r w:rsidRPr="00FA6512">
              <w:rPr>
                <w:i/>
                <w:iCs/>
                <w:color w:val="333333"/>
                <w:lang w:val="lt-LT" w:eastAsia="lt-LT"/>
              </w:rPr>
              <w:t>of</w:t>
            </w:r>
            <w:proofErr w:type="spellEnd"/>
            <w:r w:rsidRPr="00FA6512">
              <w:rPr>
                <w:i/>
                <w:iCs/>
                <w:color w:val="333333"/>
                <w:lang w:val="lt-LT" w:eastAsia="lt-LT"/>
              </w:rPr>
              <w:t xml:space="preserve"> </w:t>
            </w:r>
            <w:proofErr w:type="spellStart"/>
            <w:r w:rsidRPr="00FA6512">
              <w:rPr>
                <w:i/>
                <w:iCs/>
                <w:color w:val="333333"/>
                <w:lang w:val="lt-LT" w:eastAsia="lt-LT"/>
              </w:rPr>
              <w:t>task</w:t>
            </w:r>
            <w:proofErr w:type="spellEnd"/>
            <w:r w:rsidRPr="00FA6512">
              <w:rPr>
                <w:i/>
                <w:iCs/>
                <w:color w:val="333333"/>
                <w:lang w:val="lt-LT" w:eastAsia="lt-LT"/>
              </w:rPr>
              <w:t xml:space="preserve"> n.1 </w:t>
            </w:r>
            <w:proofErr w:type="spellStart"/>
            <w:r w:rsidRPr="00FA6512">
              <w:rPr>
                <w:i/>
                <w:iCs/>
                <w:color w:val="333333"/>
                <w:lang w:val="lt-LT" w:eastAsia="lt-LT"/>
              </w:rPr>
              <w:t>activities</w:t>
            </w:r>
            <w:proofErr w:type="spellEnd"/>
            <w:r w:rsidRPr="00FA6512">
              <w:rPr>
                <w:i/>
                <w:iCs/>
                <w:color w:val="333333"/>
                <w:lang w:val="lt-LT" w:eastAsia="lt-LT"/>
              </w:rPr>
              <w:t xml:space="preserve">, </w:t>
            </w:r>
            <w:proofErr w:type="spellStart"/>
            <w:r w:rsidRPr="00FA6512">
              <w:rPr>
                <w:i/>
                <w:iCs/>
                <w:color w:val="333333"/>
                <w:lang w:val="lt-LT" w:eastAsia="lt-LT"/>
              </w:rPr>
              <w:t>the</w:t>
            </w:r>
            <w:proofErr w:type="spellEnd"/>
            <w:r w:rsidRPr="00FA6512">
              <w:rPr>
                <w:i/>
                <w:iCs/>
                <w:color w:val="333333"/>
                <w:lang w:val="lt-LT" w:eastAsia="lt-LT"/>
              </w:rPr>
              <w:t xml:space="preserve"> </w:t>
            </w:r>
            <w:proofErr w:type="spellStart"/>
            <w:r w:rsidRPr="00FA6512">
              <w:rPr>
                <w:i/>
                <w:iCs/>
                <w:color w:val="333333"/>
                <w:lang w:val="lt-LT" w:eastAsia="lt-LT"/>
              </w:rPr>
              <w:t>review</w:t>
            </w:r>
            <w:proofErr w:type="spellEnd"/>
            <w:r w:rsidRPr="00FA6512">
              <w:rPr>
                <w:i/>
                <w:iCs/>
                <w:color w:val="333333"/>
                <w:lang w:val="lt-LT" w:eastAsia="lt-LT"/>
              </w:rPr>
              <w:t xml:space="preserve"> </w:t>
            </w:r>
            <w:proofErr w:type="spellStart"/>
            <w:r w:rsidRPr="00FA6512">
              <w:rPr>
                <w:i/>
                <w:iCs/>
                <w:color w:val="333333"/>
                <w:lang w:val="lt-LT" w:eastAsia="lt-LT"/>
              </w:rPr>
              <w:t>of</w:t>
            </w:r>
            <w:proofErr w:type="spellEnd"/>
            <w:r w:rsidRPr="00FA6512">
              <w:rPr>
                <w:i/>
                <w:iCs/>
                <w:color w:val="333333"/>
                <w:lang w:val="lt-LT" w:eastAsia="lt-LT"/>
              </w:rPr>
              <w:t xml:space="preserve"> </w:t>
            </w:r>
            <w:proofErr w:type="spellStart"/>
            <w:r w:rsidRPr="00FA6512">
              <w:rPr>
                <w:i/>
                <w:iCs/>
                <w:color w:val="333333"/>
                <w:lang w:val="lt-LT" w:eastAsia="lt-LT"/>
              </w:rPr>
              <w:t>the</w:t>
            </w:r>
            <w:proofErr w:type="spellEnd"/>
            <w:r w:rsidRPr="00FA6512">
              <w:rPr>
                <w:i/>
                <w:iCs/>
                <w:color w:val="333333"/>
                <w:lang w:val="lt-LT" w:eastAsia="lt-LT"/>
              </w:rPr>
              <w:t xml:space="preserve"> </w:t>
            </w:r>
            <w:proofErr w:type="spellStart"/>
            <w:r w:rsidRPr="00FA6512">
              <w:rPr>
                <w:i/>
                <w:iCs/>
                <w:color w:val="333333"/>
                <w:lang w:val="lt-LT" w:eastAsia="lt-LT"/>
              </w:rPr>
              <w:t>design</w:t>
            </w:r>
            <w:proofErr w:type="spellEnd"/>
            <w:r w:rsidRPr="00FA6512">
              <w:rPr>
                <w:i/>
                <w:iCs/>
                <w:color w:val="333333"/>
                <w:lang w:val="lt-LT" w:eastAsia="lt-LT"/>
              </w:rPr>
              <w:t xml:space="preserve"> </w:t>
            </w:r>
            <w:proofErr w:type="spellStart"/>
            <w:r w:rsidRPr="00FA6512">
              <w:rPr>
                <w:i/>
                <w:iCs/>
                <w:color w:val="333333"/>
                <w:lang w:val="lt-LT" w:eastAsia="lt-LT"/>
              </w:rPr>
              <w:t>includes</w:t>
            </w:r>
            <w:proofErr w:type="spellEnd"/>
            <w:r w:rsidRPr="00FA6512">
              <w:rPr>
                <w:i/>
                <w:iCs/>
                <w:color w:val="333333"/>
                <w:lang w:val="lt-LT" w:eastAsia="lt-LT"/>
              </w:rPr>
              <w:t xml:space="preserve"> </w:t>
            </w:r>
            <w:proofErr w:type="spellStart"/>
            <w:r w:rsidRPr="00FA6512">
              <w:rPr>
                <w:i/>
                <w:iCs/>
                <w:color w:val="333333"/>
                <w:lang w:val="lt-LT" w:eastAsia="lt-LT"/>
              </w:rPr>
              <w:t>the</w:t>
            </w:r>
            <w:proofErr w:type="spellEnd"/>
            <w:r w:rsidRPr="00FA6512">
              <w:rPr>
                <w:i/>
                <w:iCs/>
                <w:color w:val="333333"/>
                <w:lang w:val="lt-LT" w:eastAsia="lt-LT"/>
              </w:rPr>
              <w:t xml:space="preserve"> </w:t>
            </w:r>
            <w:proofErr w:type="spellStart"/>
            <w:r w:rsidRPr="00FA6512">
              <w:rPr>
                <w:i/>
                <w:iCs/>
                <w:color w:val="333333"/>
                <w:lang w:val="lt-LT" w:eastAsia="lt-LT"/>
              </w:rPr>
              <w:t>performance</w:t>
            </w:r>
            <w:proofErr w:type="spellEnd"/>
            <w:r w:rsidRPr="00FA6512">
              <w:rPr>
                <w:i/>
                <w:iCs/>
                <w:color w:val="333333"/>
                <w:lang w:val="lt-LT" w:eastAsia="lt-LT"/>
              </w:rPr>
              <w:t xml:space="preserve"> </w:t>
            </w:r>
            <w:proofErr w:type="spellStart"/>
            <w:r w:rsidRPr="00FA6512">
              <w:rPr>
                <w:i/>
                <w:iCs/>
                <w:color w:val="333333"/>
                <w:lang w:val="lt-LT" w:eastAsia="lt-LT"/>
              </w:rPr>
              <w:t>of</w:t>
            </w:r>
            <w:proofErr w:type="spellEnd"/>
            <w:r w:rsidRPr="00FA6512">
              <w:rPr>
                <w:i/>
                <w:iCs/>
                <w:color w:val="333333"/>
                <w:lang w:val="lt-LT" w:eastAsia="lt-LT"/>
              </w:rPr>
              <w:t xml:space="preserve"> </w:t>
            </w:r>
            <w:proofErr w:type="spellStart"/>
            <w:r w:rsidRPr="00FA6512">
              <w:rPr>
                <w:i/>
                <w:iCs/>
                <w:color w:val="333333"/>
                <w:lang w:val="lt-LT" w:eastAsia="lt-LT"/>
              </w:rPr>
              <w:t>indipendent</w:t>
            </w:r>
            <w:proofErr w:type="spellEnd"/>
            <w:r w:rsidRPr="00FA6512">
              <w:rPr>
                <w:i/>
                <w:iCs/>
                <w:color w:val="333333"/>
                <w:lang w:val="lt-LT" w:eastAsia="lt-LT"/>
              </w:rPr>
              <w:t xml:space="preserve"> </w:t>
            </w:r>
            <w:proofErr w:type="spellStart"/>
            <w:r w:rsidRPr="00FA6512">
              <w:rPr>
                <w:i/>
                <w:iCs/>
                <w:color w:val="333333"/>
                <w:lang w:val="lt-LT" w:eastAsia="lt-LT"/>
              </w:rPr>
              <w:t>structural</w:t>
            </w:r>
            <w:proofErr w:type="spellEnd"/>
            <w:r w:rsidRPr="00FA6512">
              <w:rPr>
                <w:i/>
                <w:iCs/>
                <w:color w:val="333333"/>
                <w:lang w:val="lt-LT" w:eastAsia="lt-LT"/>
              </w:rPr>
              <w:t xml:space="preserve"> </w:t>
            </w:r>
            <w:proofErr w:type="spellStart"/>
            <w:r w:rsidRPr="00FA6512">
              <w:rPr>
                <w:i/>
                <w:iCs/>
                <w:color w:val="333333"/>
                <w:lang w:val="lt-LT" w:eastAsia="lt-LT"/>
              </w:rPr>
              <w:t>calculations</w:t>
            </w:r>
            <w:proofErr w:type="spellEnd"/>
            <w:r w:rsidRPr="00FA6512">
              <w:rPr>
                <w:i/>
                <w:iCs/>
                <w:color w:val="333333"/>
                <w:lang w:val="lt-LT" w:eastAsia="lt-LT"/>
              </w:rPr>
              <w:t xml:space="preserve"> </w:t>
            </w:r>
            <w:proofErr w:type="spellStart"/>
            <w:r w:rsidRPr="00FA6512">
              <w:rPr>
                <w:i/>
                <w:iCs/>
                <w:color w:val="333333"/>
                <w:lang w:val="lt-LT" w:eastAsia="lt-LT"/>
              </w:rPr>
              <w:t>or</w:t>
            </w:r>
            <w:proofErr w:type="spellEnd"/>
            <w:r w:rsidRPr="00FA6512">
              <w:rPr>
                <w:i/>
                <w:iCs/>
                <w:color w:val="333333"/>
                <w:lang w:val="lt-LT" w:eastAsia="lt-LT"/>
              </w:rPr>
              <w:t xml:space="preserve"> </w:t>
            </w:r>
            <w:proofErr w:type="spellStart"/>
            <w:r w:rsidRPr="00FA6512">
              <w:rPr>
                <w:i/>
                <w:iCs/>
                <w:color w:val="333333"/>
                <w:lang w:val="lt-LT" w:eastAsia="lt-LT"/>
              </w:rPr>
              <w:t>the</w:t>
            </w:r>
            <w:proofErr w:type="spellEnd"/>
            <w:r w:rsidRPr="00FA6512">
              <w:rPr>
                <w:i/>
                <w:iCs/>
                <w:color w:val="333333"/>
                <w:lang w:val="lt-LT" w:eastAsia="lt-LT"/>
              </w:rPr>
              <w:t xml:space="preserve"> </w:t>
            </w:r>
            <w:proofErr w:type="spellStart"/>
            <w:r w:rsidRPr="00FA6512">
              <w:rPr>
                <w:i/>
                <w:iCs/>
                <w:color w:val="333333"/>
                <w:lang w:val="lt-LT" w:eastAsia="lt-LT"/>
              </w:rPr>
              <w:t>use</w:t>
            </w:r>
            <w:proofErr w:type="spellEnd"/>
            <w:r w:rsidRPr="00FA6512">
              <w:rPr>
                <w:i/>
                <w:iCs/>
                <w:color w:val="333333"/>
                <w:lang w:val="lt-LT" w:eastAsia="lt-LT"/>
              </w:rPr>
              <w:t xml:space="preserve"> </w:t>
            </w:r>
            <w:proofErr w:type="spellStart"/>
            <w:r w:rsidRPr="00FA6512">
              <w:rPr>
                <w:i/>
                <w:iCs/>
                <w:color w:val="333333"/>
                <w:lang w:val="lt-LT" w:eastAsia="lt-LT"/>
              </w:rPr>
              <w:t>of</w:t>
            </w:r>
            <w:proofErr w:type="spellEnd"/>
            <w:r w:rsidRPr="00FA6512">
              <w:rPr>
                <w:i/>
                <w:iCs/>
                <w:color w:val="333333"/>
                <w:lang w:val="lt-LT" w:eastAsia="lt-LT"/>
              </w:rPr>
              <w:t xml:space="preserve"> </w:t>
            </w:r>
            <w:proofErr w:type="spellStart"/>
            <w:r w:rsidRPr="00FA6512">
              <w:rPr>
                <w:i/>
                <w:iCs/>
                <w:color w:val="333333"/>
                <w:lang w:val="lt-LT" w:eastAsia="lt-LT"/>
              </w:rPr>
              <w:t>specific</w:t>
            </w:r>
            <w:proofErr w:type="spellEnd"/>
            <w:r w:rsidRPr="00FA6512">
              <w:rPr>
                <w:i/>
                <w:iCs/>
                <w:color w:val="333333"/>
                <w:lang w:val="lt-LT" w:eastAsia="lt-LT"/>
              </w:rPr>
              <w:t xml:space="preserve"> </w:t>
            </w:r>
            <w:proofErr w:type="spellStart"/>
            <w:r w:rsidRPr="00FA6512">
              <w:rPr>
                <w:i/>
                <w:iCs/>
                <w:color w:val="333333"/>
                <w:lang w:val="lt-LT" w:eastAsia="lt-LT"/>
              </w:rPr>
              <w:t>software</w:t>
            </w:r>
            <w:proofErr w:type="spellEnd"/>
            <w:r w:rsidRPr="00FA6512">
              <w:rPr>
                <w:i/>
                <w:iCs/>
                <w:color w:val="333333"/>
                <w:lang w:val="lt-LT" w:eastAsia="lt-LT"/>
              </w:rPr>
              <w:t xml:space="preserve"> to </w:t>
            </w:r>
            <w:proofErr w:type="spellStart"/>
            <w:r w:rsidRPr="00FA6512">
              <w:rPr>
                <w:i/>
                <w:iCs/>
                <w:color w:val="333333"/>
                <w:lang w:val="lt-LT" w:eastAsia="lt-LT"/>
              </w:rPr>
              <w:t>model</w:t>
            </w:r>
            <w:proofErr w:type="spellEnd"/>
            <w:r w:rsidRPr="00FA6512">
              <w:rPr>
                <w:i/>
                <w:iCs/>
                <w:color w:val="333333"/>
                <w:lang w:val="lt-LT" w:eastAsia="lt-LT"/>
              </w:rPr>
              <w:t xml:space="preserve"> </w:t>
            </w:r>
            <w:proofErr w:type="spellStart"/>
            <w:r w:rsidRPr="00FA6512">
              <w:rPr>
                <w:i/>
                <w:iCs/>
                <w:color w:val="333333"/>
                <w:lang w:val="lt-LT" w:eastAsia="lt-LT"/>
              </w:rPr>
              <w:t>the</w:t>
            </w:r>
            <w:proofErr w:type="spellEnd"/>
            <w:r w:rsidRPr="00FA6512">
              <w:rPr>
                <w:i/>
                <w:iCs/>
                <w:color w:val="333333"/>
                <w:lang w:val="lt-LT" w:eastAsia="lt-LT"/>
              </w:rPr>
              <w:t xml:space="preserve"> </w:t>
            </w:r>
            <w:proofErr w:type="spellStart"/>
            <w:r w:rsidRPr="00FA6512">
              <w:rPr>
                <w:i/>
                <w:iCs/>
                <w:color w:val="333333"/>
                <w:lang w:val="lt-LT" w:eastAsia="lt-LT"/>
              </w:rPr>
              <w:t>structure</w:t>
            </w:r>
            <w:proofErr w:type="spellEnd"/>
            <w:r w:rsidRPr="00FA6512">
              <w:rPr>
                <w:i/>
                <w:iCs/>
                <w:color w:val="333333"/>
                <w:lang w:val="lt-LT" w:eastAsia="lt-LT"/>
              </w:rPr>
              <w:t xml:space="preserve">, </w:t>
            </w:r>
            <w:proofErr w:type="spellStart"/>
            <w:r w:rsidRPr="00FA6512">
              <w:rPr>
                <w:i/>
                <w:iCs/>
                <w:color w:val="333333"/>
                <w:lang w:val="lt-LT" w:eastAsia="lt-LT"/>
              </w:rPr>
              <w:t>loads</w:t>
            </w:r>
            <w:proofErr w:type="spellEnd"/>
            <w:r w:rsidRPr="00FA6512">
              <w:rPr>
                <w:i/>
                <w:iCs/>
                <w:color w:val="333333"/>
                <w:lang w:val="lt-LT" w:eastAsia="lt-LT"/>
              </w:rPr>
              <w:t xml:space="preserve">, </w:t>
            </w:r>
            <w:proofErr w:type="spellStart"/>
            <w:r w:rsidRPr="00FA6512">
              <w:rPr>
                <w:i/>
                <w:iCs/>
                <w:color w:val="333333"/>
                <w:lang w:val="lt-LT" w:eastAsia="lt-LT"/>
              </w:rPr>
              <w:t>etc</w:t>
            </w:r>
            <w:proofErr w:type="spellEnd"/>
            <w:r w:rsidRPr="00FA6512">
              <w:rPr>
                <w:i/>
                <w:iCs/>
                <w:color w:val="333333"/>
                <w:lang w:val="lt-LT" w:eastAsia="lt-LT"/>
              </w:rPr>
              <w:t xml:space="preserve"> </w:t>
            </w:r>
            <w:proofErr w:type="spellStart"/>
            <w:r w:rsidRPr="00FA6512">
              <w:rPr>
                <w:i/>
                <w:iCs/>
                <w:color w:val="333333"/>
                <w:lang w:val="lt-LT" w:eastAsia="lt-LT"/>
              </w:rPr>
              <w:t>of</w:t>
            </w:r>
            <w:proofErr w:type="spellEnd"/>
            <w:r w:rsidRPr="00FA6512">
              <w:rPr>
                <w:i/>
                <w:iCs/>
                <w:color w:val="333333"/>
                <w:lang w:val="lt-LT" w:eastAsia="lt-LT"/>
              </w:rPr>
              <w:t xml:space="preserve"> </w:t>
            </w:r>
            <w:proofErr w:type="spellStart"/>
            <w:r w:rsidRPr="00FA6512">
              <w:rPr>
                <w:i/>
                <w:iCs/>
                <w:color w:val="333333"/>
                <w:lang w:val="lt-LT" w:eastAsia="lt-LT"/>
              </w:rPr>
              <w:t>the</w:t>
            </w:r>
            <w:proofErr w:type="spellEnd"/>
            <w:r w:rsidRPr="00FA6512">
              <w:rPr>
                <w:i/>
                <w:iCs/>
                <w:color w:val="333333"/>
                <w:lang w:val="lt-LT" w:eastAsia="lt-LT"/>
              </w:rPr>
              <w:t xml:space="preserve"> </w:t>
            </w:r>
            <w:proofErr w:type="spellStart"/>
            <w:r w:rsidRPr="00FA6512">
              <w:rPr>
                <w:i/>
                <w:iCs/>
                <w:color w:val="333333"/>
                <w:lang w:val="lt-LT" w:eastAsia="lt-LT"/>
              </w:rPr>
              <w:t>deposit</w:t>
            </w:r>
            <w:proofErr w:type="spellEnd"/>
            <w:r w:rsidRPr="00FA6512">
              <w:rPr>
                <w:i/>
                <w:iCs/>
                <w:color w:val="333333"/>
                <w:lang w:val="lt-LT" w:eastAsia="lt-LT"/>
              </w:rPr>
              <w:t xml:space="preserve"> </w:t>
            </w:r>
            <w:proofErr w:type="spellStart"/>
            <w:r w:rsidRPr="00FA6512">
              <w:rPr>
                <w:i/>
                <w:iCs/>
                <w:color w:val="333333"/>
                <w:lang w:val="lt-LT" w:eastAsia="lt-LT"/>
              </w:rPr>
              <w:t>design</w:t>
            </w:r>
            <w:proofErr w:type="spellEnd"/>
            <w:r w:rsidRPr="00FA6512">
              <w:rPr>
                <w:i/>
                <w:iCs/>
                <w:color w:val="333333"/>
                <w:lang w:val="lt-LT" w:eastAsia="lt-LT"/>
              </w:rPr>
              <w:t xml:space="preserve">? </w:t>
            </w:r>
          </w:p>
        </w:tc>
        <w:tc>
          <w:tcPr>
            <w:tcW w:w="5098" w:type="dxa"/>
          </w:tcPr>
          <w:p w14:paraId="738E78C5" w14:textId="035777E7" w:rsidR="007A7356" w:rsidRDefault="002D01F4" w:rsidP="00BD7DDA">
            <w:pPr>
              <w:tabs>
                <w:tab w:val="left" w:pos="851"/>
              </w:tabs>
              <w:jc w:val="both"/>
              <w:rPr>
                <w:color w:val="000000"/>
                <w:lang w:eastAsia="lt-LT"/>
              </w:rPr>
            </w:pPr>
            <w:r w:rsidRPr="002D01F4">
              <w:rPr>
                <w:color w:val="000000"/>
                <w:lang w:eastAsia="lt-LT"/>
              </w:rPr>
              <w:t xml:space="preserve">The subject of this procurement is consulting services related to the review of </w:t>
            </w:r>
            <w:r w:rsidR="0068384E">
              <w:rPr>
                <w:color w:val="000000"/>
                <w:lang w:eastAsia="lt-LT"/>
              </w:rPr>
              <w:t>design documentation</w:t>
            </w:r>
            <w:r w:rsidR="005931A1">
              <w:rPr>
                <w:color w:val="000000"/>
                <w:lang w:eastAsia="lt-LT"/>
              </w:rPr>
              <w:t xml:space="preserve"> </w:t>
            </w:r>
            <w:r w:rsidR="0068384E">
              <w:rPr>
                <w:color w:val="000000"/>
                <w:lang w:eastAsia="lt-LT"/>
              </w:rPr>
              <w:t>(</w:t>
            </w:r>
            <w:r w:rsidRPr="002D01F4">
              <w:rPr>
                <w:color w:val="000000"/>
                <w:lang w:eastAsia="lt-LT"/>
              </w:rPr>
              <w:t xml:space="preserve">technical </w:t>
            </w:r>
            <w:r w:rsidR="0068384E">
              <w:rPr>
                <w:color w:val="000000"/>
                <w:lang w:eastAsia="lt-LT"/>
              </w:rPr>
              <w:t>design</w:t>
            </w:r>
            <w:r w:rsidRPr="002D01F4">
              <w:rPr>
                <w:color w:val="000000"/>
                <w:lang w:eastAsia="lt-LT"/>
              </w:rPr>
              <w:t xml:space="preserve"> and </w:t>
            </w:r>
            <w:r w:rsidR="005931A1">
              <w:rPr>
                <w:color w:val="000000"/>
                <w:lang w:eastAsia="lt-LT"/>
              </w:rPr>
              <w:t>PSAR and other relevant</w:t>
            </w:r>
            <w:r w:rsidRPr="002D01F4">
              <w:rPr>
                <w:color w:val="000000"/>
                <w:lang w:eastAsia="lt-LT"/>
              </w:rPr>
              <w:t xml:space="preserve"> </w:t>
            </w:r>
            <w:r w:rsidR="0068384E" w:rsidRPr="002D01F4">
              <w:rPr>
                <w:color w:val="000000"/>
                <w:lang w:eastAsia="lt-LT"/>
              </w:rPr>
              <w:t>document</w:t>
            </w:r>
            <w:r w:rsidR="005931A1">
              <w:rPr>
                <w:color w:val="000000"/>
                <w:lang w:eastAsia="lt-LT"/>
              </w:rPr>
              <w:t>s</w:t>
            </w:r>
            <w:r w:rsidR="0068384E">
              <w:rPr>
                <w:color w:val="000000"/>
                <w:lang w:eastAsia="lt-LT"/>
              </w:rPr>
              <w:t>)</w:t>
            </w:r>
            <w:r w:rsidR="0068384E" w:rsidRPr="002D01F4">
              <w:rPr>
                <w:color w:val="000000"/>
                <w:lang w:eastAsia="lt-LT"/>
              </w:rPr>
              <w:t xml:space="preserve"> </w:t>
            </w:r>
            <w:r w:rsidR="0068384E">
              <w:rPr>
                <w:color w:val="000000"/>
                <w:lang w:eastAsia="lt-LT"/>
              </w:rPr>
              <w:t xml:space="preserve">for </w:t>
            </w:r>
            <w:r w:rsidRPr="002D01F4">
              <w:rPr>
                <w:color w:val="000000"/>
                <w:lang w:eastAsia="lt-LT"/>
              </w:rPr>
              <w:t>the reconstruction of the bituminized radioactive waste storage and its conversion into a waste repository. In accordance with clauses 2.2, 3.1, 3.2, and 3.3 of the Technical Specification (hereinafter referred to as TS) of this procurement,</w:t>
            </w:r>
            <w:r>
              <w:t xml:space="preserve"> </w:t>
            </w:r>
            <w:r w:rsidRPr="002D01F4">
              <w:rPr>
                <w:color w:val="000000"/>
                <w:lang w:eastAsia="lt-LT"/>
              </w:rPr>
              <w:t>the Supplier must provide scientific and technical support to VATESI, following the Schedule, the requirements and conditions set out in the TS, as well as the nuclear, radiation, and physical safety requirements and standards set out in the laws of the Republic of Lithuania, standards, and IAEA documents</w:t>
            </w:r>
            <w:r w:rsidR="00F11BA4">
              <w:rPr>
                <w:color w:val="000000"/>
                <w:lang w:eastAsia="lt-LT"/>
              </w:rPr>
              <w:t xml:space="preserve">, </w:t>
            </w:r>
            <w:r w:rsidR="00F11BA4" w:rsidRPr="00F11BA4">
              <w:rPr>
                <w:color w:val="000000"/>
                <w:lang w:eastAsia="lt-LT"/>
              </w:rPr>
              <w:t xml:space="preserve">and, pursuant to subsections 3.1 and 3.2, shall also provide recommendations and specific proposals for the improvement, </w:t>
            </w:r>
            <w:r w:rsidR="00F11BA4" w:rsidRPr="00F11BA4">
              <w:rPr>
                <w:color w:val="000000"/>
                <w:lang w:eastAsia="lt-LT"/>
              </w:rPr>
              <w:lastRenderedPageBreak/>
              <w:t xml:space="preserve">optimization, refinement, and adjustment of the solutions identified in the </w:t>
            </w:r>
            <w:r w:rsidR="005931A1">
              <w:rPr>
                <w:color w:val="000000"/>
                <w:lang w:eastAsia="lt-LT"/>
              </w:rPr>
              <w:t>design</w:t>
            </w:r>
            <w:r w:rsidR="00F11BA4" w:rsidRPr="00F11BA4">
              <w:rPr>
                <w:color w:val="000000"/>
                <w:lang w:eastAsia="lt-LT"/>
              </w:rPr>
              <w:t xml:space="preserve"> documentation.</w:t>
            </w:r>
          </w:p>
          <w:p w14:paraId="2C33E289" w14:textId="1BEB1DB0" w:rsidR="004356E2" w:rsidRPr="004356E2" w:rsidRDefault="00F11BA4" w:rsidP="004356E2">
            <w:pPr>
              <w:tabs>
                <w:tab w:val="left" w:pos="851"/>
              </w:tabs>
              <w:jc w:val="both"/>
              <w:rPr>
                <w:color w:val="000000"/>
                <w:lang w:eastAsia="lt-LT"/>
              </w:rPr>
            </w:pPr>
            <w:r w:rsidRPr="00F11BA4">
              <w:rPr>
                <w:color w:val="000000"/>
                <w:lang w:eastAsia="lt-LT"/>
              </w:rPr>
              <w:t xml:space="preserve">Subparagraph 14.1.2.2.4 of Part A of the Procurement Conditions defines the following functions for the category of experts in civil engineering and construction mechanics: </w:t>
            </w:r>
            <w:r w:rsidR="00841504" w:rsidRPr="00841504">
              <w:rPr>
                <w:color w:val="000000"/>
                <w:lang w:eastAsia="lt-LT"/>
              </w:rPr>
              <w:t>review of the nuclear facility‘s design, safety justification and investigation documents (parts of the documents) in relation to the review of the design assumptions, modelling, calculations and evaluation of test results, ageing management of structures, systems and components that affect safety and/or perform safety functions (including existing and/or to be designed</w:t>
            </w:r>
            <w:r w:rsidRPr="00F11BA4">
              <w:rPr>
                <w:color w:val="000000"/>
                <w:lang w:eastAsia="lt-LT"/>
              </w:rPr>
              <w:t>.</w:t>
            </w:r>
            <w:r w:rsidR="00132330">
              <w:rPr>
                <w:color w:val="000000"/>
                <w:lang w:eastAsia="lt-LT"/>
              </w:rPr>
              <w:t xml:space="preserve"> </w:t>
            </w:r>
            <w:r w:rsidR="00132330" w:rsidRPr="00132330">
              <w:rPr>
                <w:color w:val="000000"/>
                <w:lang w:eastAsia="lt-LT"/>
              </w:rPr>
              <w:t xml:space="preserve">It is also stated in this subparagraph (c) that experts must have experience </w:t>
            </w:r>
            <w:r w:rsidR="00841504" w:rsidRPr="00841504">
              <w:rPr>
                <w:color w:val="000000"/>
                <w:lang w:eastAsia="lt-LT"/>
              </w:rPr>
              <w:t>in drafting at least one technical design and/or safety justification documents or part thereof for a radioactive waste management facility and/or experience in carrying out the regulatory review of at least one of such documents or part thereof.</w:t>
            </w:r>
            <w:r w:rsidR="00132330" w:rsidRPr="00132330">
              <w:rPr>
                <w:color w:val="000000"/>
                <w:lang w:eastAsia="lt-LT"/>
              </w:rPr>
              <w:t xml:space="preserve"> Therefore, in order to properly provide consulting services and scientific-technical support, these experts must have practical experience in performing structural load </w:t>
            </w:r>
            <w:r w:rsidR="007A4230" w:rsidRPr="00132330">
              <w:rPr>
                <w:color w:val="000000"/>
                <w:lang w:eastAsia="lt-LT"/>
              </w:rPr>
              <w:t>modelling</w:t>
            </w:r>
            <w:r w:rsidR="00132330" w:rsidRPr="00132330">
              <w:rPr>
                <w:color w:val="000000"/>
                <w:lang w:eastAsia="lt-LT"/>
              </w:rPr>
              <w:t xml:space="preserve"> using specialized software.</w:t>
            </w:r>
            <w:r w:rsidR="004356E2">
              <w:t xml:space="preserve"> </w:t>
            </w:r>
            <w:r w:rsidR="004356E2" w:rsidRPr="004356E2">
              <w:rPr>
                <w:color w:val="000000"/>
                <w:lang w:eastAsia="lt-LT"/>
              </w:rPr>
              <w:t xml:space="preserve">Confirmatory calculations are one of the possible </w:t>
            </w:r>
            <w:r w:rsidR="004356E2">
              <w:rPr>
                <w:color w:val="000000"/>
                <w:lang w:eastAsia="lt-LT"/>
              </w:rPr>
              <w:t>components</w:t>
            </w:r>
            <w:r w:rsidR="004356E2" w:rsidRPr="004356E2">
              <w:rPr>
                <w:color w:val="000000"/>
                <w:lang w:eastAsia="lt-LT"/>
              </w:rPr>
              <w:t xml:space="preserve"> of the regulator's review to help identify possible deficiencies in the safety analysis, the safety margin or the degree of conservatism and they strengthen confidence in the decision tak</w:t>
            </w:r>
            <w:r w:rsidR="004356E2">
              <w:rPr>
                <w:color w:val="000000"/>
                <w:lang w:eastAsia="lt-LT"/>
              </w:rPr>
              <w:t>ing</w:t>
            </w:r>
            <w:r w:rsidR="004356E2" w:rsidRPr="004356E2">
              <w:rPr>
                <w:color w:val="000000"/>
                <w:lang w:eastAsia="lt-LT"/>
              </w:rPr>
              <w:t>.</w:t>
            </w:r>
          </w:p>
          <w:p w14:paraId="5A5324CA" w14:textId="0AB76D76" w:rsidR="00F11BA4" w:rsidRPr="002D01F4" w:rsidRDefault="004356E2" w:rsidP="004356E2">
            <w:pPr>
              <w:tabs>
                <w:tab w:val="left" w:pos="851"/>
              </w:tabs>
              <w:jc w:val="both"/>
              <w:rPr>
                <w:color w:val="000000"/>
                <w:lang w:eastAsia="lt-LT"/>
              </w:rPr>
            </w:pPr>
            <w:r w:rsidRPr="004356E2">
              <w:rPr>
                <w:color w:val="000000"/>
                <w:lang w:eastAsia="lt-LT"/>
              </w:rPr>
              <w:t xml:space="preserve">Thus, </w:t>
            </w:r>
            <w:r>
              <w:rPr>
                <w:color w:val="000000"/>
                <w:lang w:eastAsia="lt-LT"/>
              </w:rPr>
              <w:t>in integrative manner</w:t>
            </w:r>
            <w:r w:rsidRPr="004356E2">
              <w:rPr>
                <w:color w:val="000000"/>
                <w:lang w:eastAsia="lt-LT"/>
              </w:rPr>
              <w:t xml:space="preserve"> assessing the above-mentioned requirements of sub-paragraphs 2.2, 3.1 – 3.3 of the TS, the functions set out in Sub-paragraph 14.1.2.2.4 of Part A of the P</w:t>
            </w:r>
            <w:r w:rsidR="00AE3008">
              <w:rPr>
                <w:color w:val="000000"/>
                <w:lang w:eastAsia="lt-LT"/>
              </w:rPr>
              <w:t>rocurement conditions</w:t>
            </w:r>
            <w:r w:rsidRPr="004356E2">
              <w:rPr>
                <w:color w:val="000000"/>
                <w:lang w:eastAsia="lt-LT"/>
              </w:rPr>
              <w:t xml:space="preserve"> and the requirements for experts of this category, the procured services also include the performance of independent confirmatory calculations </w:t>
            </w:r>
            <w:r w:rsidR="007A4230">
              <w:rPr>
                <w:color w:val="000000"/>
                <w:lang w:eastAsia="lt-LT"/>
              </w:rPr>
              <w:t xml:space="preserve"> and modelling </w:t>
            </w:r>
            <w:r w:rsidRPr="004356E2">
              <w:rPr>
                <w:color w:val="000000"/>
                <w:lang w:eastAsia="lt-LT"/>
              </w:rPr>
              <w:t>to the extent necessary in order to ascertain whether the results of the assessments provided in the documents under review are correct, thus providing high-quality and full-fledged scientific-technical support to VATESI.</w:t>
            </w:r>
          </w:p>
        </w:tc>
      </w:tr>
      <w:tr w:rsidR="00FA6512" w:rsidRPr="00FA6512" w14:paraId="112BBE49" w14:textId="77777777" w:rsidTr="00E8163A">
        <w:trPr>
          <w:jc w:val="center"/>
        </w:trPr>
        <w:tc>
          <w:tcPr>
            <w:tcW w:w="421" w:type="dxa"/>
          </w:tcPr>
          <w:p w14:paraId="565E5970" w14:textId="739C6445" w:rsidR="00FA6512" w:rsidRPr="00FA6512" w:rsidRDefault="00FA6512" w:rsidP="007A7356">
            <w:pPr>
              <w:jc w:val="both"/>
            </w:pPr>
            <w:r w:rsidRPr="00FA6512">
              <w:lastRenderedPageBreak/>
              <w:t>2.</w:t>
            </w:r>
          </w:p>
        </w:tc>
        <w:tc>
          <w:tcPr>
            <w:tcW w:w="4110" w:type="dxa"/>
          </w:tcPr>
          <w:p w14:paraId="7C9A05AF" w14:textId="456CA1E3" w:rsidR="00FA6512" w:rsidRPr="00B72A93" w:rsidRDefault="00FA6512" w:rsidP="0039364C">
            <w:pPr>
              <w:jc w:val="both"/>
              <w:rPr>
                <w:i/>
                <w:iCs/>
                <w:color w:val="333333"/>
                <w:lang w:eastAsia="lt-LT"/>
              </w:rPr>
            </w:pPr>
            <w:r w:rsidRPr="00B72A93">
              <w:rPr>
                <w:i/>
                <w:iCs/>
                <w:color w:val="333333"/>
                <w:lang w:eastAsia="lt-LT"/>
              </w:rPr>
              <w:t xml:space="preserve">Can you please clarify if the review of the PSAR includes the </w:t>
            </w:r>
            <w:proofErr w:type="spellStart"/>
            <w:r w:rsidRPr="00B72A93">
              <w:rPr>
                <w:i/>
                <w:iCs/>
                <w:color w:val="333333"/>
                <w:lang w:eastAsia="lt-LT"/>
              </w:rPr>
              <w:t>indipendent</w:t>
            </w:r>
            <w:proofErr w:type="spellEnd"/>
            <w:r w:rsidRPr="00B72A93">
              <w:rPr>
                <w:i/>
                <w:iCs/>
                <w:color w:val="333333"/>
                <w:lang w:eastAsia="lt-LT"/>
              </w:rPr>
              <w:t xml:space="preserve"> calculation (by means of specific software) of </w:t>
            </w:r>
            <w:proofErr w:type="spellStart"/>
            <w:r w:rsidRPr="00B72A93">
              <w:rPr>
                <w:i/>
                <w:iCs/>
                <w:color w:val="333333"/>
                <w:lang w:eastAsia="lt-LT"/>
              </w:rPr>
              <w:t>radiactive</w:t>
            </w:r>
            <w:proofErr w:type="spellEnd"/>
            <w:r w:rsidRPr="00B72A93">
              <w:rPr>
                <w:i/>
                <w:iCs/>
                <w:color w:val="333333"/>
                <w:lang w:eastAsia="lt-LT"/>
              </w:rPr>
              <w:t xml:space="preserve"> </w:t>
            </w:r>
            <w:proofErr w:type="spellStart"/>
            <w:r w:rsidRPr="00B72A93">
              <w:rPr>
                <w:i/>
                <w:iCs/>
                <w:color w:val="333333"/>
                <w:lang w:eastAsia="lt-LT"/>
              </w:rPr>
              <w:t>dispertion</w:t>
            </w:r>
            <w:proofErr w:type="spellEnd"/>
            <w:r w:rsidRPr="00B72A93">
              <w:rPr>
                <w:i/>
                <w:iCs/>
                <w:color w:val="333333"/>
                <w:lang w:eastAsia="lt-LT"/>
              </w:rPr>
              <w:t xml:space="preserve"> and doses evaluations as consequence of the postulated accident scenarios (already assumed in the PSAR)?</w:t>
            </w:r>
          </w:p>
        </w:tc>
        <w:tc>
          <w:tcPr>
            <w:tcW w:w="5098" w:type="dxa"/>
          </w:tcPr>
          <w:p w14:paraId="406209F1" w14:textId="651FFE8E" w:rsidR="00FA6512" w:rsidRDefault="00AE3008" w:rsidP="00BD7DDA">
            <w:pPr>
              <w:tabs>
                <w:tab w:val="left" w:pos="851"/>
              </w:tabs>
              <w:jc w:val="both"/>
              <w:rPr>
                <w:color w:val="000000"/>
                <w:lang w:eastAsia="lt-LT"/>
              </w:rPr>
            </w:pPr>
            <w:r w:rsidRPr="00AE3008">
              <w:rPr>
                <w:color w:val="000000"/>
                <w:lang w:eastAsia="lt-LT"/>
              </w:rPr>
              <w:t xml:space="preserve">Clause 14.1.2.2.3 of the </w:t>
            </w:r>
            <w:r w:rsidR="00B72A93">
              <w:rPr>
                <w:color w:val="000000"/>
                <w:lang w:eastAsia="lt-LT"/>
              </w:rPr>
              <w:t>P</w:t>
            </w:r>
            <w:r w:rsidRPr="00AE3008">
              <w:rPr>
                <w:color w:val="000000"/>
                <w:lang w:eastAsia="lt-LT"/>
              </w:rPr>
              <w:t xml:space="preserve">rocurement conditions sets requirements for experts of the safety analysis expert category. Subsection (c) specifies experience </w:t>
            </w:r>
            <w:r w:rsidR="00B72A93" w:rsidRPr="00B72A93">
              <w:rPr>
                <w:bCs/>
                <w:color w:val="000000"/>
                <w:lang w:eastAsia="lt-LT"/>
              </w:rPr>
              <w:t>in drafting at least one technical design and/or safety justification documents or part thereof for a radioactive waste management facility, including repositories, and/or experience in carrying out the regulatory review of at least one of such documents or part thereof</w:t>
            </w:r>
            <w:r w:rsidRPr="00AE3008">
              <w:rPr>
                <w:color w:val="000000"/>
                <w:lang w:eastAsia="lt-LT"/>
              </w:rPr>
              <w:t xml:space="preserve">. Subsection (d) </w:t>
            </w:r>
            <w:r w:rsidRPr="00AE3008">
              <w:rPr>
                <w:color w:val="000000"/>
                <w:lang w:eastAsia="lt-LT"/>
              </w:rPr>
              <w:lastRenderedPageBreak/>
              <w:t>specifies experience in</w:t>
            </w:r>
            <w:r w:rsidR="00B72A93" w:rsidRPr="00B72A93">
              <w:rPr>
                <w:color w:val="000000"/>
                <w:lang w:eastAsia="lt-LT"/>
              </w:rPr>
              <w:t xml:space="preserve"> assessing the development scenarios of radioactive waste repositories and the effectiveness of safety barriers, experience in assessing the dispersion of radionuclides in the environment</w:t>
            </w:r>
            <w:r w:rsidRPr="00AE3008">
              <w:rPr>
                <w:color w:val="000000"/>
                <w:lang w:eastAsia="lt-LT"/>
              </w:rPr>
              <w:t>. Therefore, in order to properly carry out consultancy services and scientific-technical support, these experts must have practical experience performing radionuclide dispersion and dose assessment calculations using specialized software.</w:t>
            </w:r>
          </w:p>
          <w:p w14:paraId="71EF7DFD" w14:textId="7FE284F7" w:rsidR="00DB7E0E" w:rsidRDefault="00DB7E0E" w:rsidP="00BD7DDA">
            <w:pPr>
              <w:tabs>
                <w:tab w:val="left" w:pos="851"/>
              </w:tabs>
              <w:jc w:val="both"/>
              <w:rPr>
                <w:color w:val="000000"/>
                <w:lang w:eastAsia="lt-LT"/>
              </w:rPr>
            </w:pPr>
            <w:r>
              <w:rPr>
                <w:color w:val="000000"/>
                <w:lang w:eastAsia="lt-LT"/>
              </w:rPr>
              <w:t>S</w:t>
            </w:r>
            <w:r w:rsidRPr="00DB7E0E">
              <w:rPr>
                <w:color w:val="000000"/>
                <w:lang w:eastAsia="lt-LT"/>
              </w:rPr>
              <w:t>imilarly, subsection 14.1.2.2.5 of the Procurement Conditions sets requirements for radiation safety category experts. Part (c) of the subsection specifies experience in</w:t>
            </w:r>
            <w:r>
              <w:t xml:space="preserve"> </w:t>
            </w:r>
            <w:r w:rsidRPr="00DB7E0E">
              <w:rPr>
                <w:color w:val="000000"/>
                <w:lang w:eastAsia="lt-LT"/>
              </w:rPr>
              <w:t>drafting at least one technical design and/or safety justification documents or part thereof for a radioactive waste management facility and/or experience in carrying out the regulatory review of at least one of such documents or part thereof</w:t>
            </w:r>
            <w:r>
              <w:rPr>
                <w:color w:val="000000"/>
                <w:lang w:eastAsia="lt-LT"/>
              </w:rPr>
              <w:t>.</w:t>
            </w:r>
            <w:r>
              <w:t xml:space="preserve"> </w:t>
            </w:r>
            <w:r w:rsidRPr="00DB7E0E">
              <w:rPr>
                <w:color w:val="000000"/>
                <w:lang w:eastAsia="lt-LT"/>
              </w:rPr>
              <w:t>Therefore, to properly carry out consulting services and scientific-technical support, these experts must have practical experience in performing dose assessment calculations.</w:t>
            </w:r>
          </w:p>
          <w:p w14:paraId="3BD90F46" w14:textId="7B004A69" w:rsidR="00AE3008" w:rsidRPr="00AE3008" w:rsidRDefault="00AE3008" w:rsidP="00BD7DDA">
            <w:pPr>
              <w:tabs>
                <w:tab w:val="left" w:pos="851"/>
              </w:tabs>
              <w:jc w:val="both"/>
              <w:rPr>
                <w:color w:val="000000"/>
                <w:lang w:eastAsia="lt-LT"/>
              </w:rPr>
            </w:pPr>
            <w:r w:rsidRPr="00AE3008">
              <w:rPr>
                <w:color w:val="000000"/>
                <w:lang w:eastAsia="lt-LT"/>
              </w:rPr>
              <w:t xml:space="preserve">The </w:t>
            </w:r>
            <w:r w:rsidR="00107A1B">
              <w:rPr>
                <w:color w:val="000000"/>
                <w:lang w:eastAsia="lt-LT"/>
              </w:rPr>
              <w:t>Procurement conditions</w:t>
            </w:r>
            <w:r w:rsidRPr="00AE3008">
              <w:rPr>
                <w:color w:val="000000"/>
                <w:lang w:eastAsia="lt-LT"/>
              </w:rPr>
              <w:t xml:space="preserve"> do not </w:t>
            </w:r>
            <w:r w:rsidR="00107A1B">
              <w:rPr>
                <w:color w:val="000000"/>
                <w:lang w:eastAsia="lt-LT"/>
              </w:rPr>
              <w:t>foresee</w:t>
            </w:r>
            <w:r w:rsidRPr="00AE3008">
              <w:rPr>
                <w:color w:val="000000"/>
                <w:lang w:eastAsia="lt-LT"/>
              </w:rPr>
              <w:t xml:space="preserve"> the assessment of radionuclide dispersion and dose calculations (using special software). </w:t>
            </w:r>
            <w:r w:rsidR="00107A1B">
              <w:rPr>
                <w:color w:val="000000"/>
                <w:lang w:eastAsia="lt-LT"/>
              </w:rPr>
              <w:t>When performing</w:t>
            </w:r>
            <w:r w:rsidRPr="00AE3008">
              <w:rPr>
                <w:color w:val="000000"/>
                <w:lang w:eastAsia="lt-LT"/>
              </w:rPr>
              <w:t xml:space="preserve"> review</w:t>
            </w:r>
            <w:r w:rsidR="00107A1B">
              <w:rPr>
                <w:color w:val="000000"/>
                <w:lang w:eastAsia="lt-LT"/>
              </w:rPr>
              <w:t xml:space="preserve"> of</w:t>
            </w:r>
            <w:r w:rsidRPr="00AE3008">
              <w:rPr>
                <w:color w:val="000000"/>
                <w:lang w:eastAsia="lt-LT"/>
              </w:rPr>
              <w:t xml:space="preserve"> the documents and providing comments to the applicant, it is intended that </w:t>
            </w:r>
            <w:r w:rsidR="00107A1B">
              <w:rPr>
                <w:color w:val="000000"/>
                <w:lang w:eastAsia="lt-LT"/>
              </w:rPr>
              <w:t>the applicant shall</w:t>
            </w:r>
            <w:r w:rsidRPr="00AE3008">
              <w:rPr>
                <w:color w:val="000000"/>
                <w:lang w:eastAsia="lt-LT"/>
              </w:rPr>
              <w:t xml:space="preserve"> carry out the necessary additional analysis and calculations.</w:t>
            </w:r>
          </w:p>
        </w:tc>
      </w:tr>
      <w:tr w:rsidR="00FA6512" w:rsidRPr="00FA6512" w14:paraId="17330003" w14:textId="77777777" w:rsidTr="00E8163A">
        <w:trPr>
          <w:jc w:val="center"/>
        </w:trPr>
        <w:tc>
          <w:tcPr>
            <w:tcW w:w="421" w:type="dxa"/>
          </w:tcPr>
          <w:p w14:paraId="31900096" w14:textId="40E68A24" w:rsidR="00FA6512" w:rsidRPr="00FA6512" w:rsidRDefault="00FA6512" w:rsidP="007A7356">
            <w:pPr>
              <w:jc w:val="both"/>
              <w:rPr>
                <w:i/>
                <w:iCs/>
              </w:rPr>
            </w:pPr>
            <w:r w:rsidRPr="00FA6512">
              <w:lastRenderedPageBreak/>
              <w:t>3</w:t>
            </w:r>
            <w:r>
              <w:rPr>
                <w:i/>
                <w:iCs/>
              </w:rPr>
              <w:t>.</w:t>
            </w:r>
          </w:p>
        </w:tc>
        <w:tc>
          <w:tcPr>
            <w:tcW w:w="4110" w:type="dxa"/>
          </w:tcPr>
          <w:p w14:paraId="7C73444B" w14:textId="52FA2B09" w:rsidR="00FA6512" w:rsidRPr="00B72A93" w:rsidRDefault="00FA6512" w:rsidP="0039364C">
            <w:pPr>
              <w:jc w:val="both"/>
              <w:rPr>
                <w:i/>
                <w:iCs/>
                <w:color w:val="333333"/>
                <w:lang w:val="en-US" w:eastAsia="lt-LT"/>
              </w:rPr>
            </w:pPr>
            <w:r w:rsidRPr="00B72A93">
              <w:rPr>
                <w:i/>
                <w:iCs/>
                <w:color w:val="333333"/>
                <w:lang w:val="en-US" w:eastAsia="lt-LT"/>
              </w:rPr>
              <w:t xml:space="preserve">With reference to the tender files, we noticed that the file named "11_A_B_C_D_CONDITIONS_OF_TENDER_LT (2025-12-22).pdf" is partially translated into </w:t>
            </w:r>
            <w:proofErr w:type="spellStart"/>
            <w:r w:rsidRPr="00B72A93">
              <w:rPr>
                <w:i/>
                <w:iCs/>
                <w:color w:val="333333"/>
                <w:lang w:val="en-US" w:eastAsia="lt-LT"/>
              </w:rPr>
              <w:t>english</w:t>
            </w:r>
            <w:proofErr w:type="spellEnd"/>
            <w:r w:rsidRPr="00B72A93">
              <w:rPr>
                <w:i/>
                <w:iCs/>
                <w:color w:val="333333"/>
                <w:lang w:val="en-US" w:eastAsia="lt-LT"/>
              </w:rPr>
              <w:t xml:space="preserve"> in several separated files, also the draft contract (part E) is not available, can you please clarify how to access to the </w:t>
            </w:r>
            <w:proofErr w:type="spellStart"/>
            <w:r w:rsidRPr="00B72A93">
              <w:rPr>
                <w:i/>
                <w:iCs/>
                <w:color w:val="333333"/>
                <w:lang w:val="en-US" w:eastAsia="lt-LT"/>
              </w:rPr>
              <w:t>english</w:t>
            </w:r>
            <w:proofErr w:type="spellEnd"/>
            <w:r w:rsidRPr="00B72A93">
              <w:rPr>
                <w:i/>
                <w:iCs/>
                <w:color w:val="333333"/>
                <w:lang w:val="en-US" w:eastAsia="lt-LT"/>
              </w:rPr>
              <w:t xml:space="preserve"> versions? </w:t>
            </w:r>
          </w:p>
        </w:tc>
        <w:tc>
          <w:tcPr>
            <w:tcW w:w="5098" w:type="dxa"/>
          </w:tcPr>
          <w:p w14:paraId="6D0FEE39" w14:textId="2A03177A" w:rsidR="00FA6512" w:rsidRPr="00107A1B" w:rsidRDefault="00107A1B" w:rsidP="00BD7DDA">
            <w:pPr>
              <w:tabs>
                <w:tab w:val="left" w:pos="851"/>
              </w:tabs>
              <w:jc w:val="both"/>
              <w:rPr>
                <w:color w:val="000000"/>
                <w:lang w:val="lt-LT" w:eastAsia="lt-LT"/>
              </w:rPr>
            </w:pPr>
            <w:r w:rsidRPr="00107A1B">
              <w:rPr>
                <w:color w:val="000000"/>
                <w:lang w:eastAsia="lt-LT"/>
              </w:rPr>
              <w:t xml:space="preserve">Please be informed that the full version of the Terms and Conditions of Purchase is prepared only in Lithuanian. Only the </w:t>
            </w:r>
            <w:r>
              <w:rPr>
                <w:color w:val="000000"/>
                <w:lang w:eastAsia="lt-LT"/>
              </w:rPr>
              <w:t>Q</w:t>
            </w:r>
            <w:r w:rsidRPr="00107A1B">
              <w:rPr>
                <w:color w:val="000000"/>
                <w:lang w:eastAsia="lt-LT"/>
              </w:rPr>
              <w:t>ualification requirements, the Supplier's Offer Document Forms, the ESPD and the Technical Specification are prepared and submitted in English. There are no other parts of the terms and conditions of this p</w:t>
            </w:r>
            <w:r w:rsidR="00B72A93">
              <w:rPr>
                <w:color w:val="000000"/>
                <w:lang w:eastAsia="lt-LT"/>
              </w:rPr>
              <w:t>rocurement</w:t>
            </w:r>
            <w:r w:rsidRPr="00107A1B">
              <w:rPr>
                <w:color w:val="000000"/>
                <w:lang w:eastAsia="lt-LT"/>
              </w:rPr>
              <w:t xml:space="preserve"> </w:t>
            </w:r>
            <w:r>
              <w:rPr>
                <w:color w:val="000000"/>
                <w:lang w:eastAsia="lt-LT"/>
              </w:rPr>
              <w:t xml:space="preserve">in English </w:t>
            </w:r>
            <w:r w:rsidRPr="00107A1B">
              <w:rPr>
                <w:color w:val="000000"/>
                <w:lang w:eastAsia="lt-LT"/>
              </w:rPr>
              <w:t>and it is not planned to translate them into English</w:t>
            </w:r>
            <w:r w:rsidRPr="00107A1B">
              <w:rPr>
                <w:color w:val="000000"/>
                <w:lang w:val="lt-LT" w:eastAsia="lt-LT"/>
              </w:rPr>
              <w:t>.</w:t>
            </w:r>
          </w:p>
        </w:tc>
      </w:tr>
      <w:tr w:rsidR="00FA6512" w:rsidRPr="00107A1B" w14:paraId="2BD4B340" w14:textId="77777777" w:rsidTr="00E8163A">
        <w:trPr>
          <w:jc w:val="center"/>
        </w:trPr>
        <w:tc>
          <w:tcPr>
            <w:tcW w:w="421" w:type="dxa"/>
          </w:tcPr>
          <w:p w14:paraId="5A41D036" w14:textId="45814230" w:rsidR="00FA6512" w:rsidRPr="00FA6512" w:rsidRDefault="00FA6512" w:rsidP="007A7356">
            <w:pPr>
              <w:jc w:val="both"/>
            </w:pPr>
            <w:r w:rsidRPr="00FA6512">
              <w:t>4.</w:t>
            </w:r>
          </w:p>
        </w:tc>
        <w:tc>
          <w:tcPr>
            <w:tcW w:w="4110" w:type="dxa"/>
          </w:tcPr>
          <w:p w14:paraId="29DD970A" w14:textId="05A98B7D" w:rsidR="00FA6512" w:rsidRPr="00B72A93" w:rsidRDefault="00FA6512" w:rsidP="0039364C">
            <w:pPr>
              <w:jc w:val="both"/>
              <w:rPr>
                <w:i/>
                <w:iCs/>
                <w:color w:val="333333"/>
                <w:lang w:val="en-US" w:eastAsia="lt-LT"/>
              </w:rPr>
            </w:pPr>
            <w:r w:rsidRPr="00B72A93">
              <w:rPr>
                <w:i/>
                <w:iCs/>
                <w:color w:val="333333"/>
                <w:lang w:val="en-US" w:eastAsia="lt-LT"/>
              </w:rPr>
              <w:t xml:space="preserve">Can you please clarify if the contact will be in </w:t>
            </w:r>
            <w:proofErr w:type="spellStart"/>
            <w:r w:rsidRPr="00B72A93">
              <w:rPr>
                <w:i/>
                <w:iCs/>
                <w:color w:val="333333"/>
                <w:lang w:val="en-US" w:eastAsia="lt-LT"/>
              </w:rPr>
              <w:t>english</w:t>
            </w:r>
            <w:proofErr w:type="spellEnd"/>
            <w:r w:rsidRPr="00B72A93">
              <w:rPr>
                <w:i/>
                <w:iCs/>
                <w:color w:val="333333"/>
                <w:lang w:val="en-US" w:eastAsia="lt-LT"/>
              </w:rPr>
              <w:t xml:space="preserve"> or </w:t>
            </w:r>
            <w:proofErr w:type="spellStart"/>
            <w:r w:rsidRPr="00B72A93">
              <w:rPr>
                <w:i/>
                <w:iCs/>
                <w:color w:val="333333"/>
                <w:lang w:val="en-US" w:eastAsia="lt-LT"/>
              </w:rPr>
              <w:t>lithuanian</w:t>
            </w:r>
            <w:proofErr w:type="spellEnd"/>
            <w:r w:rsidRPr="00B72A93">
              <w:rPr>
                <w:i/>
                <w:iCs/>
                <w:color w:val="333333"/>
                <w:lang w:val="en-US" w:eastAsia="lt-LT"/>
              </w:rPr>
              <w:t xml:space="preserve"> language?</w:t>
            </w:r>
          </w:p>
        </w:tc>
        <w:tc>
          <w:tcPr>
            <w:tcW w:w="5098" w:type="dxa"/>
          </w:tcPr>
          <w:p w14:paraId="562BA659" w14:textId="77230606" w:rsidR="00BC174A" w:rsidRPr="00BC174A" w:rsidRDefault="00BC174A" w:rsidP="00BC174A">
            <w:pPr>
              <w:tabs>
                <w:tab w:val="left" w:pos="851"/>
              </w:tabs>
              <w:jc w:val="both"/>
              <w:rPr>
                <w:color w:val="000000"/>
                <w:lang w:eastAsia="lt-LT"/>
              </w:rPr>
            </w:pPr>
            <w:r w:rsidRPr="00BC174A">
              <w:rPr>
                <w:color w:val="000000"/>
                <w:lang w:eastAsia="lt-LT"/>
              </w:rPr>
              <w:t>Clause 24.1 of Part B of the P</w:t>
            </w:r>
            <w:r>
              <w:rPr>
                <w:color w:val="000000"/>
                <w:lang w:eastAsia="lt-LT"/>
              </w:rPr>
              <w:t>rocurement c</w:t>
            </w:r>
            <w:r w:rsidRPr="00BC174A">
              <w:rPr>
                <w:color w:val="000000"/>
                <w:lang w:eastAsia="lt-LT"/>
              </w:rPr>
              <w:t xml:space="preserve">onditions "Service </w:t>
            </w:r>
            <w:r w:rsidR="00B72A93" w:rsidRPr="00BC174A">
              <w:rPr>
                <w:color w:val="000000"/>
                <w:lang w:eastAsia="lt-LT"/>
              </w:rPr>
              <w:t>P</w:t>
            </w:r>
            <w:r w:rsidR="00B72A93">
              <w:rPr>
                <w:color w:val="000000"/>
                <w:lang w:eastAsia="lt-LT"/>
              </w:rPr>
              <w:t>rocurement</w:t>
            </w:r>
            <w:r w:rsidRPr="00BC174A">
              <w:rPr>
                <w:color w:val="000000"/>
                <w:lang w:eastAsia="lt-LT"/>
              </w:rPr>
              <w:t xml:space="preserve"> Agreement" stipulates that the Agreement is concluded in the Lithuanian language. If the Agreement or any document forming part of it is </w:t>
            </w:r>
            <w:r>
              <w:rPr>
                <w:color w:val="000000"/>
                <w:lang w:eastAsia="lt-LT"/>
              </w:rPr>
              <w:t>concluded</w:t>
            </w:r>
            <w:r w:rsidRPr="00BC174A">
              <w:rPr>
                <w:color w:val="000000"/>
                <w:lang w:eastAsia="lt-LT"/>
              </w:rPr>
              <w:t xml:space="preserve"> in another language or translated into another language, only the text of the Agreement prepared in Lithuanian shall be considered authentic in all cases (in case of discrepancies, the Lithuanian text shall prevail). </w:t>
            </w:r>
          </w:p>
          <w:p w14:paraId="34F811EE" w14:textId="4FB09300" w:rsidR="00FA6512" w:rsidRPr="00BC174A" w:rsidRDefault="00BC174A" w:rsidP="00107A1B">
            <w:pPr>
              <w:tabs>
                <w:tab w:val="left" w:pos="851"/>
              </w:tabs>
              <w:jc w:val="both"/>
              <w:rPr>
                <w:color w:val="000000"/>
                <w:lang w:eastAsia="lt-LT"/>
              </w:rPr>
            </w:pPr>
            <w:r w:rsidRPr="00BC174A">
              <w:rPr>
                <w:color w:val="000000"/>
                <w:lang w:eastAsia="lt-LT"/>
              </w:rPr>
              <w:t xml:space="preserve">We also draw your attention to the requirements and conditions regarding the language of </w:t>
            </w:r>
            <w:r>
              <w:rPr>
                <w:color w:val="000000"/>
                <w:lang w:eastAsia="lt-LT"/>
              </w:rPr>
              <w:t>design</w:t>
            </w:r>
            <w:r w:rsidRPr="00BC174A">
              <w:rPr>
                <w:color w:val="000000"/>
                <w:lang w:eastAsia="lt-LT"/>
              </w:rPr>
              <w:t xml:space="preserve"> </w:t>
            </w:r>
            <w:r w:rsidRPr="00BC174A">
              <w:rPr>
                <w:color w:val="000000"/>
                <w:lang w:eastAsia="lt-LT"/>
              </w:rPr>
              <w:lastRenderedPageBreak/>
              <w:t xml:space="preserve">documentation and other documents set forth in clause 4.4 of these </w:t>
            </w:r>
            <w:r w:rsidR="00B72A93">
              <w:rPr>
                <w:color w:val="000000"/>
                <w:lang w:eastAsia="lt-LT"/>
              </w:rPr>
              <w:t xml:space="preserve">Procurement </w:t>
            </w:r>
            <w:r>
              <w:rPr>
                <w:color w:val="000000"/>
                <w:lang w:eastAsia="lt-LT"/>
              </w:rPr>
              <w:t>conditions</w:t>
            </w:r>
            <w:r w:rsidRPr="00BC174A">
              <w:rPr>
                <w:color w:val="000000"/>
                <w:lang w:eastAsia="lt-LT"/>
              </w:rPr>
              <w:t>.</w:t>
            </w:r>
          </w:p>
        </w:tc>
      </w:tr>
      <w:tr w:rsidR="00545F4B" w:rsidRPr="00107A1B" w14:paraId="72D0A84B" w14:textId="77777777" w:rsidTr="00E8163A">
        <w:trPr>
          <w:jc w:val="center"/>
        </w:trPr>
        <w:tc>
          <w:tcPr>
            <w:tcW w:w="421" w:type="dxa"/>
          </w:tcPr>
          <w:p w14:paraId="78A2B5B5" w14:textId="49D58290" w:rsidR="00545F4B" w:rsidRPr="00FA6512" w:rsidRDefault="00545F4B" w:rsidP="00545F4B">
            <w:pPr>
              <w:jc w:val="both"/>
            </w:pPr>
            <w:r>
              <w:lastRenderedPageBreak/>
              <w:t>5.</w:t>
            </w:r>
          </w:p>
        </w:tc>
        <w:tc>
          <w:tcPr>
            <w:tcW w:w="4110" w:type="dxa"/>
          </w:tcPr>
          <w:p w14:paraId="1521DF76" w14:textId="7C39455B" w:rsidR="00545F4B" w:rsidRPr="00FA6512" w:rsidRDefault="00545F4B" w:rsidP="00545F4B">
            <w:pPr>
              <w:jc w:val="both"/>
              <w:rPr>
                <w:i/>
                <w:iCs/>
                <w:color w:val="333333"/>
                <w:lang w:val="lt-LT" w:eastAsia="lt-LT"/>
              </w:rPr>
            </w:pPr>
            <w:r>
              <w:rPr>
                <w:i/>
                <w:iCs/>
                <w:color w:val="333333"/>
                <w:lang w:eastAsia="lt-LT"/>
              </w:rPr>
              <w:t>W</w:t>
            </w:r>
            <w:r w:rsidRPr="00F934A2">
              <w:rPr>
                <w:i/>
                <w:iCs/>
                <w:color w:val="333333"/>
                <w:lang w:eastAsia="lt-LT"/>
              </w:rPr>
              <w:t>e kindly request a time extension for the submission of the offer in order to better compose the team of experts and</w:t>
            </w:r>
          </w:p>
        </w:tc>
        <w:tc>
          <w:tcPr>
            <w:tcW w:w="5098" w:type="dxa"/>
          </w:tcPr>
          <w:p w14:paraId="62002C1E" w14:textId="77777777" w:rsidR="00545F4B" w:rsidRPr="00CC1E4E" w:rsidRDefault="00545F4B" w:rsidP="00545F4B">
            <w:pPr>
              <w:tabs>
                <w:tab w:val="left" w:pos="851"/>
              </w:tabs>
              <w:jc w:val="both"/>
              <w:rPr>
                <w:lang w:val="en"/>
              </w:rPr>
            </w:pPr>
            <w:r w:rsidRPr="00CC1E4E">
              <w:rPr>
                <w:lang w:val="en"/>
              </w:rPr>
              <w:t>We inform you that, considering the supplier's request, VATESI has decided to change the deadlines specified in Section 2 of Part A of the Procurement Documents, setting them out as follows:</w:t>
            </w:r>
          </w:p>
          <w:p w14:paraId="3BA9733C" w14:textId="77777777" w:rsidR="00545F4B" w:rsidRPr="00CC1E4E" w:rsidRDefault="00545F4B" w:rsidP="00545F4B">
            <w:pPr>
              <w:tabs>
                <w:tab w:val="left" w:pos="851"/>
              </w:tabs>
              <w:jc w:val="both"/>
              <w:rPr>
                <w:lang w:val="en"/>
              </w:rPr>
            </w:pPr>
            <w:r w:rsidRPr="00CC1E4E">
              <w:rPr>
                <w:lang w:val="en"/>
              </w:rPr>
              <w:t>"2.1. The deadlines for public procurement are specified in Lithuanian time:</w:t>
            </w:r>
          </w:p>
          <w:p w14:paraId="6EB693B2" w14:textId="3B040140" w:rsidR="00545F4B" w:rsidRPr="00CC1E4E" w:rsidRDefault="00545F4B" w:rsidP="00545F4B">
            <w:pPr>
              <w:tabs>
                <w:tab w:val="left" w:pos="851"/>
              </w:tabs>
              <w:jc w:val="both"/>
              <w:rPr>
                <w:lang w:val="en"/>
              </w:rPr>
            </w:pPr>
            <w:r w:rsidRPr="00CC1E4E">
              <w:rPr>
                <w:lang w:val="en"/>
              </w:rPr>
              <w:t>2.1.1. The contracting authority must receive the request for clarification of the procurement documents no later than 2026-0</w:t>
            </w:r>
            <w:r>
              <w:rPr>
                <w:lang w:val="en"/>
              </w:rPr>
              <w:t>2</w:t>
            </w:r>
            <w:r w:rsidRPr="00CC1E4E">
              <w:rPr>
                <w:lang w:val="en"/>
              </w:rPr>
              <w:t>-2</w:t>
            </w:r>
            <w:r w:rsidR="001B05F8">
              <w:rPr>
                <w:lang w:val="en"/>
              </w:rPr>
              <w:t>4</w:t>
            </w:r>
            <w:bookmarkStart w:id="0" w:name="_GoBack"/>
            <w:bookmarkEnd w:id="0"/>
            <w:r w:rsidRPr="00CC1E4E">
              <w:rPr>
                <w:lang w:val="en"/>
              </w:rPr>
              <w:t xml:space="preserve"> inclusive.</w:t>
            </w:r>
          </w:p>
          <w:p w14:paraId="6D4CF7C4" w14:textId="241E4D6F" w:rsidR="00545F4B" w:rsidRPr="00CC1E4E" w:rsidRDefault="00545F4B" w:rsidP="00545F4B">
            <w:pPr>
              <w:tabs>
                <w:tab w:val="left" w:pos="851"/>
              </w:tabs>
              <w:jc w:val="both"/>
              <w:rPr>
                <w:lang w:val="en"/>
              </w:rPr>
            </w:pPr>
            <w:r w:rsidRPr="00CC1E4E">
              <w:rPr>
                <w:lang w:val="en"/>
              </w:rPr>
              <w:t>2.1.2. The response to the supplier's request for clarification of the procurement documents must be sent in such a way that the supplier receives it no later than 2026-0</w:t>
            </w:r>
            <w:r>
              <w:rPr>
                <w:lang w:val="en"/>
              </w:rPr>
              <w:t>3</w:t>
            </w:r>
            <w:r w:rsidRPr="00CC1E4E">
              <w:rPr>
                <w:lang w:val="en"/>
              </w:rPr>
              <w:t>-02 inclusive.</w:t>
            </w:r>
          </w:p>
          <w:p w14:paraId="3CCA0DD1" w14:textId="17585A63" w:rsidR="00545F4B" w:rsidRPr="00CC1E4E" w:rsidRDefault="00545F4B" w:rsidP="00545F4B">
            <w:pPr>
              <w:tabs>
                <w:tab w:val="left" w:pos="851"/>
              </w:tabs>
              <w:jc w:val="both"/>
              <w:rPr>
                <w:lang w:val="en"/>
              </w:rPr>
            </w:pPr>
            <w:r w:rsidRPr="00CC1E4E">
              <w:rPr>
                <w:lang w:val="en"/>
              </w:rPr>
              <w:t>2.1.3. End of the deadline for submission of offers: 2026-0</w:t>
            </w:r>
            <w:r>
              <w:rPr>
                <w:lang w:val="en"/>
              </w:rPr>
              <w:t>3</w:t>
            </w:r>
            <w:r w:rsidRPr="00CC1E4E">
              <w:rPr>
                <w:lang w:val="en"/>
              </w:rPr>
              <w:t>-09 at 10:00 AM</w:t>
            </w:r>
          </w:p>
          <w:p w14:paraId="4F866B56" w14:textId="459EF373" w:rsidR="00545F4B" w:rsidRPr="00BC174A" w:rsidRDefault="00545F4B" w:rsidP="00545F4B">
            <w:pPr>
              <w:tabs>
                <w:tab w:val="left" w:pos="851"/>
              </w:tabs>
              <w:jc w:val="both"/>
              <w:rPr>
                <w:color w:val="000000"/>
                <w:lang w:eastAsia="lt-LT"/>
              </w:rPr>
            </w:pPr>
            <w:r w:rsidRPr="00CC1E4E">
              <w:rPr>
                <w:lang w:val="en"/>
              </w:rPr>
              <w:t>2.1.4. Date of the meeting for initial familiarization with the offers: 2026-0</w:t>
            </w:r>
            <w:r>
              <w:rPr>
                <w:lang w:val="en"/>
              </w:rPr>
              <w:t>3</w:t>
            </w:r>
            <w:r w:rsidRPr="00CC1E4E">
              <w:rPr>
                <w:lang w:val="en"/>
              </w:rPr>
              <w:t>-09."</w:t>
            </w:r>
          </w:p>
        </w:tc>
      </w:tr>
      <w:tr w:rsidR="00470CF0" w:rsidRPr="00107A1B" w14:paraId="77E724AB" w14:textId="77777777" w:rsidTr="00E8163A">
        <w:trPr>
          <w:jc w:val="center"/>
        </w:trPr>
        <w:tc>
          <w:tcPr>
            <w:tcW w:w="421" w:type="dxa"/>
          </w:tcPr>
          <w:p w14:paraId="5DDB3D2C" w14:textId="26F54C70" w:rsidR="00470CF0" w:rsidRDefault="00470CF0" w:rsidP="007A7356">
            <w:pPr>
              <w:jc w:val="both"/>
            </w:pPr>
            <w:r>
              <w:t>6.</w:t>
            </w:r>
          </w:p>
        </w:tc>
        <w:tc>
          <w:tcPr>
            <w:tcW w:w="4110" w:type="dxa"/>
          </w:tcPr>
          <w:p w14:paraId="16A757D5" w14:textId="77777777" w:rsidR="00470CF0" w:rsidRPr="00470CF0" w:rsidRDefault="00470CF0" w:rsidP="00470CF0">
            <w:pPr>
              <w:jc w:val="both"/>
              <w:rPr>
                <w:i/>
                <w:iCs/>
                <w:color w:val="333333"/>
                <w:lang w:eastAsia="lt-LT"/>
              </w:rPr>
            </w:pPr>
            <w:r w:rsidRPr="00470CF0">
              <w:rPr>
                <w:i/>
                <w:iCs/>
                <w:color w:val="333333"/>
                <w:lang w:eastAsia="lt-LT"/>
              </w:rPr>
              <w:t>We would like to kindly ask for a clarification regarding the contract duration indicated in the contract notice.</w:t>
            </w:r>
          </w:p>
          <w:p w14:paraId="2CE14E63" w14:textId="77777777" w:rsidR="00470CF0" w:rsidRPr="00470CF0" w:rsidRDefault="00470CF0" w:rsidP="00470CF0">
            <w:pPr>
              <w:jc w:val="both"/>
              <w:rPr>
                <w:i/>
                <w:iCs/>
                <w:color w:val="333333"/>
                <w:lang w:eastAsia="lt-LT"/>
              </w:rPr>
            </w:pPr>
            <w:r w:rsidRPr="00470CF0">
              <w:rPr>
                <w:i/>
                <w:iCs/>
                <w:color w:val="333333"/>
                <w:lang w:eastAsia="lt-LT"/>
              </w:rPr>
              <w:t>In section 5.1.3 (Estimated duration) of the attached contract notice, the duration is stated as “1 155 Days”. As there is a space between the digits, it is not entirely clear whether the intended duration is 155 days or 1,155 days.</w:t>
            </w:r>
          </w:p>
          <w:p w14:paraId="3EC6A504" w14:textId="5A88F4CB" w:rsidR="00470CF0" w:rsidRDefault="00470CF0" w:rsidP="00470CF0">
            <w:pPr>
              <w:jc w:val="both"/>
              <w:rPr>
                <w:i/>
                <w:iCs/>
                <w:color w:val="333333"/>
                <w:lang w:eastAsia="lt-LT"/>
              </w:rPr>
            </w:pPr>
            <w:r w:rsidRPr="00470CF0">
              <w:rPr>
                <w:i/>
                <w:iCs/>
                <w:color w:val="333333"/>
                <w:lang w:eastAsia="lt-LT"/>
              </w:rPr>
              <w:t>We would appreciate your confirmation of the correct contract duration.</w:t>
            </w:r>
          </w:p>
        </w:tc>
        <w:tc>
          <w:tcPr>
            <w:tcW w:w="5098" w:type="dxa"/>
          </w:tcPr>
          <w:p w14:paraId="4817B283" w14:textId="77777777" w:rsidR="00470CF0" w:rsidRPr="00470CF0" w:rsidRDefault="00470CF0" w:rsidP="00470CF0">
            <w:pPr>
              <w:tabs>
                <w:tab w:val="left" w:pos="851"/>
              </w:tabs>
              <w:jc w:val="both"/>
              <w:rPr>
                <w:color w:val="000000"/>
                <w:lang w:eastAsia="lt-LT"/>
              </w:rPr>
            </w:pPr>
            <w:r w:rsidRPr="00470CF0">
              <w:rPr>
                <w:color w:val="000000"/>
                <w:lang w:eastAsia="lt-LT"/>
              </w:rPr>
              <w:t xml:space="preserve">We confirm that the intended duration of the contract mentioned in the announcement is 1,155 days.  </w:t>
            </w:r>
          </w:p>
          <w:p w14:paraId="65B550BC" w14:textId="7EA5F75E" w:rsidR="00470CF0" w:rsidRPr="00BC174A" w:rsidRDefault="00470CF0" w:rsidP="00470CF0">
            <w:pPr>
              <w:tabs>
                <w:tab w:val="left" w:pos="851"/>
              </w:tabs>
              <w:jc w:val="both"/>
              <w:rPr>
                <w:color w:val="000000"/>
                <w:lang w:eastAsia="lt-LT"/>
              </w:rPr>
            </w:pPr>
          </w:p>
        </w:tc>
      </w:tr>
    </w:tbl>
    <w:p w14:paraId="0A15194C" w14:textId="1F658FB3" w:rsidR="0061649E" w:rsidRPr="00107A1B" w:rsidRDefault="0012664A" w:rsidP="0061649E">
      <w:pPr>
        <w:rPr>
          <w:i/>
          <w:iCs/>
          <w:lang w:val="lt-LT"/>
        </w:rPr>
      </w:pPr>
      <w:r w:rsidRPr="00107A1B">
        <w:rPr>
          <w:i/>
          <w:iCs/>
          <w:lang w:val="lt-LT"/>
        </w:rPr>
        <w:t xml:space="preserve"> </w:t>
      </w:r>
    </w:p>
    <w:p w14:paraId="16467D7A" w14:textId="3CB4DCFC" w:rsidR="00AF2967" w:rsidRPr="00107A1B" w:rsidRDefault="00AF2967" w:rsidP="0061649E">
      <w:pPr>
        <w:rPr>
          <w:lang w:val="lt-LT"/>
        </w:rPr>
      </w:pPr>
    </w:p>
    <w:p w14:paraId="018E8A24" w14:textId="77777777" w:rsidR="007A7356" w:rsidRPr="00107A1B" w:rsidRDefault="007A7356" w:rsidP="0061649E">
      <w:pPr>
        <w:rPr>
          <w:lang w:val="lt-LT"/>
        </w:rPr>
      </w:pPr>
    </w:p>
    <w:p w14:paraId="66781D19" w14:textId="4F1B042F" w:rsidR="00D56090" w:rsidRDefault="0061649E" w:rsidP="0061649E">
      <w:r>
        <w:rPr>
          <w:noProof/>
          <w:lang w:val="lt-LT" w:eastAsia="lt-LT"/>
        </w:rPr>
        <mc:AlternateContent>
          <mc:Choice Requires="wps">
            <w:drawing>
              <wp:anchor distT="360045" distB="0" distL="114300" distR="114300" simplePos="0" relativeHeight="251657728" behindDoc="0" locked="0" layoutInCell="1" allowOverlap="1" wp14:anchorId="037A9F7B" wp14:editId="5B45775D">
                <wp:simplePos x="0" y="0"/>
                <wp:positionH relativeFrom="page">
                  <wp:posOffset>1051560</wp:posOffset>
                </wp:positionH>
                <wp:positionV relativeFrom="bottomMargin">
                  <wp:posOffset>53340</wp:posOffset>
                </wp:positionV>
                <wp:extent cx="6405880" cy="792480"/>
                <wp:effectExtent l="0" t="0" r="0" b="762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979E" w14:textId="5A7C5205" w:rsidR="00316BB2" w:rsidRPr="00BD71FD" w:rsidRDefault="00AD7796">
                            <w:pPr>
                              <w:rPr>
                                <w:lang w:val="pt-BR"/>
                              </w:rPr>
                            </w:pPr>
                            <w:r w:rsidRPr="00BD71FD">
                              <w:rPr>
                                <w:lang w:val="pt-BR"/>
                              </w:rPr>
                              <w:t>H. Zabarauskas</w:t>
                            </w:r>
                            <w:r w:rsidR="00316BB2" w:rsidRPr="00BD71FD">
                              <w:rPr>
                                <w:lang w:val="pt-BR"/>
                              </w:rPr>
                              <w:t xml:space="preserve">, </w:t>
                            </w:r>
                            <w:r w:rsidRPr="00BD71FD">
                              <w:rPr>
                                <w:lang w:val="pt-BR"/>
                              </w:rPr>
                              <w:t>phone: (+370 5) 266 1558, e-mail:</w:t>
                            </w:r>
                            <w:r w:rsidR="00316BB2" w:rsidRPr="00BD71FD">
                              <w:rPr>
                                <w:lang w:val="pt-BR"/>
                              </w:rPr>
                              <w:t xml:space="preserve"> </w:t>
                            </w:r>
                            <w:hyperlink r:id="rId14" w:history="1">
                              <w:r w:rsidR="00B658D8" w:rsidRPr="00457C8E">
                                <w:rPr>
                                  <w:rStyle w:val="Hyperlink"/>
                                  <w:lang w:val="pt-BR"/>
                                </w:rPr>
                                <w:t>helmutas.zabarauskas@vatesi.lt</w:t>
                              </w:r>
                            </w:hyperlink>
                            <w:r w:rsidR="00B658D8">
                              <w:rPr>
                                <w:lang w:val="pt-BR"/>
                              </w:rPr>
                              <w:t xml:space="preserve"> </w:t>
                            </w:r>
                            <w:r w:rsidR="00750760">
                              <w:rPr>
                                <w:noProof/>
                                <w:lang w:val="lt-LT" w:eastAsia="lt-LT"/>
                              </w:rPr>
                              <w:drawing>
                                <wp:inline distT="0" distB="0" distL="0" distR="0" wp14:anchorId="6E636693" wp14:editId="766310A8">
                                  <wp:extent cx="1013460" cy="541020"/>
                                  <wp:effectExtent l="0" t="0" r="0" b="0"/>
                                  <wp:docPr id="4" name="Picture 4" descr="logo_rašt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štu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3460" cy="541020"/>
                                          </a:xfrm>
                                          <a:prstGeom prst="rect">
                                            <a:avLst/>
                                          </a:prstGeom>
                                          <a:noFill/>
                                          <a:ln>
                                            <a:noFill/>
                                          </a:ln>
                                        </pic:spPr>
                                      </pic:pic>
                                    </a:graphicData>
                                  </a:graphic>
                                </wp:inline>
                              </w:drawing>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37A9F7B" id="_x0000_t202" coordsize="21600,21600" o:spt="202" path="m,l,21600r21600,l21600,xe">
                <v:stroke joinstyle="miter"/>
                <v:path gradientshapeok="t" o:connecttype="rect"/>
              </v:shapetype>
              <v:shape id="Text Box 7" o:spid="_x0000_s1026" type="#_x0000_t202" style="position:absolute;margin-left:82.8pt;margin-top:4.2pt;width:504.4pt;height:62.4pt;z-index:251657728;visibility:visible;mso-wrap-style:square;mso-width-percent:0;mso-height-percent:0;mso-wrap-distance-left:9pt;mso-wrap-distance-top:28.35pt;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" filled="f" stroked="f">
                <v:textbox inset=".5mm,.3mm,.5mm,.3mm">
                  <w:txbxContent>
                    <w:p w14:paraId="275E979E" w14:textId="5A7C5205" w:rsidR="00316BB2" w:rsidRPr="00BD71FD" w:rsidRDefault="00AD7796">
                      <w:pPr>
                        <w:rPr>
                          <w:lang w:val="pt-BR"/>
                        </w:rPr>
                      </w:pPr>
                      <w:r w:rsidRPr="00BD71FD">
                        <w:rPr>
                          <w:lang w:val="pt-BR"/>
                        </w:rPr>
                        <w:t>H. Zabarauskas</w:t>
                      </w:r>
                      <w:r w:rsidR="00316BB2" w:rsidRPr="00BD71FD">
                        <w:rPr>
                          <w:lang w:val="pt-BR"/>
                        </w:rPr>
                        <w:t xml:space="preserve">, </w:t>
                      </w:r>
                      <w:r w:rsidRPr="00BD71FD">
                        <w:rPr>
                          <w:lang w:val="pt-BR"/>
                        </w:rPr>
                        <w:t>phone: (+370 5) 266 1558, e-mail:</w:t>
                      </w:r>
                      <w:r w:rsidR="00316BB2" w:rsidRPr="00BD71FD">
                        <w:rPr>
                          <w:lang w:val="pt-BR"/>
                        </w:rPr>
                        <w:t xml:space="preserve"> </w:t>
                      </w:r>
                      <w:hyperlink r:id="rId16" w:history="1">
                        <w:r w:rsidR="00B658D8" w:rsidRPr="00457C8E">
                          <w:rPr>
                            <w:rStyle w:val="Hyperlink"/>
                            <w:lang w:val="pt-BR"/>
                          </w:rPr>
                          <w:t>helmutas.zabarauskas@vatesi.lt</w:t>
                        </w:r>
                      </w:hyperlink>
                      <w:r w:rsidR="00B658D8">
                        <w:rPr>
                          <w:lang w:val="pt-BR"/>
                        </w:rPr>
                        <w:t xml:space="preserve"> </w:t>
                      </w:r>
                      <w:r w:rsidR="00750760">
                        <w:rPr>
                          <w:noProof/>
                          <w:lang w:val="lt-LT" w:eastAsia="lt-LT"/>
                        </w:rPr>
                        <w:drawing>
                          <wp:inline distT="0" distB="0" distL="0" distR="0" wp14:anchorId="6E636693" wp14:editId="766310A8">
                            <wp:extent cx="1013460" cy="541020"/>
                            <wp:effectExtent l="0" t="0" r="0" b="0"/>
                            <wp:docPr id="4" name="Picture 4" descr="logo_rašt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štu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3460" cy="541020"/>
                                    </a:xfrm>
                                    <a:prstGeom prst="rect">
                                      <a:avLst/>
                                    </a:prstGeom>
                                    <a:noFill/>
                                    <a:ln>
                                      <a:noFill/>
                                    </a:ln>
                                  </pic:spPr>
                                </pic:pic>
                              </a:graphicData>
                            </a:graphic>
                          </wp:inline>
                        </w:drawing>
                      </w:r>
                    </w:p>
                  </w:txbxContent>
                </v:textbox>
                <w10:wrap type="topAndBottom" anchorx="page" anchory="margin"/>
              </v:shape>
            </w:pict>
          </mc:Fallback>
        </mc:AlternateContent>
      </w:r>
      <w:r w:rsidR="00D56090">
        <w:t>Head</w:t>
      </w:r>
      <w:r w:rsidR="00034316">
        <w:t xml:space="preserve"> </w:t>
      </w:r>
      <w:r w:rsidR="00BA4805">
        <w:t xml:space="preserve">              </w:t>
      </w:r>
      <w:r w:rsidR="0012664A">
        <w:tab/>
      </w:r>
      <w:r w:rsidR="0012664A">
        <w:tab/>
      </w:r>
      <w:r w:rsidR="0012664A">
        <w:tab/>
      </w:r>
      <w:r w:rsidR="0012664A">
        <w:tab/>
      </w:r>
      <w:r w:rsidR="0012664A">
        <w:tab/>
      </w:r>
      <w:r w:rsidR="0012664A">
        <w:tab/>
      </w:r>
      <w:r w:rsidR="0012664A">
        <w:tab/>
      </w:r>
      <w:r w:rsidR="00572976">
        <w:t xml:space="preserve">         </w:t>
      </w:r>
      <w:r>
        <w:t xml:space="preserve">  </w:t>
      </w:r>
      <w:r w:rsidR="00572976">
        <w:t xml:space="preserve">  </w:t>
      </w:r>
      <w:r w:rsidR="0012664A">
        <w:tab/>
      </w:r>
      <w:r w:rsidR="002B7F5C">
        <w:t>Michail Demčenko</w:t>
      </w:r>
    </w:p>
    <w:sectPr w:rsidR="00D56090" w:rsidSect="00B658D8">
      <w:headerReference w:type="even" r:id="rId18"/>
      <w:headerReference w:type="default" r:id="rId19"/>
      <w:footerReference w:type="default" r:id="rId20"/>
      <w:footerReference w:type="first" r:id="rId21"/>
      <w:type w:val="continuous"/>
      <w:pgSz w:w="11907" w:h="16840" w:code="9"/>
      <w:pgMar w:top="1134" w:right="567" w:bottom="1134" w:left="1701" w:header="284" w:footer="1302"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1F1F1" w14:textId="77777777" w:rsidR="00BA3007" w:rsidRDefault="00BA3007">
      <w:r>
        <w:separator/>
      </w:r>
    </w:p>
  </w:endnote>
  <w:endnote w:type="continuationSeparator" w:id="0">
    <w:p w14:paraId="1A4A1C3D" w14:textId="77777777" w:rsidR="00BA3007" w:rsidRDefault="00B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C466" w14:textId="132D02CA" w:rsidR="007857DE" w:rsidRDefault="007857DE" w:rsidP="007857D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7CCC" w14:textId="69019C56" w:rsidR="00C330E2" w:rsidRDefault="00C330E2" w:rsidP="007857DE">
    <w:pPr>
      <w:pStyle w:val="Footer"/>
      <w:jc w:val="right"/>
    </w:pPr>
  </w:p>
  <w:p w14:paraId="21C57F72" w14:textId="77777777" w:rsidR="00C330E2" w:rsidRDefault="00C330E2" w:rsidP="00C330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E7402" w14:textId="77777777" w:rsidR="00BA3007" w:rsidRDefault="00BA3007">
      <w:r>
        <w:separator/>
      </w:r>
    </w:p>
  </w:footnote>
  <w:footnote w:type="continuationSeparator" w:id="0">
    <w:p w14:paraId="402E727D" w14:textId="77777777" w:rsidR="00BA3007" w:rsidRDefault="00BA3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7C8D" w14:textId="77777777" w:rsidR="00516F93" w:rsidRDefault="00516F93" w:rsidP="00D00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461">
      <w:rPr>
        <w:rStyle w:val="PageNumber"/>
        <w:noProof/>
      </w:rPr>
      <w:t>2</w:t>
    </w:r>
    <w:r>
      <w:rPr>
        <w:rStyle w:val="PageNumber"/>
      </w:rPr>
      <w:fldChar w:fldCharType="end"/>
    </w:r>
  </w:p>
  <w:p w14:paraId="43880DCE" w14:textId="77777777" w:rsidR="00516F93" w:rsidRDefault="00516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2299" w14:textId="4053C115" w:rsidR="00516F93" w:rsidRDefault="00516F93" w:rsidP="00D00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05F8">
      <w:rPr>
        <w:rStyle w:val="PageNumber"/>
        <w:noProof/>
      </w:rPr>
      <w:t>4</w:t>
    </w:r>
    <w:r>
      <w:rPr>
        <w:rStyle w:val="PageNumber"/>
      </w:rPr>
      <w:fldChar w:fldCharType="end"/>
    </w:r>
  </w:p>
  <w:p w14:paraId="285E112A" w14:textId="77777777" w:rsidR="00516F93" w:rsidRDefault="00516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6EF6"/>
    <w:multiLevelType w:val="multilevel"/>
    <w:tmpl w:val="45287EF0"/>
    <w:lvl w:ilvl="0">
      <w:start w:val="1"/>
      <w:numFmt w:val="decimal"/>
      <w:pStyle w:val="Heading3"/>
      <w:lvlText w:val="%1."/>
      <w:lvlJc w:val="left"/>
      <w:pPr>
        <w:ind w:left="360" w:hanging="360"/>
      </w:pPr>
    </w:lvl>
    <w:lvl w:ilvl="1">
      <w:start w:val="1"/>
      <w:numFmt w:val="decimal"/>
      <w:pStyle w:val="Temporary"/>
      <w:lvlText w:val="%1.%2."/>
      <w:lvlJc w:val="left"/>
      <w:pPr>
        <w:ind w:left="1992" w:hanging="432"/>
      </w:pPr>
    </w:lvl>
    <w:lvl w:ilvl="2">
      <w:start w:val="1"/>
      <w:numFmt w:val="decimal"/>
      <w:pStyle w:val="Temporary2"/>
      <w:lvlText w:val="%3."/>
      <w:lvlJc w:val="left"/>
      <w:pPr>
        <w:ind w:left="3764" w:hanging="504"/>
      </w:pPr>
      <w:rPr>
        <w:rFonts w:hint="default"/>
        <w:b w:val="0"/>
        <w:sz w:val="24"/>
        <w:szCs w:val="24"/>
      </w:rPr>
    </w:lvl>
    <w:lvl w:ilvl="3">
      <w:start w:val="1"/>
      <w:numFmt w:val="decimal"/>
      <w:lvlText w:val="%1.%2.%3.%4."/>
      <w:lvlJc w:val="left"/>
      <w:pPr>
        <w:ind w:left="54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244BEF"/>
    <w:multiLevelType w:val="multilevel"/>
    <w:tmpl w:val="8ACC1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F3951"/>
    <w:multiLevelType w:val="multilevel"/>
    <w:tmpl w:val="309EA0F2"/>
    <w:lvl w:ilvl="0">
      <w:start w:val="2001"/>
      <w:numFmt w:val="decimal"/>
      <w:lvlText w:val="%1"/>
      <w:lvlJc w:val="left"/>
      <w:pPr>
        <w:tabs>
          <w:tab w:val="num" w:pos="1245"/>
        </w:tabs>
        <w:ind w:left="1245" w:hanging="1245"/>
      </w:pPr>
      <w:rPr>
        <w:rFonts w:hint="default"/>
      </w:rPr>
    </w:lvl>
    <w:lvl w:ilvl="1">
      <w:start w:val="5"/>
      <w:numFmt w:val="decimalZero"/>
      <w:lvlText w:val="%1-%2"/>
      <w:lvlJc w:val="left"/>
      <w:pPr>
        <w:tabs>
          <w:tab w:val="num" w:pos="1245"/>
        </w:tabs>
        <w:ind w:left="1245" w:hanging="1245"/>
      </w:pPr>
      <w:rPr>
        <w:rFonts w:hint="default"/>
      </w:rPr>
    </w:lvl>
    <w:lvl w:ilvl="2">
      <w:start w:val="15"/>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EE178CC"/>
    <w:multiLevelType w:val="multilevel"/>
    <w:tmpl w:val="F6723958"/>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263DDB"/>
    <w:multiLevelType w:val="multilevel"/>
    <w:tmpl w:val="52226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4E0100"/>
    <w:multiLevelType w:val="multilevel"/>
    <w:tmpl w:val="FE16298E"/>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6F"/>
    <w:rsid w:val="00013425"/>
    <w:rsid w:val="00025BED"/>
    <w:rsid w:val="00034316"/>
    <w:rsid w:val="000450E9"/>
    <w:rsid w:val="00054548"/>
    <w:rsid w:val="000566B9"/>
    <w:rsid w:val="00073390"/>
    <w:rsid w:val="000761F6"/>
    <w:rsid w:val="000A3D34"/>
    <w:rsid w:val="000C70C3"/>
    <w:rsid w:val="000E0C47"/>
    <w:rsid w:val="000E1C86"/>
    <w:rsid w:val="000E46ED"/>
    <w:rsid w:val="000F04DA"/>
    <w:rsid w:val="00107A1B"/>
    <w:rsid w:val="001107AA"/>
    <w:rsid w:val="00122D8D"/>
    <w:rsid w:val="0012664A"/>
    <w:rsid w:val="00132330"/>
    <w:rsid w:val="00134ECC"/>
    <w:rsid w:val="00156547"/>
    <w:rsid w:val="0016416C"/>
    <w:rsid w:val="001B05F8"/>
    <w:rsid w:val="001D7EB4"/>
    <w:rsid w:val="00203F8E"/>
    <w:rsid w:val="00223591"/>
    <w:rsid w:val="00232CFD"/>
    <w:rsid w:val="00237A0C"/>
    <w:rsid w:val="00244C4B"/>
    <w:rsid w:val="00266DE3"/>
    <w:rsid w:val="002A05AF"/>
    <w:rsid w:val="002B5DC3"/>
    <w:rsid w:val="002B7F5C"/>
    <w:rsid w:val="002D01F4"/>
    <w:rsid w:val="002D55F8"/>
    <w:rsid w:val="0030784D"/>
    <w:rsid w:val="00315786"/>
    <w:rsid w:val="00316BB2"/>
    <w:rsid w:val="00376FF1"/>
    <w:rsid w:val="0039364C"/>
    <w:rsid w:val="003B62C2"/>
    <w:rsid w:val="003D3E8A"/>
    <w:rsid w:val="003F7714"/>
    <w:rsid w:val="004068E6"/>
    <w:rsid w:val="0041594D"/>
    <w:rsid w:val="00430493"/>
    <w:rsid w:val="0043209A"/>
    <w:rsid w:val="0043482C"/>
    <w:rsid w:val="004356E2"/>
    <w:rsid w:val="004611E7"/>
    <w:rsid w:val="004659F6"/>
    <w:rsid w:val="00470CF0"/>
    <w:rsid w:val="00480F22"/>
    <w:rsid w:val="00491135"/>
    <w:rsid w:val="004A2E6E"/>
    <w:rsid w:val="004D3B8D"/>
    <w:rsid w:val="004F27EA"/>
    <w:rsid w:val="005026E5"/>
    <w:rsid w:val="00516F93"/>
    <w:rsid w:val="00545F4B"/>
    <w:rsid w:val="00557E28"/>
    <w:rsid w:val="00567775"/>
    <w:rsid w:val="00572976"/>
    <w:rsid w:val="005840B8"/>
    <w:rsid w:val="005924B4"/>
    <w:rsid w:val="005931A1"/>
    <w:rsid w:val="00593EC4"/>
    <w:rsid w:val="005A13C7"/>
    <w:rsid w:val="005A6F25"/>
    <w:rsid w:val="005C1A45"/>
    <w:rsid w:val="005D6A2E"/>
    <w:rsid w:val="005E067E"/>
    <w:rsid w:val="005E5B40"/>
    <w:rsid w:val="005F0BDC"/>
    <w:rsid w:val="005F2235"/>
    <w:rsid w:val="005F4DBD"/>
    <w:rsid w:val="00604EF4"/>
    <w:rsid w:val="00605014"/>
    <w:rsid w:val="00612392"/>
    <w:rsid w:val="0061649E"/>
    <w:rsid w:val="00627927"/>
    <w:rsid w:val="00630B51"/>
    <w:rsid w:val="00670BDA"/>
    <w:rsid w:val="0068384E"/>
    <w:rsid w:val="00683907"/>
    <w:rsid w:val="006E1C13"/>
    <w:rsid w:val="00717848"/>
    <w:rsid w:val="00750760"/>
    <w:rsid w:val="00762078"/>
    <w:rsid w:val="00773583"/>
    <w:rsid w:val="00774CEE"/>
    <w:rsid w:val="007857DE"/>
    <w:rsid w:val="007867FD"/>
    <w:rsid w:val="00793250"/>
    <w:rsid w:val="007A4230"/>
    <w:rsid w:val="007A7356"/>
    <w:rsid w:val="007B3631"/>
    <w:rsid w:val="007C53B7"/>
    <w:rsid w:val="007C5F38"/>
    <w:rsid w:val="007D1247"/>
    <w:rsid w:val="007D3C81"/>
    <w:rsid w:val="007E35F4"/>
    <w:rsid w:val="007E6127"/>
    <w:rsid w:val="007F53C9"/>
    <w:rsid w:val="008015A7"/>
    <w:rsid w:val="00801D3D"/>
    <w:rsid w:val="00802D86"/>
    <w:rsid w:val="00807788"/>
    <w:rsid w:val="008275C2"/>
    <w:rsid w:val="00841504"/>
    <w:rsid w:val="00857895"/>
    <w:rsid w:val="00866D00"/>
    <w:rsid w:val="008A5F4A"/>
    <w:rsid w:val="008F7DDC"/>
    <w:rsid w:val="00901775"/>
    <w:rsid w:val="00911851"/>
    <w:rsid w:val="00923BD1"/>
    <w:rsid w:val="009318ED"/>
    <w:rsid w:val="00942B15"/>
    <w:rsid w:val="00965148"/>
    <w:rsid w:val="00967A09"/>
    <w:rsid w:val="00982231"/>
    <w:rsid w:val="0099188F"/>
    <w:rsid w:val="00992128"/>
    <w:rsid w:val="00996B30"/>
    <w:rsid w:val="009A2D28"/>
    <w:rsid w:val="009E38D9"/>
    <w:rsid w:val="00A30D26"/>
    <w:rsid w:val="00A36A3D"/>
    <w:rsid w:val="00A76228"/>
    <w:rsid w:val="00A82CD9"/>
    <w:rsid w:val="00AA06BF"/>
    <w:rsid w:val="00AA202A"/>
    <w:rsid w:val="00AD7796"/>
    <w:rsid w:val="00AE3008"/>
    <w:rsid w:val="00AF2967"/>
    <w:rsid w:val="00B10950"/>
    <w:rsid w:val="00B31A23"/>
    <w:rsid w:val="00B352EA"/>
    <w:rsid w:val="00B658D8"/>
    <w:rsid w:val="00B72A93"/>
    <w:rsid w:val="00B8329D"/>
    <w:rsid w:val="00B87D30"/>
    <w:rsid w:val="00B91E84"/>
    <w:rsid w:val="00B96EB8"/>
    <w:rsid w:val="00BA3007"/>
    <w:rsid w:val="00BA4805"/>
    <w:rsid w:val="00BB1896"/>
    <w:rsid w:val="00BB52B7"/>
    <w:rsid w:val="00BC174A"/>
    <w:rsid w:val="00BD43F9"/>
    <w:rsid w:val="00BD71FD"/>
    <w:rsid w:val="00BD7DDA"/>
    <w:rsid w:val="00BE17F1"/>
    <w:rsid w:val="00C16D7C"/>
    <w:rsid w:val="00C330E2"/>
    <w:rsid w:val="00C35E64"/>
    <w:rsid w:val="00C72B28"/>
    <w:rsid w:val="00CA05AA"/>
    <w:rsid w:val="00CA63AC"/>
    <w:rsid w:val="00CA72AC"/>
    <w:rsid w:val="00CD4505"/>
    <w:rsid w:val="00D00081"/>
    <w:rsid w:val="00D20A17"/>
    <w:rsid w:val="00D5098F"/>
    <w:rsid w:val="00D56090"/>
    <w:rsid w:val="00D67BFC"/>
    <w:rsid w:val="00D835E3"/>
    <w:rsid w:val="00D8625E"/>
    <w:rsid w:val="00DA4AF5"/>
    <w:rsid w:val="00DB7E0E"/>
    <w:rsid w:val="00DE3C38"/>
    <w:rsid w:val="00E17B36"/>
    <w:rsid w:val="00E7296F"/>
    <w:rsid w:val="00E8163A"/>
    <w:rsid w:val="00EA3E58"/>
    <w:rsid w:val="00EA7461"/>
    <w:rsid w:val="00EC0C23"/>
    <w:rsid w:val="00EE0011"/>
    <w:rsid w:val="00F014D7"/>
    <w:rsid w:val="00F11BA4"/>
    <w:rsid w:val="00F14DF2"/>
    <w:rsid w:val="00F234D0"/>
    <w:rsid w:val="00F41334"/>
    <w:rsid w:val="00F52416"/>
    <w:rsid w:val="00F72582"/>
    <w:rsid w:val="00F747CF"/>
    <w:rsid w:val="00F81D0A"/>
    <w:rsid w:val="00F84BF3"/>
    <w:rsid w:val="00FA4036"/>
    <w:rsid w:val="00FA6512"/>
    <w:rsid w:val="00FB174E"/>
    <w:rsid w:val="00FB2339"/>
    <w:rsid w:val="00FC23C2"/>
    <w:rsid w:val="00FC37D1"/>
    <w:rsid w:val="00FD3D5E"/>
    <w:rsid w:val="00FE7D0A"/>
    <w:rsid w:val="00FF5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D6E05"/>
  <w15:docId w15:val="{DA5990E6-0458-4B7C-8B69-0BF3CD03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szCs w:val="20"/>
      <w:lang w:val="lt-LT"/>
    </w:rPr>
  </w:style>
  <w:style w:type="paragraph" w:styleId="Heading3">
    <w:name w:val="heading 3"/>
    <w:aliases w:val="style Normal,style 1 Char,style 1,Section Header3,Sub-Clause Paragraph"/>
    <w:basedOn w:val="ListParagraph"/>
    <w:link w:val="Heading3Char"/>
    <w:qFormat/>
    <w:rsid w:val="005E5B40"/>
    <w:pPr>
      <w:numPr>
        <w:numId w:val="3"/>
      </w:numPr>
      <w:tabs>
        <w:tab w:val="num" w:pos="360"/>
      </w:tabs>
      <w:spacing w:before="120" w:after="120"/>
      <w:ind w:left="357" w:hanging="357"/>
      <w:contextualSpacing w:val="0"/>
      <w:jc w:val="center"/>
      <w:outlineLvl w:val="2"/>
    </w:pPr>
    <w:rPr>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CG Times" w:hAnsi="CG Times"/>
      <w:sz w:val="20"/>
      <w:szCs w:val="20"/>
    </w:rPr>
  </w:style>
  <w:style w:type="paragraph" w:styleId="Footer">
    <w:name w:val="footer"/>
    <w:basedOn w:val="Normal"/>
    <w:pPr>
      <w:tabs>
        <w:tab w:val="center" w:pos="4153"/>
        <w:tab w:val="right" w:pos="8306"/>
      </w:tabs>
    </w:pPr>
    <w:rPr>
      <w:rFonts w:ascii="CG Times" w:hAnsi="CG Time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rsid w:val="00516F93"/>
  </w:style>
  <w:style w:type="paragraph" w:styleId="BalloonText">
    <w:name w:val="Balloon Text"/>
    <w:basedOn w:val="Normal"/>
    <w:link w:val="BalloonTextChar"/>
    <w:rsid w:val="0043209A"/>
    <w:rPr>
      <w:rFonts w:ascii="Tahoma" w:hAnsi="Tahoma" w:cs="Tahoma"/>
      <w:sz w:val="16"/>
      <w:szCs w:val="16"/>
    </w:rPr>
  </w:style>
  <w:style w:type="character" w:customStyle="1" w:styleId="BalloonTextChar">
    <w:name w:val="Balloon Text Char"/>
    <w:link w:val="BalloonText"/>
    <w:rsid w:val="0043209A"/>
    <w:rPr>
      <w:rFonts w:ascii="Tahoma" w:hAnsi="Tahoma" w:cs="Tahoma"/>
      <w:sz w:val="16"/>
      <w:szCs w:val="16"/>
      <w:lang w:val="en-GB" w:eastAsia="en-US"/>
    </w:rPr>
  </w:style>
  <w:style w:type="table" w:styleId="TableGrid">
    <w:name w:val="Table Grid"/>
    <w:basedOn w:val="TableNormal"/>
    <w:rsid w:val="00AD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107AA"/>
    <w:rPr>
      <w:sz w:val="16"/>
      <w:szCs w:val="16"/>
    </w:rPr>
  </w:style>
  <w:style w:type="paragraph" w:styleId="CommentText">
    <w:name w:val="annotation text"/>
    <w:basedOn w:val="Normal"/>
    <w:link w:val="CommentTextChar"/>
    <w:semiHidden/>
    <w:unhideWhenUsed/>
    <w:rsid w:val="001107AA"/>
    <w:rPr>
      <w:sz w:val="20"/>
      <w:szCs w:val="20"/>
    </w:rPr>
  </w:style>
  <w:style w:type="character" w:customStyle="1" w:styleId="CommentTextChar">
    <w:name w:val="Comment Text Char"/>
    <w:basedOn w:val="DefaultParagraphFont"/>
    <w:link w:val="CommentText"/>
    <w:semiHidden/>
    <w:rsid w:val="001107AA"/>
    <w:rPr>
      <w:lang w:val="en-GB" w:eastAsia="en-US"/>
    </w:rPr>
  </w:style>
  <w:style w:type="paragraph" w:styleId="CommentSubject">
    <w:name w:val="annotation subject"/>
    <w:basedOn w:val="CommentText"/>
    <w:next w:val="CommentText"/>
    <w:link w:val="CommentSubjectChar"/>
    <w:semiHidden/>
    <w:unhideWhenUsed/>
    <w:rsid w:val="001107AA"/>
    <w:rPr>
      <w:b/>
      <w:bCs/>
    </w:rPr>
  </w:style>
  <w:style w:type="character" w:customStyle="1" w:styleId="CommentSubjectChar">
    <w:name w:val="Comment Subject Char"/>
    <w:basedOn w:val="CommentTextChar"/>
    <w:link w:val="CommentSubject"/>
    <w:semiHidden/>
    <w:rsid w:val="001107AA"/>
    <w:rPr>
      <w:b/>
      <w:bCs/>
      <w:lang w:val="en-GB" w:eastAsia="en-US"/>
    </w:rPr>
  </w:style>
  <w:style w:type="character" w:customStyle="1" w:styleId="Heading3Char">
    <w:name w:val="Heading 3 Char"/>
    <w:aliases w:val="style Normal Char,style 1 Char Char,style 1 Char1,Section Header3 Char,Sub-Clause Paragraph Char"/>
    <w:basedOn w:val="DefaultParagraphFont"/>
    <w:link w:val="Heading3"/>
    <w:rsid w:val="005E5B40"/>
    <w:rPr>
      <w:b/>
      <w:bCs/>
      <w:sz w:val="24"/>
      <w:szCs w:val="24"/>
    </w:rPr>
  </w:style>
  <w:style w:type="character" w:customStyle="1" w:styleId="y2iqfc">
    <w:name w:val="y2iqfc"/>
    <w:basedOn w:val="DefaultParagraphFont"/>
    <w:rsid w:val="005E5B40"/>
  </w:style>
  <w:style w:type="paragraph" w:customStyle="1" w:styleId="Temporary">
    <w:name w:val="Temporary"/>
    <w:basedOn w:val="ListParagraph"/>
    <w:qFormat/>
    <w:rsid w:val="005E5B40"/>
    <w:pPr>
      <w:numPr>
        <w:ilvl w:val="1"/>
        <w:numId w:val="3"/>
      </w:numPr>
      <w:tabs>
        <w:tab w:val="left" w:pos="709"/>
        <w:tab w:val="num" w:pos="1440"/>
      </w:tabs>
      <w:spacing w:after="160" w:line="259" w:lineRule="auto"/>
      <w:ind w:left="0" w:firstLine="0"/>
    </w:pPr>
    <w:rPr>
      <w:rFonts w:eastAsiaTheme="minorHAnsi"/>
      <w:b/>
      <w:lang w:val="lt-LT"/>
    </w:rPr>
  </w:style>
  <w:style w:type="paragraph" w:customStyle="1" w:styleId="Temporary2">
    <w:name w:val="Temporary 2"/>
    <w:basedOn w:val="ListParagraph"/>
    <w:link w:val="Temporary2Char"/>
    <w:qFormat/>
    <w:rsid w:val="005E5B40"/>
    <w:pPr>
      <w:numPr>
        <w:ilvl w:val="2"/>
        <w:numId w:val="3"/>
      </w:numPr>
      <w:tabs>
        <w:tab w:val="left" w:pos="709"/>
      </w:tabs>
      <w:spacing w:before="120" w:after="120"/>
      <w:contextualSpacing w:val="0"/>
      <w:jc w:val="both"/>
    </w:pPr>
    <w:rPr>
      <w:rFonts w:eastAsiaTheme="minorHAnsi"/>
      <w:lang w:val="lt-LT"/>
    </w:rPr>
  </w:style>
  <w:style w:type="character" w:customStyle="1" w:styleId="Temporary2Char">
    <w:name w:val="Temporary 2 Char"/>
    <w:basedOn w:val="DefaultParagraphFont"/>
    <w:link w:val="Temporary2"/>
    <w:rsid w:val="005E5B40"/>
    <w:rPr>
      <w:rFonts w:eastAsiaTheme="minorHAnsi"/>
      <w:sz w:val="24"/>
      <w:szCs w:val="24"/>
      <w:lang w:eastAsia="en-US"/>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
    <w:basedOn w:val="Normal"/>
    <w:link w:val="ListParagraphChar"/>
    <w:uiPriority w:val="34"/>
    <w:qFormat/>
    <w:rsid w:val="005E5B40"/>
    <w:pPr>
      <w:ind w:left="720"/>
      <w:contextualSpacing/>
    </w:pPr>
  </w:style>
  <w:style w:type="paragraph" w:styleId="HTMLPreformatted">
    <w:name w:val="HTML Preformatted"/>
    <w:basedOn w:val="Normal"/>
    <w:link w:val="HTMLPreformattedChar"/>
    <w:uiPriority w:val="99"/>
    <w:unhideWhenUsed/>
    <w:rsid w:val="005E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5E5B40"/>
    <w:rPr>
      <w:rFonts w:ascii="Courier New" w:hAnsi="Courier New" w:cs="Courier New"/>
    </w:rPr>
  </w:style>
  <w:style w:type="paragraph" w:styleId="Title">
    <w:name w:val="Title"/>
    <w:basedOn w:val="Normal"/>
    <w:next w:val="Normal"/>
    <w:link w:val="TitleChar"/>
    <w:uiPriority w:val="10"/>
    <w:qFormat/>
    <w:rsid w:val="002B5DC3"/>
    <w:pPr>
      <w:spacing w:before="100" w:beforeAutospacing="1" w:after="100" w:afterAutospacing="1"/>
      <w:jc w:val="center"/>
    </w:pPr>
    <w:rPr>
      <w:b/>
      <w:bCs/>
      <w:sz w:val="28"/>
      <w:szCs w:val="28"/>
      <w:lang w:val="en-US" w:eastAsia="lt-LT"/>
    </w:rPr>
  </w:style>
  <w:style w:type="character" w:customStyle="1" w:styleId="TitleChar">
    <w:name w:val="Title Char"/>
    <w:basedOn w:val="DefaultParagraphFont"/>
    <w:link w:val="Title"/>
    <w:uiPriority w:val="10"/>
    <w:rsid w:val="002B5DC3"/>
    <w:rPr>
      <w:b/>
      <w:bCs/>
      <w:sz w:val="28"/>
      <w:szCs w:val="28"/>
      <w:lang w:val="en-US"/>
    </w:rPr>
  </w:style>
  <w:style w:type="character" w:customStyle="1" w:styleId="ui-provider">
    <w:name w:val="ui-provider"/>
    <w:basedOn w:val="DefaultParagraphFont"/>
    <w:rsid w:val="00BD43F9"/>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basedOn w:val="DefaultParagraphFont"/>
    <w:link w:val="ListParagraph"/>
    <w:uiPriority w:val="34"/>
    <w:qFormat/>
    <w:rsid w:val="00BD43F9"/>
    <w:rPr>
      <w:sz w:val="24"/>
      <w:szCs w:val="24"/>
      <w:lang w:val="en-GB" w:eastAsia="en-US"/>
    </w:rPr>
  </w:style>
  <w:style w:type="paragraph" w:styleId="BodyText">
    <w:name w:val="Body Text"/>
    <w:basedOn w:val="Normal"/>
    <w:link w:val="BodyTextChar"/>
    <w:rsid w:val="00BD43F9"/>
    <w:pPr>
      <w:spacing w:after="120"/>
    </w:pPr>
    <w:rPr>
      <w:lang w:val="lt-LT"/>
    </w:rPr>
  </w:style>
  <w:style w:type="character" w:customStyle="1" w:styleId="BodyTextChar">
    <w:name w:val="Body Text Char"/>
    <w:basedOn w:val="DefaultParagraphFont"/>
    <w:link w:val="BodyText"/>
    <w:rsid w:val="00BD43F9"/>
    <w:rPr>
      <w:sz w:val="24"/>
      <w:szCs w:val="24"/>
      <w:lang w:eastAsia="en-US"/>
    </w:rPr>
  </w:style>
  <w:style w:type="character" w:customStyle="1" w:styleId="UnresolvedMention1">
    <w:name w:val="Unresolved Mention1"/>
    <w:basedOn w:val="DefaultParagraphFont"/>
    <w:uiPriority w:val="99"/>
    <w:semiHidden/>
    <w:unhideWhenUsed/>
    <w:rsid w:val="00BD7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es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tom@vatesi.lt" TargetMode="External"/><Relationship Id="rId17" Type="http://schemas.openxmlformats.org/officeDocument/2006/relationships/image" Target="media/image20.jpeg"/><Relationship Id="rId2" Type="http://schemas.openxmlformats.org/officeDocument/2006/relationships/customXml" Target="../customXml/item2.xml"/><Relationship Id="rId16" Type="http://schemas.openxmlformats.org/officeDocument/2006/relationships/hyperlink" Target="mailto:helmutas.zabarauskas@vates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mutas.zabarauskas@vatesi.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4D5E0-B7BF-4500-8F76-6AE86E23676B}">
  <ds:schemaRefs>
    <ds:schemaRef ds:uri="http://schemas.microsoft.com/office/2006/metadata/properties"/>
    <ds:schemaRef ds:uri="http://schemas.microsoft.com/office/infopath/2007/PartnerControls"/>
    <ds:schemaRef ds:uri="301c9014-1613-4fe0-8d68-5abdea84592c"/>
    <ds:schemaRef ds:uri="f70de6b8-3297-425e-8b0b-ce726e9489d4"/>
  </ds:schemaRefs>
</ds:datastoreItem>
</file>

<file path=customXml/itemProps2.xml><?xml version="1.0" encoding="utf-8"?>
<ds:datastoreItem xmlns:ds="http://schemas.openxmlformats.org/officeDocument/2006/customXml" ds:itemID="{AF2D5FF5-BE3A-4D67-BA86-088164C3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19907-8026-4252-9354-46AE640E742B}">
  <ds:schemaRefs>
    <ds:schemaRef ds:uri="http://schemas.microsoft.com/sharepoint/v3/contenttype/forms"/>
  </ds:schemaRefs>
</ds:datastoreItem>
</file>

<file path=customXml/itemProps4.xml><?xml version="1.0" encoding="utf-8"?>
<ds:datastoreItem xmlns:ds="http://schemas.openxmlformats.org/officeDocument/2006/customXml" ds:itemID="{E2183D97-DF65-490D-AEE1-E9715F22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6123</Words>
  <Characters>3491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VATESI raštas anglų k. (vatesi30)</vt:lpstr>
    </vt:vector>
  </TitlesOfParts>
  <Company/>
  <LinksUpToDate>false</LinksUpToDate>
  <CharactersWithSpaces>9595</CharactersWithSpaces>
  <SharedDoc>false</SharedDoc>
  <HLinks>
    <vt:vector size="12" baseType="variant">
      <vt:variant>
        <vt:i4>81</vt:i4>
      </vt:variant>
      <vt:variant>
        <vt:i4>3</vt:i4>
      </vt:variant>
      <vt:variant>
        <vt:i4>0</vt:i4>
      </vt:variant>
      <vt:variant>
        <vt:i4>5</vt:i4>
      </vt:variant>
      <vt:variant>
        <vt:lpwstr>http://www.vatesi.lt/</vt:lpwstr>
      </vt:variant>
      <vt:variant>
        <vt:lpwstr/>
      </vt:variant>
      <vt:variant>
        <vt:i4>2949132</vt:i4>
      </vt:variant>
      <vt:variant>
        <vt:i4>0</vt:i4>
      </vt:variant>
      <vt:variant>
        <vt:i4>0</vt:i4>
      </vt:variant>
      <vt:variant>
        <vt:i4>5</vt:i4>
      </vt:variant>
      <vt:variant>
        <vt:lpwstr>mailto:atom@vatesi.lt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VATESI raštas anglų k. (vatesi30)</dc:title>
  <dc:creator>Darius Lukauskas</dc:creator>
  <cp:lastModifiedBy>Helmutas Zabarauskas</cp:lastModifiedBy>
  <cp:revision>4</cp:revision>
  <dcterms:created xsi:type="dcterms:W3CDTF">2026-01-30T12:03:00Z</dcterms:created>
  <dcterms:modified xsi:type="dcterms:W3CDTF">2026-01-30T12:32:00Z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y fmtid="{D5CDD505-2E9C-101B-9397-08002B2CF9AE}" pid="4" name="Ecm4dDocBuildDocCoordination">
    <vt:bool>true</vt:bool>
  </property>
</Properties>
</file>