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525890"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525890">
        <w:rPr>
          <w:rFonts w:asciiTheme="majorHAnsi" w:hAnsiTheme="majorHAnsi"/>
          <w:i/>
          <w:sz w:val="22"/>
          <w:szCs w:val="22"/>
          <w:lang w:val="lt-LT"/>
        </w:rPr>
        <w:t xml:space="preserve"> Viešųjų pirkimų tarnybos vadovė                                                  </w:t>
      </w:r>
    </w:p>
    <w:p w:rsidR="002A1022" w:rsidRPr="00525890"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525890"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25890">
        <w:rPr>
          <w:rFonts w:asciiTheme="majorHAnsi" w:hAnsiTheme="majorHAnsi"/>
          <w:i/>
          <w:sz w:val="22"/>
          <w:szCs w:val="22"/>
          <w:lang w:val="lt-LT"/>
        </w:rPr>
        <w:t xml:space="preserve">                      </w:t>
      </w:r>
      <w:r w:rsidR="008A6852" w:rsidRPr="00525890">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525890"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525890">
        <w:rPr>
          <w:rFonts w:asciiTheme="majorHAnsi" w:hAnsiTheme="majorHAnsi"/>
          <w:i/>
          <w:sz w:val="22"/>
          <w:szCs w:val="22"/>
          <w:lang w:val="it-IT"/>
        </w:rPr>
        <w:t>___________________________</w:t>
      </w:r>
    </w:p>
    <w:p w:rsidR="00122307" w:rsidRPr="00525890" w:rsidRDefault="00122307" w:rsidP="00122307">
      <w:pPr>
        <w:tabs>
          <w:tab w:val="right" w:leader="underscore" w:pos="8640"/>
        </w:tabs>
        <w:ind w:left="3969"/>
        <w:jc w:val="center"/>
        <w:rPr>
          <w:rFonts w:asciiTheme="majorHAnsi" w:hAnsiTheme="majorHAnsi"/>
          <w:i/>
          <w:sz w:val="22"/>
          <w:szCs w:val="22"/>
          <w:lang w:val="it-IT"/>
        </w:rPr>
      </w:pPr>
      <w:r w:rsidRPr="00525890">
        <w:rPr>
          <w:rFonts w:asciiTheme="majorHAnsi" w:hAnsiTheme="majorHAnsi"/>
          <w:i/>
          <w:sz w:val="22"/>
          <w:szCs w:val="22"/>
          <w:lang w:val="it-IT"/>
        </w:rPr>
        <w:t xml:space="preserve">                </w:t>
      </w:r>
      <w:r w:rsidR="0046131D" w:rsidRPr="00525890">
        <w:rPr>
          <w:rFonts w:asciiTheme="majorHAnsi" w:hAnsiTheme="majorHAnsi"/>
          <w:i/>
          <w:sz w:val="22"/>
          <w:szCs w:val="22"/>
          <w:lang w:val="it-IT"/>
        </w:rPr>
        <w:t xml:space="preserve">                                 </w:t>
      </w:r>
      <w:r w:rsidRPr="00525890">
        <w:rPr>
          <w:rFonts w:asciiTheme="majorHAnsi" w:hAnsiTheme="majorHAnsi"/>
          <w:i/>
          <w:sz w:val="22"/>
          <w:szCs w:val="22"/>
          <w:lang w:val="it-IT"/>
        </w:rPr>
        <w:t xml:space="preserve"> (Parašas)</w:t>
      </w:r>
    </w:p>
    <w:p w:rsidR="007C7568" w:rsidRPr="00525890" w:rsidRDefault="00140DB2" w:rsidP="00122307">
      <w:pPr>
        <w:tabs>
          <w:tab w:val="right" w:leader="underscore" w:pos="8640"/>
        </w:tabs>
        <w:ind w:left="5670"/>
        <w:rPr>
          <w:rFonts w:asciiTheme="majorHAnsi" w:hAnsiTheme="majorHAnsi"/>
          <w:i/>
          <w:sz w:val="22"/>
          <w:szCs w:val="22"/>
          <w:lang w:val="it-IT"/>
        </w:rPr>
      </w:pPr>
      <w:r w:rsidRPr="00525890">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BD1AFF" w:rsidRDefault="00A80E1B" w:rsidP="007C7568">
      <w:pPr>
        <w:jc w:val="center"/>
        <w:rPr>
          <w:rFonts w:asciiTheme="majorHAnsi" w:hAnsiTheme="majorHAnsi"/>
          <w:b/>
          <w:bCs/>
          <w:sz w:val="22"/>
          <w:szCs w:val="22"/>
          <w:lang w:val="lt-LT"/>
        </w:rPr>
      </w:pPr>
      <w:r w:rsidRPr="00A80E1B">
        <w:rPr>
          <w:rFonts w:asciiTheme="majorHAnsi" w:hAnsiTheme="majorHAnsi"/>
          <w:b/>
          <w:bCs/>
          <w:sz w:val="22"/>
          <w:szCs w:val="22"/>
          <w:lang w:val="lt-LT"/>
        </w:rPr>
        <w:t>REAGENTAI IR PAPILDOMOS PRIEMONĖS TULŽIES RŪGŠČIŲ KONCENTRACIJOS  NUSTATYMUI KARTU SU ĮRANGOS ĮSIGIJIMU PANAUDOS BŪDU</w:t>
      </w:r>
    </w:p>
    <w:p w:rsidR="00A80E1B" w:rsidRDefault="00A80E1B"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667D6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667D6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667D6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667D6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36CB9" w:rsidRDefault="007C7568" w:rsidP="007C7568">
            <w:pPr>
              <w:jc w:val="both"/>
              <w:rPr>
                <w:rFonts w:asciiTheme="majorHAnsi" w:hAnsiTheme="majorHAnsi"/>
                <w:sz w:val="22"/>
                <w:szCs w:val="22"/>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667D6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525890" w:rsidRPr="00700B84" w:rsidRDefault="00525890" w:rsidP="001D30F1">
      <w:pPr>
        <w:ind w:left="-907" w:firstLine="907"/>
        <w:rPr>
          <w:rFonts w:asciiTheme="majorHAnsi" w:hAnsiTheme="majorHAnsi"/>
          <w:sz w:val="22"/>
          <w:szCs w:val="22"/>
          <w:lang w:eastAsia="lt-LT"/>
        </w:rPr>
      </w:pPr>
      <w:r>
        <w:rPr>
          <w:rFonts w:asciiTheme="majorHAnsi" w:hAnsiTheme="majorHAnsi"/>
          <w:sz w:val="22"/>
          <w:szCs w:val="22"/>
          <w:lang w:eastAsia="lt-LT"/>
        </w:rPr>
        <w:t xml:space="preserve">6. </w:t>
      </w:r>
      <w:r w:rsidRPr="00525890">
        <w:rPr>
          <w:rFonts w:asciiTheme="majorHAnsi" w:hAnsiTheme="majorHAnsi"/>
          <w:sz w:val="22"/>
          <w:szCs w:val="22"/>
          <w:lang w:eastAsia="lt-LT"/>
        </w:rPr>
        <w:t>Tiekėjo deklaracija dėl Nacionalinio saugumo reikalavimų atitikties (</w:t>
      </w:r>
      <w:r>
        <w:rPr>
          <w:rFonts w:asciiTheme="majorHAnsi" w:hAnsiTheme="majorHAnsi"/>
          <w:sz w:val="22"/>
          <w:szCs w:val="22"/>
          <w:lang w:eastAsia="lt-LT"/>
        </w:rPr>
        <w:t>6</w:t>
      </w:r>
      <w:r w:rsidRPr="00525890">
        <w:rPr>
          <w:rFonts w:asciiTheme="majorHAnsi" w:hAnsiTheme="majorHAnsi"/>
          <w:sz w:val="22"/>
          <w:szCs w:val="22"/>
          <w:lang w:eastAsia="lt-LT"/>
        </w:rPr>
        <w:t xml:space="preserve">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A80E1B">
        <w:rPr>
          <w:rFonts w:asciiTheme="majorHAnsi" w:hAnsiTheme="majorHAnsi"/>
          <w:b/>
          <w:bCs/>
          <w:sz w:val="22"/>
          <w:szCs w:val="22"/>
        </w:rPr>
        <w:t>r</w:t>
      </w:r>
      <w:r w:rsidR="00A80E1B" w:rsidRPr="00A80E1B">
        <w:rPr>
          <w:rFonts w:asciiTheme="majorHAnsi" w:hAnsiTheme="majorHAnsi"/>
          <w:b/>
          <w:bCs/>
          <w:sz w:val="22"/>
          <w:szCs w:val="22"/>
        </w:rPr>
        <w:t>eagent</w:t>
      </w:r>
      <w:r w:rsidR="00A80E1B">
        <w:rPr>
          <w:rFonts w:asciiTheme="majorHAnsi" w:hAnsiTheme="majorHAnsi"/>
          <w:b/>
          <w:bCs/>
          <w:sz w:val="22"/>
          <w:szCs w:val="22"/>
        </w:rPr>
        <w:t>us</w:t>
      </w:r>
      <w:r w:rsidR="00A80E1B" w:rsidRPr="00A80E1B">
        <w:rPr>
          <w:rFonts w:asciiTheme="majorHAnsi" w:hAnsiTheme="majorHAnsi"/>
          <w:b/>
          <w:bCs/>
          <w:sz w:val="22"/>
          <w:szCs w:val="22"/>
        </w:rPr>
        <w:t xml:space="preserve"> ir papildom</w:t>
      </w:r>
      <w:r w:rsidR="00A80E1B">
        <w:rPr>
          <w:rFonts w:asciiTheme="majorHAnsi" w:hAnsiTheme="majorHAnsi"/>
          <w:b/>
          <w:bCs/>
          <w:sz w:val="22"/>
          <w:szCs w:val="22"/>
        </w:rPr>
        <w:t>a</w:t>
      </w:r>
      <w:r w:rsidR="00A80E1B" w:rsidRPr="00A80E1B">
        <w:rPr>
          <w:rFonts w:asciiTheme="majorHAnsi" w:hAnsiTheme="majorHAnsi"/>
          <w:b/>
          <w:bCs/>
          <w:sz w:val="22"/>
          <w:szCs w:val="22"/>
        </w:rPr>
        <w:t>s priemon</w:t>
      </w:r>
      <w:r w:rsidR="00A80E1B">
        <w:rPr>
          <w:rFonts w:asciiTheme="majorHAnsi" w:hAnsiTheme="majorHAnsi"/>
          <w:b/>
          <w:bCs/>
          <w:sz w:val="22"/>
          <w:szCs w:val="22"/>
        </w:rPr>
        <w:t>e</w:t>
      </w:r>
      <w:r w:rsidR="00A80E1B" w:rsidRPr="00A80E1B">
        <w:rPr>
          <w:rFonts w:asciiTheme="majorHAnsi" w:hAnsiTheme="majorHAnsi"/>
          <w:b/>
          <w:bCs/>
          <w:sz w:val="22"/>
          <w:szCs w:val="22"/>
        </w:rPr>
        <w:t>s tulžies rūgščių koncentracijos</w:t>
      </w:r>
      <w:r w:rsidR="00A80E1B">
        <w:rPr>
          <w:rFonts w:asciiTheme="majorHAnsi" w:hAnsiTheme="majorHAnsi"/>
          <w:b/>
          <w:bCs/>
          <w:sz w:val="22"/>
          <w:szCs w:val="22"/>
        </w:rPr>
        <w:t xml:space="preserve"> </w:t>
      </w:r>
      <w:r w:rsidR="00A80E1B" w:rsidRPr="00A80E1B">
        <w:rPr>
          <w:rFonts w:asciiTheme="majorHAnsi" w:hAnsiTheme="majorHAnsi"/>
          <w:b/>
          <w:bCs/>
          <w:sz w:val="22"/>
          <w:szCs w:val="22"/>
        </w:rPr>
        <w:t>nustatymui kartu su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w:t>
      </w:r>
      <w:r w:rsidR="00BD1AFF">
        <w:rPr>
          <w:rFonts w:asciiTheme="majorHAnsi" w:hAnsiTheme="majorHAnsi" w:cs="Times New Roman"/>
        </w:rPr>
        <w:t xml:space="preserve"> (toliau – VPĮ)</w:t>
      </w:r>
      <w:r w:rsidRPr="00700B84">
        <w:rPr>
          <w:rFonts w:asciiTheme="majorHAnsi" w:hAnsiTheme="majorHAnsi" w:cs="Times New Roman"/>
        </w:rPr>
        <w:t>,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525890">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525890"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525890">
        <w:rPr>
          <w:rFonts w:asciiTheme="majorHAnsi" w:hAnsiTheme="majorHAnsi" w:cs="Times New Roman"/>
          <w:lang w:val="pt-PT"/>
        </w:rPr>
        <w:t>1.4. Išankstinis skelbimas apie pirkimą nebuvo skelbtas.</w:t>
      </w:r>
    </w:p>
    <w:p w:rsidR="007C7568" w:rsidRPr="00525890" w:rsidRDefault="007C7568" w:rsidP="003D09BE">
      <w:pPr>
        <w:pStyle w:val="Body2"/>
        <w:ind w:firstLine="1276"/>
        <w:rPr>
          <w:rFonts w:asciiTheme="majorHAnsi" w:hAnsiTheme="majorHAnsi" w:cs="Times New Roman"/>
          <w:color w:val="auto"/>
          <w:lang w:val="pt-PT"/>
        </w:rPr>
      </w:pPr>
      <w:r w:rsidRPr="00525890">
        <w:rPr>
          <w:rFonts w:asciiTheme="majorHAnsi" w:hAnsiTheme="majorHAnsi" w:cs="Times New Roman"/>
          <w:lang w:val="pt-PT"/>
        </w:rPr>
        <w:t xml:space="preserve">1.5. </w:t>
      </w:r>
      <w:r w:rsidRPr="00525890">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25890" w:rsidRDefault="007C7568" w:rsidP="003D09BE">
      <w:pPr>
        <w:ind w:firstLine="1276"/>
        <w:jc w:val="both"/>
        <w:rPr>
          <w:rFonts w:asciiTheme="majorHAnsi" w:hAnsiTheme="majorHAnsi"/>
          <w:sz w:val="22"/>
          <w:szCs w:val="22"/>
          <w:lang w:val="pt-PT"/>
        </w:rPr>
      </w:pPr>
      <w:r w:rsidRPr="00525890">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525890">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525890">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525890">
        <w:rPr>
          <w:rFonts w:asciiTheme="majorHAnsi" w:hAnsiTheme="majorHAnsi"/>
          <w:sz w:val="22"/>
          <w:szCs w:val="22"/>
          <w:lang w:val="pt-PT"/>
        </w:rPr>
        <w:tab/>
        <w:t xml:space="preserve">1.7. Perkančiosios organizacijos kontaktiniai asmenys – Kauno klinikų viešųjų pirkimų </w:t>
      </w:r>
      <w:r w:rsidR="00DD38A2" w:rsidRPr="00525890">
        <w:rPr>
          <w:rFonts w:asciiTheme="majorHAnsi" w:hAnsiTheme="majorHAnsi"/>
          <w:sz w:val="22"/>
          <w:szCs w:val="22"/>
          <w:lang w:val="pt-PT"/>
        </w:rPr>
        <w:t>specialist</w:t>
      </w:r>
      <w:r w:rsidR="003F2B46" w:rsidRPr="00525890">
        <w:rPr>
          <w:rFonts w:asciiTheme="majorHAnsi" w:hAnsiTheme="majorHAnsi"/>
          <w:sz w:val="22"/>
          <w:szCs w:val="22"/>
          <w:lang w:val="pt-PT"/>
        </w:rPr>
        <w:t>ė</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Monika Vaitkevičiūtė</w:t>
      </w:r>
      <w:r w:rsidRPr="00525890">
        <w:rPr>
          <w:rFonts w:asciiTheme="majorHAnsi" w:hAnsiTheme="majorHAnsi"/>
          <w:sz w:val="22"/>
          <w:szCs w:val="22"/>
          <w:lang w:val="pt-PT"/>
        </w:rPr>
        <w:t xml:space="preserve">, </w:t>
      </w:r>
      <w:r w:rsidR="00662C1E" w:rsidRPr="00525890">
        <w:rPr>
          <w:rFonts w:asciiTheme="majorHAnsi" w:hAnsiTheme="majorHAnsi"/>
          <w:sz w:val="22"/>
          <w:szCs w:val="22"/>
          <w:lang w:val="pt-PT"/>
        </w:rPr>
        <w:t>(</w:t>
      </w:r>
      <w:r w:rsidR="001734FC" w:rsidRPr="00525890">
        <w:rPr>
          <w:rFonts w:asciiTheme="majorHAnsi" w:hAnsiTheme="majorHAnsi"/>
          <w:sz w:val="22"/>
          <w:szCs w:val="22"/>
          <w:lang w:val="pt-PT"/>
        </w:rPr>
        <w:t>0</w:t>
      </w:r>
      <w:r w:rsidR="00662C1E" w:rsidRPr="00525890">
        <w:rPr>
          <w:rFonts w:asciiTheme="majorHAnsi" w:hAnsiTheme="majorHAnsi"/>
          <w:sz w:val="22"/>
          <w:szCs w:val="22"/>
          <w:lang w:val="pt-PT"/>
        </w:rPr>
        <w:t xml:space="preserve"> 37) </w:t>
      </w:r>
      <w:r w:rsidR="00A876D5" w:rsidRPr="00525890">
        <w:rPr>
          <w:rFonts w:asciiTheme="majorHAnsi" w:hAnsiTheme="majorHAnsi"/>
          <w:sz w:val="22"/>
          <w:szCs w:val="22"/>
          <w:lang w:val="pt-PT"/>
        </w:rPr>
        <w:t>78</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7360</w:t>
      </w:r>
      <w:r w:rsidR="00662C1E" w:rsidRPr="00525890">
        <w:rPr>
          <w:rFonts w:asciiTheme="majorHAnsi" w:hAnsiTheme="majorHAnsi"/>
          <w:sz w:val="22"/>
          <w:szCs w:val="22"/>
          <w:lang w:val="pt-PT"/>
        </w:rPr>
        <w:t xml:space="preserve">, el. paštas </w:t>
      </w:r>
      <w:hyperlink r:id="rId13" w:history="1">
        <w:r w:rsidR="00A876D5" w:rsidRPr="00525890">
          <w:rPr>
            <w:rStyle w:val="Hyperlink"/>
            <w:rFonts w:asciiTheme="majorHAnsi" w:hAnsiTheme="majorHAnsi"/>
            <w:sz w:val="22"/>
            <w:szCs w:val="22"/>
            <w:lang w:val="pt-PT"/>
          </w:rPr>
          <w:t>monika.vaitkeviciute@kaunoklinikos.lt</w:t>
        </w:r>
      </w:hyperlink>
      <w:r w:rsidR="00662C1E" w:rsidRPr="00525890">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A80E1B" w:rsidRPr="00A80E1B">
        <w:rPr>
          <w:rFonts w:asciiTheme="majorHAnsi" w:hAnsiTheme="majorHAnsi"/>
          <w:b/>
          <w:bCs/>
        </w:rPr>
        <w:t>Reagentai ir papildomos priemonės tulžies rūgščių koncentracijos  nustatymui kartu su įrangos įsigijimu panaudos būdu</w:t>
      </w:r>
      <w:r w:rsidR="009F3455" w:rsidRPr="001734FC">
        <w:rPr>
          <w:rFonts w:asciiTheme="majorHAnsi" w:hAnsiTheme="majorHAnsi"/>
          <w:b/>
          <w:bCs/>
        </w:rPr>
        <w:t>.</w:t>
      </w:r>
    </w:p>
    <w:p w:rsidR="001734FC" w:rsidRPr="00201055" w:rsidRDefault="00201055" w:rsidP="00201055">
      <w:pPr>
        <w:pStyle w:val="ListParagraph"/>
        <w:numPr>
          <w:ilvl w:val="1"/>
          <w:numId w:val="3"/>
        </w:numPr>
        <w:tabs>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3D09BE" w:rsidRPr="001734FC">
        <w:rPr>
          <w:rFonts w:asciiTheme="majorHAnsi" w:hAnsiTheme="majorHAnsi"/>
        </w:rPr>
        <w:t xml:space="preserve">Šis </w:t>
      </w:r>
      <w:r w:rsidR="001734FC" w:rsidRPr="001734FC">
        <w:rPr>
          <w:rFonts w:asciiTheme="majorHAnsi" w:hAnsiTheme="majorHAnsi"/>
        </w:rPr>
        <w:t xml:space="preserve">viešasis pirkimas </w:t>
      </w:r>
      <w:r w:rsidRPr="001801C4">
        <w:rPr>
          <w:rFonts w:asciiTheme="majorHAnsi" w:hAnsiTheme="majorHAnsi"/>
        </w:rPr>
        <w:t>nėra skaidomas į atskiras pirkimo dalis.</w:t>
      </w:r>
      <w:r w:rsidRPr="001801C4">
        <w:t xml:space="preserve"> </w:t>
      </w:r>
      <w:r w:rsidRPr="001801C4">
        <w:rPr>
          <w:rFonts w:asciiTheme="majorHAnsi" w:hAnsiTheme="majorHAnsi"/>
        </w:rPr>
        <w:t>Pasiūlymas turi būti pateiktas visai techninėje specifikacijoje nurodytai apimčiai, neskaidant jos smulkiau</w:t>
      </w:r>
      <w:r w:rsidR="001734FC" w:rsidRPr="00201055">
        <w:rPr>
          <w:rFonts w:asciiTheme="majorHAnsi" w:hAnsiTheme="majorHAnsi"/>
        </w:rPr>
        <w:t>. Alternatyvūs pasiūlymai negalimi.</w:t>
      </w:r>
      <w:r w:rsidR="00736CB9">
        <w:rPr>
          <w:rFonts w:asciiTheme="majorHAnsi" w:hAnsiTheme="majorHAnsi"/>
        </w:rPr>
        <w:t xml:space="preserve"> </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 xml:space="preserve">Perkančioji organizacija privalo nutraukti pradėtas pirkimo procedūras, jeigu buvo pažeisti </w:t>
      </w:r>
      <w:r w:rsidR="00820D79" w:rsidRPr="00525890">
        <w:rPr>
          <w:rFonts w:asciiTheme="majorHAnsi" w:hAnsiTheme="majorHAnsi"/>
          <w:sz w:val="22"/>
          <w:szCs w:val="22"/>
          <w:lang w:val="lt-LT"/>
        </w:rPr>
        <w:t>L</w:t>
      </w:r>
      <w:r w:rsidR="001734FC" w:rsidRPr="00525890">
        <w:rPr>
          <w:rFonts w:asciiTheme="majorHAnsi" w:hAnsiTheme="majorHAnsi"/>
          <w:sz w:val="22"/>
          <w:szCs w:val="22"/>
          <w:lang w:val="lt-LT"/>
        </w:rPr>
        <w:t xml:space="preserve">ietuvos </w:t>
      </w:r>
      <w:r w:rsidR="00820D79" w:rsidRPr="00525890">
        <w:rPr>
          <w:rFonts w:asciiTheme="majorHAnsi" w:hAnsiTheme="majorHAnsi"/>
          <w:sz w:val="22"/>
          <w:szCs w:val="22"/>
          <w:lang w:val="lt-LT"/>
        </w:rPr>
        <w:t>R</w:t>
      </w:r>
      <w:r w:rsidR="001734FC" w:rsidRPr="00525890">
        <w:rPr>
          <w:rFonts w:asciiTheme="majorHAnsi" w:hAnsiTheme="majorHAnsi"/>
          <w:sz w:val="22"/>
          <w:szCs w:val="22"/>
          <w:lang w:val="lt-LT"/>
        </w:rPr>
        <w:t>espublikos</w:t>
      </w:r>
      <w:r w:rsidR="00820D79" w:rsidRPr="00525890">
        <w:rPr>
          <w:rFonts w:asciiTheme="majorHAnsi" w:hAnsiTheme="majorHAnsi"/>
          <w:sz w:val="22"/>
          <w:szCs w:val="22"/>
          <w:lang w:val="lt-LT"/>
        </w:rPr>
        <w:t xml:space="preserve"> </w:t>
      </w:r>
      <w:r w:rsidRPr="00525890">
        <w:rPr>
          <w:rFonts w:asciiTheme="majorHAnsi" w:hAnsiTheme="majorHAnsi"/>
          <w:sz w:val="22"/>
          <w:szCs w:val="22"/>
          <w:lang w:val="lt-LT"/>
        </w:rPr>
        <w:t>Viešųjų pirkimų įstatymo 17 straipsnio 1 dalyje nustatyti principai ir atitinkamos padėties negalima ištaisyti.</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Default="00820D79" w:rsidP="00667D63">
      <w:pPr>
        <w:pStyle w:val="ListParagraph"/>
        <w:numPr>
          <w:ilvl w:val="1"/>
          <w:numId w:val="3"/>
        </w:numPr>
        <w:tabs>
          <w:tab w:val="left" w:pos="1418"/>
          <w:tab w:val="left" w:pos="1560"/>
        </w:tabs>
        <w:spacing w:after="0" w:line="240" w:lineRule="auto"/>
        <w:ind w:left="0" w:firstLine="1134"/>
        <w:jc w:val="both"/>
        <w:rPr>
          <w:rFonts w:asciiTheme="majorHAnsi" w:hAnsiTheme="majorHAnsi"/>
          <w:lang w:eastAsia="lt-LT"/>
        </w:rPr>
      </w:pPr>
      <w:r w:rsidRPr="008D1C53">
        <w:rPr>
          <w:rFonts w:asciiTheme="majorHAnsi" w:hAnsiTheme="majorHAnsi"/>
          <w:lang w:eastAsia="lt-LT"/>
        </w:rPr>
        <w:t xml:space="preserve">Perkančioji organizacija </w:t>
      </w:r>
      <w:r w:rsidR="00667D63" w:rsidRPr="009D66BD">
        <w:rPr>
          <w:rFonts w:asciiTheme="majorHAnsi" w:hAnsiTheme="majorHAnsi"/>
          <w:lang w:eastAsia="lt-LT"/>
        </w:rPr>
        <w:t xml:space="preserve">ekonomiškai naudingiausią pasiūlymą išrenka pagal </w:t>
      </w:r>
      <w:r w:rsidR="00667D63" w:rsidRPr="00667D63">
        <w:rPr>
          <w:rFonts w:asciiTheme="majorHAnsi" w:hAnsiTheme="majorHAnsi"/>
          <w:b/>
          <w:lang w:eastAsia="lt-LT"/>
        </w:rPr>
        <w:t>kainos ir kokybės santykio kriterijų</w:t>
      </w:r>
      <w:r w:rsidR="00667D63" w:rsidRPr="009D66BD">
        <w:rPr>
          <w:rFonts w:asciiTheme="majorHAnsi" w:hAnsiTheme="majorHAnsi"/>
          <w:lang w:eastAsia="lt-LT"/>
        </w:rPr>
        <w:t xml:space="preserve">. Ekonomiškai naudingiausiu pasiūlymu laikomas pasiūlymas, kurio ekonominis naudingumas didžiausias. </w:t>
      </w:r>
    </w:p>
    <w:p w:rsidR="00667D63" w:rsidRPr="00667D63" w:rsidRDefault="00667D63" w:rsidP="00667D63">
      <w:pPr>
        <w:pStyle w:val="ListParagraph"/>
        <w:numPr>
          <w:ilvl w:val="1"/>
          <w:numId w:val="3"/>
        </w:numPr>
        <w:spacing w:after="0" w:line="240" w:lineRule="auto"/>
        <w:ind w:left="0" w:firstLine="900"/>
        <w:jc w:val="both"/>
        <w:rPr>
          <w:rFonts w:asciiTheme="majorHAnsi" w:hAnsiTheme="majorHAnsi"/>
        </w:rPr>
      </w:pPr>
      <w:r>
        <w:t>D</w:t>
      </w:r>
      <w:r w:rsidRPr="002C79DF">
        <w:rPr>
          <w:rFonts w:asciiTheme="majorHAnsi" w:hAnsiTheme="majorHAnsi"/>
        </w:rPr>
        <w:t xml:space="preserve">idžiausia priimtina pasiūlymo kaina </w:t>
      </w:r>
      <w:r>
        <w:rPr>
          <w:rFonts w:asciiTheme="majorHAnsi" w:hAnsiTheme="majorHAnsi"/>
        </w:rPr>
        <w:t>–</w:t>
      </w:r>
      <w:r w:rsidRPr="002C79DF">
        <w:rPr>
          <w:rFonts w:asciiTheme="majorHAnsi" w:hAnsiTheme="majorHAnsi"/>
        </w:rPr>
        <w:t xml:space="preserve"> </w:t>
      </w:r>
      <w:r w:rsidRPr="00667D63">
        <w:rPr>
          <w:rFonts w:asciiTheme="majorHAnsi" w:hAnsiTheme="majorHAnsi"/>
          <w:b/>
        </w:rPr>
        <w:t>21 000,00</w:t>
      </w:r>
      <w:r>
        <w:rPr>
          <w:rFonts w:asciiTheme="majorHAnsi" w:hAnsiTheme="majorHAnsi"/>
          <w:b/>
        </w:rPr>
        <w:t xml:space="preserve"> </w:t>
      </w:r>
      <w:r w:rsidRPr="00C1210F">
        <w:rPr>
          <w:rFonts w:asciiTheme="majorHAnsi" w:hAnsiTheme="majorHAnsi"/>
          <w:b/>
        </w:rPr>
        <w:t>Eur (su PVM),</w:t>
      </w:r>
      <w:r w:rsidRPr="002C79DF">
        <w:rPr>
          <w:rFonts w:asciiTheme="majorHAnsi" w:hAnsiTheme="majorHAnsi"/>
        </w:rPr>
        <w:t xml:space="preserve"> šią kainą viršijantys pasiūlymai bus atmesti.</w:t>
      </w:r>
    </w:p>
    <w:p w:rsidR="003D09BE" w:rsidRPr="00525890" w:rsidRDefault="003D09BE"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667D63">
        <w:rPr>
          <w:rFonts w:asciiTheme="majorHAnsi" w:hAnsiTheme="majorHAnsi"/>
          <w:sz w:val="22"/>
          <w:szCs w:val="20"/>
          <w:lang w:val="lt-LT"/>
        </w:rPr>
        <w:t>9.</w:t>
      </w:r>
      <w:r w:rsidRPr="00525890">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skelbta išankstinė rinkos konsultacija Nr. </w:t>
      </w:r>
      <w:r w:rsidR="00A80E1B" w:rsidRPr="00A80E1B">
        <w:rPr>
          <w:rFonts w:asciiTheme="majorHAnsi" w:hAnsiTheme="majorHAnsi"/>
          <w:b/>
          <w:sz w:val="22"/>
          <w:szCs w:val="20"/>
          <w:lang w:val="lt-LT"/>
        </w:rPr>
        <w:t>6243682</w:t>
      </w:r>
      <w:r w:rsidRPr="00525890">
        <w:rPr>
          <w:rFonts w:asciiTheme="majorHAnsi" w:hAnsiTheme="majorHAnsi"/>
          <w:sz w:val="22"/>
          <w:szCs w:val="20"/>
          <w:lang w:val="lt-LT"/>
        </w:rPr>
        <w:t>.</w:t>
      </w:r>
    </w:p>
    <w:p w:rsidR="00820D79" w:rsidRPr="00525890" w:rsidRDefault="00820D79"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667D63">
        <w:rPr>
          <w:rFonts w:asciiTheme="majorHAnsi" w:hAnsiTheme="majorHAnsi"/>
          <w:sz w:val="22"/>
          <w:szCs w:val="20"/>
          <w:lang w:val="lt-LT"/>
        </w:rPr>
        <w:t>10</w:t>
      </w:r>
      <w:r w:rsidRPr="00525890">
        <w:rPr>
          <w:rFonts w:asciiTheme="majorHAnsi" w:hAnsiTheme="majorHAnsi"/>
          <w:sz w:val="22"/>
          <w:szCs w:val="20"/>
          <w:lang w:val="lt-LT"/>
        </w:rPr>
        <w:t xml:space="preserve">. Numatomų įsigyti prekių </w:t>
      </w:r>
      <w:r w:rsidRPr="00525890">
        <w:rPr>
          <w:rFonts w:asciiTheme="majorHAnsi" w:hAnsiTheme="majorHAnsi"/>
          <w:b/>
          <w:sz w:val="22"/>
          <w:szCs w:val="20"/>
          <w:lang w:val="lt-LT"/>
        </w:rPr>
        <w:t>CPO.lt</w:t>
      </w:r>
      <w:r w:rsidRPr="00525890">
        <w:rPr>
          <w:rFonts w:asciiTheme="majorHAnsi" w:hAnsiTheme="majorHAnsi"/>
          <w:sz w:val="22"/>
          <w:szCs w:val="20"/>
          <w:lang w:val="lt-LT"/>
        </w:rPr>
        <w:t xml:space="preserve"> kataloge nėra. </w:t>
      </w:r>
    </w:p>
    <w:p w:rsidR="00201055" w:rsidRDefault="00201055" w:rsidP="00201055">
      <w:pPr>
        <w:pStyle w:val="NoSpacing"/>
        <w:tabs>
          <w:tab w:val="left" w:pos="1701"/>
        </w:tabs>
        <w:ind w:firstLine="1134"/>
        <w:jc w:val="both"/>
        <w:rPr>
          <w:rFonts w:asciiTheme="majorHAnsi" w:hAnsiTheme="majorHAnsi"/>
          <w:sz w:val="22"/>
          <w:szCs w:val="20"/>
          <w:lang w:val="lt-LT"/>
        </w:rPr>
      </w:pPr>
      <w:r w:rsidRPr="003B46B6">
        <w:rPr>
          <w:rFonts w:asciiTheme="majorHAnsi" w:hAnsiTheme="majorHAnsi"/>
          <w:sz w:val="22"/>
          <w:szCs w:val="20"/>
          <w:lang w:val="lt-LT"/>
        </w:rPr>
        <w:t>2.1</w:t>
      </w:r>
      <w:r w:rsidR="00667D63">
        <w:rPr>
          <w:rFonts w:asciiTheme="majorHAnsi" w:hAnsiTheme="majorHAnsi"/>
          <w:sz w:val="22"/>
          <w:szCs w:val="20"/>
          <w:lang w:val="lt-LT"/>
        </w:rPr>
        <w:t>1</w:t>
      </w:r>
      <w:r w:rsidRPr="003B46B6">
        <w:rPr>
          <w:rFonts w:asciiTheme="majorHAnsi" w:hAnsiTheme="majorHAnsi"/>
          <w:sz w:val="22"/>
          <w:szCs w:val="20"/>
          <w:lang w:val="lt-LT"/>
        </w:rPr>
        <w:t>.</w:t>
      </w:r>
      <w:r w:rsidRPr="003B46B6">
        <w:rPr>
          <w:rFonts w:asciiTheme="majorHAnsi" w:hAnsiTheme="majorHAnsi"/>
          <w:sz w:val="22"/>
          <w:szCs w:val="20"/>
          <w:lang w:val="lt-LT"/>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3B46B6">
        <w:rPr>
          <w:rFonts w:asciiTheme="majorHAnsi" w:hAnsiTheme="majorHAnsi"/>
          <w:b/>
          <w:sz w:val="22"/>
          <w:szCs w:val="20"/>
          <w:lang w:val="lt-LT"/>
        </w:rPr>
        <w:t>4.4.4</w:t>
      </w:r>
      <w:r w:rsidRPr="003B46B6">
        <w:rPr>
          <w:rFonts w:asciiTheme="majorHAnsi" w:hAnsiTheme="majorHAnsi"/>
          <w:sz w:val="22"/>
          <w:szCs w:val="20"/>
          <w:lang w:val="lt-LT"/>
        </w:rPr>
        <w:t xml:space="preserve"> papunkčiu.</w:t>
      </w:r>
    </w:p>
    <w:p w:rsidR="00526317" w:rsidRPr="00526317" w:rsidRDefault="00526317" w:rsidP="00526317">
      <w:pPr>
        <w:tabs>
          <w:tab w:val="left" w:pos="851"/>
          <w:tab w:val="left" w:pos="993"/>
          <w:tab w:val="left" w:pos="1134"/>
          <w:tab w:val="left" w:pos="1701"/>
          <w:tab w:val="left" w:pos="2127"/>
        </w:tabs>
        <w:ind w:firstLine="1134"/>
        <w:jc w:val="both"/>
        <w:rPr>
          <w:rFonts w:ascii="Cambria" w:hAnsi="Cambria" w:cstheme="minorHAnsi"/>
          <w:sz w:val="22"/>
          <w:szCs w:val="22"/>
          <w:lang w:val="lt-LT"/>
        </w:rPr>
      </w:pPr>
      <w:r w:rsidRPr="00526317">
        <w:rPr>
          <w:rFonts w:asciiTheme="majorHAnsi" w:hAnsiTheme="majorHAnsi"/>
          <w:sz w:val="22"/>
          <w:szCs w:val="22"/>
          <w:lang w:val="lt-LT"/>
        </w:rPr>
        <w:lastRenderedPageBreak/>
        <w:t>2.1</w:t>
      </w:r>
      <w:r w:rsidR="00667D63">
        <w:rPr>
          <w:rFonts w:asciiTheme="majorHAnsi" w:hAnsiTheme="majorHAnsi"/>
          <w:sz w:val="22"/>
          <w:szCs w:val="22"/>
          <w:lang w:val="lt-LT"/>
        </w:rPr>
        <w:t>2</w:t>
      </w:r>
      <w:r w:rsidRPr="00526317">
        <w:rPr>
          <w:rFonts w:asciiTheme="majorHAnsi" w:hAnsiTheme="majorHAnsi"/>
          <w:sz w:val="22"/>
          <w:szCs w:val="22"/>
          <w:lang w:val="lt-LT"/>
        </w:rPr>
        <w:t xml:space="preserve">. </w:t>
      </w:r>
      <w:r w:rsidRPr="00526317">
        <w:rPr>
          <w:rFonts w:ascii="Cambria" w:hAnsi="Cambria" w:cstheme="minorHAnsi"/>
          <w:sz w:val="22"/>
          <w:szCs w:val="22"/>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26317" w:rsidRPr="00526317" w:rsidRDefault="00526317" w:rsidP="00526317">
      <w:pPr>
        <w:tabs>
          <w:tab w:val="left" w:pos="851"/>
          <w:tab w:val="left" w:pos="993"/>
          <w:tab w:val="left" w:pos="1134"/>
          <w:tab w:val="left" w:pos="1701"/>
          <w:tab w:val="left" w:pos="2127"/>
        </w:tabs>
        <w:ind w:firstLine="1134"/>
        <w:jc w:val="both"/>
        <w:rPr>
          <w:rFonts w:ascii="Cambria" w:hAnsi="Cambria"/>
          <w:sz w:val="22"/>
          <w:szCs w:val="22"/>
          <w:lang w:val="lt-LT" w:eastAsia="ar-SA"/>
        </w:rPr>
      </w:pPr>
      <w:r w:rsidRPr="00526317">
        <w:rPr>
          <w:rFonts w:ascii="Cambria" w:hAnsi="Cambria"/>
          <w:sz w:val="22"/>
          <w:szCs w:val="22"/>
          <w:lang w:val="lt-LT" w:eastAsia="ar-SA"/>
        </w:rPr>
        <w:t>2.1</w:t>
      </w:r>
      <w:r w:rsidR="00667D63">
        <w:rPr>
          <w:rFonts w:ascii="Cambria" w:hAnsi="Cambria"/>
          <w:sz w:val="22"/>
          <w:szCs w:val="22"/>
          <w:lang w:val="lt-LT" w:eastAsia="ar-SA"/>
        </w:rPr>
        <w:t>3</w:t>
      </w:r>
      <w:r w:rsidRPr="00526317">
        <w:rPr>
          <w:rFonts w:ascii="Cambria" w:hAnsi="Cambria"/>
          <w:sz w:val="22"/>
          <w:szCs w:val="22"/>
          <w:lang w:val="lt-LT" w:eastAsia="ar-SA"/>
        </w:rPr>
        <w:t>.</w:t>
      </w:r>
      <w:r w:rsidRPr="00526317">
        <w:rPr>
          <w:rFonts w:ascii="Cambria" w:hAnsi="Cambria"/>
          <w:sz w:val="22"/>
          <w:szCs w:val="22"/>
          <w:lang w:val="lt-L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526317" w:rsidRPr="003B46B6" w:rsidRDefault="00526317" w:rsidP="00201055">
      <w:pPr>
        <w:pStyle w:val="NoSpacing"/>
        <w:tabs>
          <w:tab w:val="left" w:pos="1701"/>
        </w:tabs>
        <w:ind w:firstLine="1134"/>
        <w:jc w:val="both"/>
        <w:rPr>
          <w:rFonts w:asciiTheme="majorHAnsi" w:hAnsiTheme="majorHAnsi"/>
          <w:sz w:val="22"/>
          <w:szCs w:val="20"/>
          <w:lang w:val="lt-LT"/>
        </w:rPr>
      </w:pPr>
    </w:p>
    <w:p w:rsidR="007C7568" w:rsidRPr="003B46B6" w:rsidRDefault="007C7568" w:rsidP="001734FC">
      <w:pPr>
        <w:pStyle w:val="NoSpacing"/>
        <w:ind w:firstLine="1134"/>
        <w:rPr>
          <w:rFonts w:asciiTheme="majorHAnsi" w:hAnsiTheme="majorHAnsi"/>
          <w:sz w:val="22"/>
          <w:szCs w:val="22"/>
          <w:lang w:val="lt-LT"/>
        </w:rPr>
      </w:pPr>
    </w:p>
    <w:p w:rsidR="00F21F06" w:rsidRPr="003B46B6" w:rsidRDefault="00F21F06" w:rsidP="00F21F06">
      <w:pPr>
        <w:pStyle w:val="Heading1"/>
        <w:numPr>
          <w:ilvl w:val="0"/>
          <w:numId w:val="0"/>
        </w:numPr>
        <w:spacing w:before="0" w:after="0"/>
        <w:ind w:left="720"/>
        <w:rPr>
          <w:rFonts w:asciiTheme="majorHAnsi" w:hAnsiTheme="majorHAnsi"/>
          <w:b/>
          <w:sz w:val="22"/>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3B46B6">
        <w:rPr>
          <w:rFonts w:asciiTheme="majorHAnsi" w:hAnsiTheme="majorHAnsi"/>
          <w:b/>
          <w:sz w:val="22"/>
        </w:rPr>
        <w:t xml:space="preserve"> IR REIKALAUJAMA KVALIFIKACIJA</w:t>
      </w:r>
      <w:bookmarkEnd w:id="13"/>
    </w:p>
    <w:p w:rsidR="00F21F06" w:rsidRPr="003B46B6" w:rsidRDefault="00F21F06" w:rsidP="00F21F06">
      <w:pPr>
        <w:rPr>
          <w:rFonts w:asciiTheme="majorHAnsi" w:hAnsiTheme="majorHAnsi"/>
          <w:sz w:val="22"/>
          <w:szCs w:val="22"/>
          <w:lang w:val="lt-LT"/>
        </w:rPr>
      </w:pPr>
    </w:p>
    <w:p w:rsidR="00BC4B12" w:rsidRPr="00BD1AFF" w:rsidRDefault="00BC4B12" w:rsidP="00BC4B12">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BD1AFF">
        <w:rPr>
          <w:rFonts w:asciiTheme="majorHAnsi" w:hAnsiTheme="majorHAnsi"/>
          <w:color w:val="000000"/>
          <w:sz w:val="22"/>
          <w:szCs w:val="22"/>
          <w:lang w:val="lt-LT" w:eastAsia="lt-LT"/>
        </w:rPr>
        <w:t xml:space="preserve">asis viešųjų pirkimų dokumentas (EBVPD)“ </w:t>
      </w:r>
      <w:r w:rsidRPr="00700B84">
        <w:rPr>
          <w:rFonts w:asciiTheme="majorHAnsi" w:hAnsiTheme="majorHAnsi"/>
          <w:color w:val="000000"/>
          <w:sz w:val="22"/>
          <w:szCs w:val="22"/>
          <w:lang w:val="pt-PT" w:eastAsia="lt-LT"/>
        </w:rPr>
        <w:t xml:space="preserve">pagal </w:t>
      </w:r>
      <w:r w:rsidRPr="00BD1AFF">
        <w:rPr>
          <w:rFonts w:asciiTheme="majorHAnsi" w:hAnsiTheme="majorHAnsi"/>
          <w:color w:val="000000"/>
          <w:sz w:val="22"/>
          <w:szCs w:val="22"/>
          <w:lang w:val="lt-LT" w:eastAsia="lt-LT"/>
        </w:rPr>
        <w:t xml:space="preserve">Viešųjų pirkimų įstatymo 50 straipsnyje nustatytus reikalavimus. EBVPD pildomas jį įkėlus į interneto svetainę </w:t>
      </w:r>
      <w:hyperlink r:id="rId14" w:history="1">
        <w:r w:rsidRPr="00BD1AFF">
          <w:rPr>
            <w:rFonts w:asciiTheme="majorHAnsi" w:hAnsiTheme="majorHAnsi"/>
            <w:sz w:val="22"/>
            <w:szCs w:val="22"/>
            <w:u w:val="single"/>
            <w:lang w:val="lt-LT" w:eastAsia="lt-LT"/>
          </w:rPr>
          <w:t>http://ebvpd.eviesiejipirkimai.lt/espd-web/ir</w:t>
        </w:r>
      </w:hyperlink>
      <w:r w:rsidRPr="00BD1AFF">
        <w:rPr>
          <w:rFonts w:asciiTheme="majorHAnsi" w:hAnsiTheme="majorHAnsi"/>
          <w:sz w:val="22"/>
          <w:szCs w:val="22"/>
          <w:lang w:val="lt-LT" w:eastAsia="lt-LT"/>
        </w:rPr>
        <w:t xml:space="preserve"> </w:t>
      </w:r>
      <w:r w:rsidRPr="00BD1AFF">
        <w:rPr>
          <w:rFonts w:asciiTheme="majorHAnsi" w:hAnsiTheme="majorHAnsi"/>
          <w:color w:val="000000"/>
          <w:sz w:val="22"/>
          <w:szCs w:val="22"/>
          <w:lang w:val="lt-LT" w:eastAsia="lt-LT"/>
        </w:rPr>
        <w:t>užpildžius bei atsisiuntus pateikiamas kartu su pasiūlymu.</w:t>
      </w:r>
    </w:p>
    <w:p w:rsidR="00700B84" w:rsidRPr="00BD1AFF" w:rsidRDefault="00BC4B12" w:rsidP="00700B84">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3.2. </w:t>
      </w:r>
      <w:r w:rsidR="00700B84" w:rsidRPr="00BD1AFF">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A80E1B">
          <w:rPr>
            <w:rFonts w:asciiTheme="majorHAnsi" w:hAnsiTheme="majorHAnsi"/>
            <w:sz w:val="22"/>
            <w:szCs w:val="22"/>
            <w:u w:val="single"/>
            <w:lang w:val="lt-LT" w:eastAsia="lt-LT"/>
          </w:rPr>
          <w:t>https://ec.europa.eu/tools/ecertis/</w:t>
        </w:r>
      </w:hyperlink>
      <w:r w:rsidRPr="00A80E1B">
        <w:rPr>
          <w:rFonts w:asciiTheme="majorHAnsi" w:hAnsiTheme="majorHAnsi"/>
          <w:sz w:val="22"/>
          <w:szCs w:val="22"/>
          <w:lang w:val="lt-LT" w:eastAsia="lt-LT"/>
        </w:rPr>
        <w:t>.</w:t>
      </w:r>
      <w:r w:rsidRPr="00A80E1B">
        <w:rPr>
          <w:rFonts w:asciiTheme="majorHAnsi" w:hAnsiTheme="majorHAnsi"/>
          <w:color w:val="000000"/>
          <w:sz w:val="22"/>
          <w:szCs w:val="22"/>
          <w:lang w:val="lt-LT" w:eastAsia="lt-LT"/>
        </w:rPr>
        <w:t xml:space="preserve"> </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3.7.1. priesaikos deklaracija;</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xml:space="preserve">, punktas </w:t>
            </w:r>
            <w:r w:rsidRPr="00D02107">
              <w:rPr>
                <w:rFonts w:asciiTheme="majorHAnsi" w:hAnsiTheme="majorHAnsi"/>
                <w:b/>
                <w:bCs/>
                <w:color w:val="000000"/>
                <w:sz w:val="22"/>
                <w:szCs w:val="22"/>
                <w:lang w:eastAsia="lt-LT"/>
              </w:rPr>
              <w:lastRenderedPageBreak/>
              <w:t>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lastRenderedPageBreak/>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6) nusikalstamu būdu gauto turto legalizavimą;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7) prekybą žmonėmis, vaiko pirkimą arba pardavimą;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525890" w:rsidRDefault="00401E0B" w:rsidP="00401E0B">
            <w:pPr>
              <w:suppressAutoHyphens/>
              <w:jc w:val="both"/>
              <w:rPr>
                <w:rFonts w:asciiTheme="majorHAnsi" w:hAnsiTheme="majorHAnsi"/>
                <w:b/>
                <w:bCs/>
                <w:color w:val="000000"/>
                <w:sz w:val="22"/>
                <w:szCs w:val="22"/>
                <w:lang w:val="it-IT" w:eastAsia="lt-LT"/>
              </w:rPr>
            </w:pP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Laikoma, kad tiekėjas arba jo atsakingas asmuo nuteistas už aukščiau nurodytą nusikalstamą veiką, kai dėl: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1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A1-A6 punktai</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lastRenderedPageBreak/>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Tačiau ši nuostata netaikoma, jeigu:</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įsiskolinimo suma neviršija </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50 Eur (penkiasdešimt eurų);</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525890">
              <w:rPr>
                <w:rFonts w:asciiTheme="majorHAnsi" w:hAnsiTheme="majorHAnsi"/>
                <w:bCs/>
                <w:color w:val="000000"/>
                <w:sz w:val="22"/>
                <w:szCs w:val="22"/>
                <w:lang w:val="it-IT" w:eastAsia="lt-LT"/>
              </w:rPr>
              <w:lastRenderedPageBreak/>
              <w:t xml:space="preserve">sumokėjimo ar imtis kitų priemonių, kad atitiktų 1 punkto nuostatas. Tiekėjas šiuo pagrindu nepašalinamas iš pirkimo procedūros, jeigu, perkančiajai organizacijai reikalaujant pateikti aktualius dokumentus pagal VPĮ </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3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lastRenderedPageBreak/>
              <w:t xml:space="preserve">arba valstybės įmonės Registrų centro Lietuvos Respublikos Vyriausybės nustatyta tvarka išduoto dokumento, patvirtinančio jungtinius kompetentingų institucijų tvarkomus duomenis. </w:t>
            </w:r>
          </w:p>
          <w:p w:rsidR="00401E0B" w:rsidRPr="00525890" w:rsidRDefault="00401E0B" w:rsidP="00401E0B">
            <w:pPr>
              <w:suppressAutoHyphens/>
              <w:spacing w:after="40"/>
              <w:jc w:val="both"/>
              <w:rPr>
                <w:rFonts w:asciiTheme="majorHAnsi" w:hAnsiTheme="majorHAnsi"/>
                <w:color w:val="000000"/>
                <w:sz w:val="22"/>
                <w:szCs w:val="22"/>
                <w:lang w:val="lt-LT" w:eastAsia="lt-LT"/>
              </w:rPr>
            </w:pPr>
            <w:r w:rsidRPr="00525890">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w:t>
            </w:r>
            <w:r w:rsidRPr="00D02107">
              <w:rPr>
                <w:rFonts w:asciiTheme="majorHAnsi" w:hAnsiTheme="majorHAnsi"/>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w:t>
            </w:r>
            <w:r w:rsidRPr="00D02107">
              <w:rPr>
                <w:rFonts w:asciiTheme="majorHAnsi" w:hAnsiTheme="majorHAnsi"/>
                <w:bCs/>
                <w:color w:val="000000"/>
                <w:sz w:val="22"/>
                <w:szCs w:val="22"/>
                <w:lang w:eastAsia="lt-LT"/>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w:t>
            </w:r>
            <w:r w:rsidRPr="00D02107">
              <w:rPr>
                <w:rFonts w:asciiTheme="majorHAnsi" w:hAnsiTheme="majorHAnsi"/>
                <w:color w:val="000000"/>
                <w:sz w:val="22"/>
                <w:szCs w:val="22"/>
                <w:lang w:eastAsia="lt-LT"/>
              </w:rPr>
              <w:lastRenderedPageBreak/>
              <w:t xml:space="preserve">srities perkančiųjų subjektų, įstatymu, ar koncesijos sutarties arba yra netinkamai ją įvykdęs ir 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w:t>
            </w:r>
            <w:r w:rsidRPr="00D02107">
              <w:rPr>
                <w:rFonts w:asciiTheme="majorHAnsi" w:hAnsiTheme="majorHAnsi"/>
                <w:b/>
                <w:bCs/>
                <w:color w:val="000000"/>
                <w:sz w:val="22"/>
                <w:szCs w:val="22"/>
                <w:lang w:eastAsia="lt-LT"/>
              </w:rPr>
              <w:lastRenderedPageBreak/>
              <w:t xml:space="preserve">šiame punkte nurodytu pašalinimo pagrindu, gali būti 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4A4C02"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667D63"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VPĮ 46 straipsnio</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 xml:space="preserve">4 dalies 7 punkto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a papunktis</w:t>
            </w:r>
          </w:p>
          <w:p w:rsidR="00401E0B" w:rsidRPr="00525890"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paskelbtą informaciją, taip pat į šiame informaciniame pranešime pateiktą informaciją:</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667D63"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VPĮ 46 straipsnio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4 dalies 7 punkto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c papunktis</w:t>
            </w:r>
          </w:p>
          <w:p w:rsidR="00401E0B" w:rsidRPr="00525890"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525890" w:rsidRDefault="004A4C02" w:rsidP="00401E0B">
            <w:pPr>
              <w:rPr>
                <w:rFonts w:asciiTheme="majorHAnsi" w:hAnsiTheme="majorHAnsi"/>
                <w:bCs/>
                <w:iCs/>
                <w:sz w:val="22"/>
                <w:szCs w:val="22"/>
                <w:lang w:val="it-IT"/>
              </w:rPr>
            </w:pPr>
            <w:hyperlink r:id="rId18" w:history="1">
              <w:r w:rsidR="00401E0B" w:rsidRPr="00525890">
                <w:rPr>
                  <w:rFonts w:asciiTheme="majorHAnsi" w:hAnsiTheme="majorHAnsi"/>
                  <w:sz w:val="22"/>
                  <w:szCs w:val="22"/>
                  <w:u w:val="single"/>
                  <w:lang w:val="it-IT"/>
                </w:rPr>
                <w:t>https://kt.gov.lt/lt/atviri-duomenys/diskvalifikavimas-is-viesuju-pirkimu</w:t>
              </w:r>
            </w:hyperlink>
            <w:r w:rsidR="00401E0B" w:rsidRPr="00525890">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525890" w:rsidRDefault="00317E69" w:rsidP="00317E69">
      <w:pPr>
        <w:suppressAutoHyphens/>
        <w:spacing w:after="40"/>
        <w:ind w:firstLine="709"/>
        <w:jc w:val="both"/>
        <w:rPr>
          <w:rFonts w:asciiTheme="majorHAnsi" w:hAnsiTheme="majorHAnsi"/>
          <w:b/>
          <w:color w:val="000000"/>
          <w:sz w:val="22"/>
          <w:szCs w:val="22"/>
          <w:lang w:val="lt-LT" w:eastAsia="lt-LT"/>
        </w:rPr>
      </w:pPr>
      <w:r w:rsidRPr="00525890">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667D63" w:rsidTr="00CB12CA">
        <w:trPr>
          <w:cantSplit/>
          <w:trHeight w:val="408"/>
        </w:trPr>
        <w:tc>
          <w:tcPr>
            <w:tcW w:w="9639" w:type="dxa"/>
            <w:gridSpan w:val="3"/>
          </w:tcPr>
          <w:p w:rsidR="00CB12CA" w:rsidRPr="00525890" w:rsidRDefault="00CB12CA" w:rsidP="00CB12CA">
            <w:pPr>
              <w:spacing w:line="256" w:lineRule="auto"/>
              <w:jc w:val="center"/>
              <w:rPr>
                <w:rFonts w:asciiTheme="majorHAnsi" w:hAnsiTheme="majorHAnsi"/>
                <w:sz w:val="22"/>
                <w:szCs w:val="22"/>
                <w:lang w:val="it-IT"/>
              </w:rPr>
            </w:pPr>
            <w:r w:rsidRPr="00525890">
              <w:rPr>
                <w:rFonts w:asciiTheme="majorHAnsi" w:hAnsiTheme="majorHAnsi"/>
                <w:b/>
                <w:sz w:val="22"/>
                <w:szCs w:val="22"/>
                <w:lang w:val="it-IT"/>
              </w:rPr>
              <w:t>Techninio ir profesinio pajėgumo reikalavimai</w:t>
            </w:r>
          </w:p>
        </w:tc>
      </w:tr>
      <w:tr w:rsidR="00CB12CA" w:rsidRPr="00CB12CA" w:rsidTr="00CB12CA">
        <w:trPr>
          <w:cantSplit/>
          <w:trHeight w:val="1419"/>
        </w:trPr>
        <w:tc>
          <w:tcPr>
            <w:tcW w:w="851" w:type="dxa"/>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CB12CA" w:rsidRPr="00CB12CA" w:rsidRDefault="00CB12CA" w:rsidP="00CB12CA">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CB12CA" w:rsidRPr="00CB12CA" w:rsidRDefault="00CB12CA" w:rsidP="00CB12CA">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 xml:space="preserve">Pateikiama skaitmeninė dokumento </w:t>
            </w:r>
            <w:proofErr w:type="gramStart"/>
            <w:r w:rsidRPr="00CB12CA">
              <w:rPr>
                <w:rFonts w:asciiTheme="majorHAnsi" w:hAnsiTheme="majorHAnsi"/>
                <w:sz w:val="22"/>
                <w:szCs w:val="22"/>
                <w:u w:val="single"/>
              </w:rPr>
              <w:t>kopija</w:t>
            </w:r>
            <w:r w:rsidRPr="00CB12CA">
              <w:rPr>
                <w:rFonts w:asciiTheme="majorHAnsi" w:hAnsiTheme="majorHAnsi"/>
                <w:sz w:val="22"/>
                <w:szCs w:val="22"/>
              </w:rPr>
              <w:t>.*</w:t>
            </w:r>
            <w:proofErr w:type="gramEnd"/>
          </w:p>
          <w:p w:rsidR="003B46B6" w:rsidRDefault="003B46B6" w:rsidP="003B46B6">
            <w:pPr>
              <w:widowControl w:val="0"/>
              <w:spacing w:before="60" w:after="60"/>
              <w:contextualSpacing/>
              <w:jc w:val="both"/>
              <w:rPr>
                <w:rFonts w:asciiTheme="majorHAnsi" w:hAnsiTheme="majorHAnsi"/>
                <w:sz w:val="22"/>
                <w:szCs w:val="22"/>
              </w:rPr>
            </w:pPr>
          </w:p>
          <w:p w:rsidR="003B46B6" w:rsidRPr="003B46B6" w:rsidRDefault="003B46B6" w:rsidP="003B46B6">
            <w:pPr>
              <w:widowControl w:val="0"/>
              <w:spacing w:before="60" w:after="60"/>
              <w:contextualSpacing/>
              <w:jc w:val="both"/>
              <w:rPr>
                <w:rFonts w:asciiTheme="majorHAnsi" w:hAnsiTheme="majorHAnsi"/>
                <w:i/>
                <w:sz w:val="22"/>
                <w:szCs w:val="22"/>
              </w:rPr>
            </w:pPr>
            <w:r w:rsidRPr="003B46B6">
              <w:rPr>
                <w:rFonts w:asciiTheme="majorHAnsi" w:hAnsiTheme="majorHAnsi"/>
                <w: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p w:rsidR="00CB12CA" w:rsidRPr="00CB12CA" w:rsidRDefault="003B46B6" w:rsidP="003B46B6">
            <w:pPr>
              <w:widowControl w:val="0"/>
              <w:spacing w:before="60" w:after="60"/>
              <w:contextualSpacing/>
              <w:jc w:val="both"/>
              <w:rPr>
                <w:rFonts w:asciiTheme="majorHAnsi" w:hAnsiTheme="majorHAnsi"/>
                <w:sz w:val="22"/>
                <w:szCs w:val="22"/>
              </w:rPr>
            </w:pPr>
            <w:r w:rsidRPr="003B46B6">
              <w:rPr>
                <w:rFonts w:asciiTheme="majorHAnsi" w:hAnsiTheme="majorHAnsi"/>
                <w:i/>
                <w:sz w:val="22"/>
                <w:szCs w:val="22"/>
              </w:rPr>
              <w:t>Visais atvejais, jeigu siūlomo specialisto ir tiekėjo nesieja darbo santykiai (ir nesies pirkimo sutarties įgyvendinimo metu), toks specialistas bus laikomas subtiekėju ir privalo būti įtrauktas į subtiekėjų sąrašą.</w:t>
            </w:r>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525890" w:rsidRPr="003B46B6" w:rsidRDefault="00525890" w:rsidP="00525890">
      <w:pPr>
        <w:pStyle w:val="Body2"/>
        <w:spacing w:after="0"/>
        <w:ind w:firstLine="567"/>
        <w:rPr>
          <w:rFonts w:asciiTheme="majorHAnsi" w:hAnsiTheme="majorHAnsi" w:cs="Times New Roman"/>
          <w:b/>
          <w:color w:val="auto"/>
          <w:szCs w:val="20"/>
          <w:highlight w:val="yellow"/>
          <w:lang w:val="lt-LT"/>
        </w:rPr>
      </w:pPr>
      <w:bookmarkStart w:id="15" w:name="_Hlk203034563"/>
      <w:r w:rsidRPr="003B46B6">
        <w:rPr>
          <w:rFonts w:asciiTheme="majorHAnsi" w:hAnsiTheme="majorHAnsi" w:cs="Times New Roman"/>
          <w:b/>
          <w:iCs/>
          <w:color w:val="auto"/>
          <w:szCs w:val="20"/>
          <w:highlight w:val="yellow"/>
          <w:lang w:val="lt-LT"/>
        </w:rPr>
        <w:t>3.14</w:t>
      </w:r>
      <w:r w:rsidRPr="003B46B6">
        <w:rPr>
          <w:rFonts w:asciiTheme="majorHAnsi" w:hAnsiTheme="majorHAnsi" w:cs="Times New Roman"/>
          <w:b/>
          <w:i/>
          <w:iCs/>
          <w:color w:val="auto"/>
          <w:szCs w:val="20"/>
          <w:highlight w:val="yellow"/>
          <w:lang w:val="lt-LT"/>
        </w:rPr>
        <w:t>.</w:t>
      </w:r>
      <w:r w:rsidRPr="003B46B6">
        <w:rPr>
          <w:rFonts w:asciiTheme="majorHAnsi" w:hAnsiTheme="majorHAnsi" w:cs="Times New Roman"/>
          <w:b/>
          <w:color w:val="auto"/>
          <w:szCs w:val="20"/>
          <w:highlight w:val="yellow"/>
          <w:lang w:val="lt-LT"/>
        </w:rPr>
        <w:t xml:space="preserve"> Reikalavimai, susiję su naciona</w:t>
      </w:r>
      <w:r w:rsidRPr="000E2ECE">
        <w:rPr>
          <w:rFonts w:asciiTheme="majorHAnsi" w:hAnsiTheme="majorHAnsi" w:cs="Times New Roman"/>
          <w:b/>
          <w:color w:val="auto"/>
          <w:szCs w:val="20"/>
          <w:highlight w:val="yellow"/>
          <w:lang w:val="lt-LT"/>
        </w:rPr>
        <w:t>liniu</w:t>
      </w:r>
      <w:r w:rsidR="0000656B" w:rsidRPr="0000656B">
        <w:rPr>
          <w:rFonts w:asciiTheme="majorHAnsi" w:hAnsiTheme="majorHAnsi" w:cs="Times New Roman"/>
          <w:b/>
          <w:color w:val="auto"/>
          <w:szCs w:val="20"/>
          <w:highlight w:val="yellow"/>
          <w:lang w:val="lt-LT"/>
        </w:rPr>
        <w:t xml:space="preserve"> </w:t>
      </w:r>
      <w:r w:rsidR="0000656B" w:rsidRPr="000E2ECE">
        <w:rPr>
          <w:rFonts w:asciiTheme="majorHAnsi" w:hAnsiTheme="majorHAnsi" w:cs="Times New Roman"/>
          <w:b/>
          <w:color w:val="auto"/>
          <w:szCs w:val="20"/>
          <w:highlight w:val="yellow"/>
          <w:lang w:val="lt-LT"/>
        </w:rPr>
        <w:t>saugumu</w:t>
      </w:r>
      <w:r w:rsidRPr="000E2ECE">
        <w:rPr>
          <w:rFonts w:asciiTheme="majorHAnsi" w:hAnsiTheme="majorHAnsi" w:cs="Times New Roman"/>
          <w:b/>
          <w:color w:val="auto"/>
          <w:szCs w:val="20"/>
          <w:highlight w:val="yellow"/>
          <w:lang w:val="lt-LT"/>
        </w:rPr>
        <w:t>:</w:t>
      </w:r>
    </w:p>
    <w:p w:rsidR="00525890" w:rsidRPr="00525890" w:rsidRDefault="00525890" w:rsidP="00525890">
      <w:pPr>
        <w:pStyle w:val="ListParagraph"/>
        <w:ind w:left="0" w:firstLine="567"/>
        <w:jc w:val="both"/>
        <w:rPr>
          <w:highlight w:val="yellow"/>
        </w:rPr>
      </w:pPr>
      <w:r w:rsidRPr="00525890">
        <w:rPr>
          <w:rFonts w:asciiTheme="majorHAnsi" w:hAnsiTheme="majorHAnsi"/>
          <w:szCs w:val="20"/>
          <w:highlight w:val="yellow"/>
        </w:rPr>
        <w:t xml:space="preserve">3.14.1. Perkančioji organizacija laiko, kad </w:t>
      </w:r>
      <w:r w:rsidRPr="00525890">
        <w:rPr>
          <w:rFonts w:asciiTheme="majorHAnsi" w:hAnsiTheme="majorHAnsi"/>
          <w:szCs w:val="20"/>
          <w:highlight w:val="yellow"/>
          <w:shd w:val="clear" w:color="auto" w:fill="FFFFFF"/>
        </w:rPr>
        <w:t>pirkimo objektas kelia grėsmę nacionaliniam saugumui</w:t>
      </w:r>
      <w:r w:rsidRPr="00525890">
        <w:rPr>
          <w:rFonts w:asciiTheme="majorHAnsi" w:hAnsiTheme="majorHAnsi"/>
          <w:szCs w:val="20"/>
          <w:highlight w:val="yellow"/>
        </w:rPr>
        <w:t>,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00656B">
        <w:rPr>
          <w:rFonts w:asciiTheme="majorHAnsi" w:hAnsiTheme="majorHAnsi"/>
          <w:szCs w:val="20"/>
          <w:highlight w:val="yellow"/>
        </w:rPr>
        <w:t xml:space="preserve"> </w:t>
      </w:r>
      <w:r w:rsidR="0000656B" w:rsidRPr="000E2ECE">
        <w:rPr>
          <w:rFonts w:asciiTheme="majorHAnsi" w:hAnsiTheme="majorHAnsi"/>
          <w:b/>
          <w:szCs w:val="20"/>
          <w:highlight w:val="yellow"/>
        </w:rPr>
        <w:t>(taikoma kompiuterinei</w:t>
      </w:r>
      <w:r w:rsidR="003A43C4">
        <w:rPr>
          <w:rFonts w:asciiTheme="majorHAnsi" w:hAnsiTheme="majorHAnsi"/>
          <w:b/>
          <w:szCs w:val="20"/>
          <w:highlight w:val="yellow"/>
        </w:rPr>
        <w:t xml:space="preserve"> įrangai,</w:t>
      </w:r>
      <w:r w:rsidR="0000656B" w:rsidRPr="000E2ECE">
        <w:rPr>
          <w:rFonts w:asciiTheme="majorHAnsi" w:hAnsiTheme="majorHAnsi"/>
          <w:b/>
          <w:szCs w:val="20"/>
          <w:highlight w:val="yellow"/>
        </w:rPr>
        <w:t xml:space="preserve"> </w:t>
      </w:r>
      <w:r w:rsidR="00A80E1B">
        <w:rPr>
          <w:rFonts w:asciiTheme="majorHAnsi" w:hAnsiTheme="majorHAnsi"/>
          <w:b/>
          <w:szCs w:val="20"/>
          <w:highlight w:val="yellow"/>
        </w:rPr>
        <w:t>programinei</w:t>
      </w:r>
      <w:r w:rsidR="0000656B" w:rsidRPr="000E2ECE">
        <w:rPr>
          <w:rFonts w:asciiTheme="majorHAnsi" w:hAnsiTheme="majorHAnsi"/>
          <w:b/>
          <w:szCs w:val="20"/>
          <w:highlight w:val="yellow"/>
        </w:rPr>
        <w:t xml:space="preserve"> įrangai ir nenutrūkstamojo maitinimo šaltiniui)</w:t>
      </w:r>
      <w:r w:rsidRPr="00525890">
        <w:rPr>
          <w:highlight w:val="yellow"/>
        </w:rPr>
        <w:t xml:space="preserve"> </w:t>
      </w:r>
    </w:p>
    <w:p w:rsidR="00525890" w:rsidRPr="00525890" w:rsidRDefault="00525890" w:rsidP="00525890">
      <w:pPr>
        <w:pStyle w:val="ListParagraph"/>
        <w:spacing w:after="0"/>
        <w:ind w:left="0" w:firstLine="567"/>
        <w:jc w:val="both"/>
        <w:rPr>
          <w:rFonts w:asciiTheme="majorHAnsi" w:hAnsiTheme="majorHAnsi"/>
          <w:szCs w:val="20"/>
          <w:highlight w:val="yellow"/>
        </w:rPr>
      </w:pPr>
      <w:r w:rsidRPr="00525890">
        <w:rPr>
          <w:rFonts w:asciiTheme="majorHAnsi" w:hAnsiTheme="majorHAnsi"/>
          <w:szCs w:val="20"/>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525890" w:rsidRPr="00525890" w:rsidRDefault="00525890" w:rsidP="00525890">
      <w:pPr>
        <w:ind w:firstLine="567"/>
        <w:jc w:val="both"/>
        <w:rPr>
          <w:rFonts w:asciiTheme="majorHAnsi" w:hAnsiTheme="majorHAnsi"/>
          <w:i/>
          <w:iCs/>
          <w:sz w:val="22"/>
          <w:szCs w:val="20"/>
          <w:highlight w:val="yellow"/>
          <w:lang w:val="lt-LT"/>
        </w:rPr>
      </w:pPr>
      <w:r w:rsidRPr="00525890">
        <w:rPr>
          <w:rFonts w:asciiTheme="majorHAnsi" w:hAnsiTheme="majorHAnsi"/>
          <w:i/>
          <w:iCs/>
          <w:sz w:val="22"/>
          <w:szCs w:val="20"/>
          <w:highlight w:val="yellow"/>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525890" w:rsidRPr="00525890" w:rsidRDefault="00525890" w:rsidP="00525890">
      <w:pPr>
        <w:pStyle w:val="Body2"/>
        <w:ind w:firstLine="567"/>
        <w:rPr>
          <w:rFonts w:asciiTheme="majorHAnsi" w:hAnsiTheme="majorHAnsi"/>
          <w:color w:val="auto"/>
          <w:highlight w:val="yellow"/>
          <w:lang w:val="lt-LT"/>
        </w:rPr>
      </w:pPr>
      <w:r w:rsidRPr="00525890">
        <w:rPr>
          <w:rFonts w:asciiTheme="majorHAnsi" w:hAnsiTheme="majorHAnsi"/>
          <w:color w:val="auto"/>
          <w:highlight w:val="yellow"/>
          <w:lang w:val="lt-LT"/>
        </w:rPr>
        <w:t xml:space="preserve">3.14.2. Perkančioji organizacija laiko, kad tiekėjas turi interesų, galinčių kelti grėsmę nacionaliniam saugumui, jei jis, jo subtiekėjas (-ai) ar ūkio subjektas (-ai), kurių pajėgumais remiamasi, kurie patys ar </w:t>
      </w:r>
      <w:r w:rsidRPr="00525890">
        <w:rPr>
          <w:rFonts w:asciiTheme="majorHAnsi" w:hAnsiTheme="majorHAnsi"/>
          <w:color w:val="auto"/>
          <w:highlight w:val="yellow"/>
          <w:lang w:val="lt-LT"/>
        </w:rPr>
        <w:lastRenderedPageBreak/>
        <w:t xml:space="preserve">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525890" w:rsidRPr="00525890" w:rsidRDefault="00525890" w:rsidP="00525890">
      <w:pPr>
        <w:pStyle w:val="Body2"/>
        <w:ind w:firstLine="567"/>
        <w:rPr>
          <w:rFonts w:asciiTheme="majorHAnsi" w:hAnsiTheme="majorHAnsi"/>
          <w:color w:val="auto"/>
          <w:szCs w:val="20"/>
          <w:highlight w:val="yellow"/>
          <w:lang w:val="lt-LT"/>
        </w:rPr>
      </w:pPr>
      <w:r w:rsidRPr="00525890">
        <w:rPr>
          <w:rFonts w:asciiTheme="majorHAnsi" w:hAnsiTheme="majorHAnsi"/>
          <w:color w:val="auto"/>
          <w:szCs w:val="20"/>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525890" w:rsidRPr="00FE4FA2" w:rsidRDefault="00525890" w:rsidP="00525890">
      <w:pPr>
        <w:pStyle w:val="Body2"/>
        <w:ind w:firstLine="567"/>
        <w:rPr>
          <w:rFonts w:asciiTheme="majorHAnsi" w:hAnsiTheme="majorHAnsi"/>
          <w:i/>
          <w:color w:val="auto"/>
          <w:lang w:val="lt-LT"/>
        </w:rPr>
      </w:pPr>
      <w:r w:rsidRPr="00525890">
        <w:rPr>
          <w:rFonts w:asciiTheme="majorHAnsi" w:hAnsiTheme="majorHAnsi"/>
          <w:i/>
          <w:color w:val="auto"/>
          <w:szCs w:val="20"/>
          <w:highlight w:val="yellow"/>
          <w:lang w:val="lt-LT"/>
        </w:rPr>
        <w:t xml:space="preserve"> </w:t>
      </w:r>
      <w:r w:rsidRPr="00525890">
        <w:rPr>
          <w:rFonts w:asciiTheme="majorHAnsi" w:hAnsiTheme="majorHAnsi"/>
          <w:i/>
          <w:color w:val="auto"/>
          <w:highlight w:val="yellow"/>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bookmarkEnd w:id="15"/>
    <w:p w:rsidR="000E2ECE" w:rsidRDefault="000E2ECE" w:rsidP="000E2ECE">
      <w:pPr>
        <w:pStyle w:val="Body2"/>
        <w:spacing w:after="0"/>
        <w:ind w:firstLine="709"/>
        <w:rPr>
          <w:rFonts w:asciiTheme="majorHAnsi" w:hAnsiTheme="majorHAnsi" w:cs="Times New Roman"/>
          <w:color w:val="auto"/>
          <w:u w:val="single"/>
          <w:lang w:val="lt-LT"/>
        </w:rPr>
      </w:pPr>
      <w:r w:rsidRPr="00BD2A2F">
        <w:rPr>
          <w:rFonts w:asciiTheme="majorHAnsi" w:hAnsiTheme="majorHAnsi" w:cs="Times New Roman"/>
          <w:color w:val="auto"/>
          <w:highlight w:val="yellow"/>
          <w:u w:val="single"/>
          <w:lang w:val="lt-LT"/>
        </w:rPr>
        <w:t>3.14.3.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r>
        <w:rPr>
          <w:rFonts w:asciiTheme="majorHAnsi" w:hAnsiTheme="majorHAnsi" w:cs="Times New Roman"/>
          <w:color w:val="auto"/>
          <w:highlight w:val="yellow"/>
          <w:u w:val="single"/>
          <w:lang w:val="lt-LT"/>
        </w:rPr>
        <w:t xml:space="preserve"> </w:t>
      </w:r>
    </w:p>
    <w:p w:rsidR="00F21F06" w:rsidRPr="00525890" w:rsidRDefault="00F21F06" w:rsidP="00F21F06">
      <w:pPr>
        <w:rPr>
          <w:rFonts w:asciiTheme="majorHAnsi" w:hAnsiTheme="majorHAnsi"/>
          <w:sz w:val="22"/>
          <w:szCs w:val="22"/>
          <w:lang w:val="lt-LT"/>
        </w:rPr>
      </w:pPr>
    </w:p>
    <w:p w:rsidR="007C7568" w:rsidRPr="00525890" w:rsidRDefault="007C7568" w:rsidP="007C7568">
      <w:pPr>
        <w:tabs>
          <w:tab w:val="left" w:pos="0"/>
          <w:tab w:val="left" w:pos="1701"/>
        </w:tabs>
        <w:ind w:firstLine="1134"/>
        <w:jc w:val="both"/>
        <w:rPr>
          <w:rFonts w:asciiTheme="majorHAnsi" w:hAnsiTheme="majorHAnsi"/>
          <w:noProof/>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6"/>
      <w:bookmarkEnd w:id="17"/>
    </w:p>
    <w:p w:rsidR="007C7568" w:rsidRPr="00525890" w:rsidRDefault="007C7568" w:rsidP="007C7568">
      <w:pPr>
        <w:rPr>
          <w:rFonts w:asciiTheme="majorHAnsi" w:hAnsiTheme="majorHAnsi"/>
          <w:sz w:val="22"/>
          <w:szCs w:val="22"/>
          <w:lang w:val="lt-LT" w:eastAsia="lt-LT"/>
        </w:rPr>
      </w:pPr>
    </w:p>
    <w:bookmarkEnd w:id="18"/>
    <w:p w:rsidR="00662C1E" w:rsidRPr="00525890" w:rsidRDefault="007C7568" w:rsidP="00662C1E">
      <w:pPr>
        <w:pStyle w:val="Body2"/>
        <w:rPr>
          <w:rFonts w:asciiTheme="majorHAnsi" w:hAnsiTheme="majorHAnsi" w:cs="Times New Roman"/>
          <w:lang w:val="lt-LT"/>
        </w:rPr>
      </w:pPr>
      <w:r w:rsidRPr="00525890">
        <w:rPr>
          <w:rFonts w:asciiTheme="majorHAnsi" w:hAnsiTheme="majorHAnsi" w:cs="Times New Roman"/>
          <w:lang w:val="lt-LT"/>
        </w:rPr>
        <w:tab/>
      </w:r>
      <w:r w:rsidR="00662C1E" w:rsidRPr="00525890">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25890">
        <w:rPr>
          <w:rFonts w:asciiTheme="majorHAnsi" w:hAnsiTheme="majorHAnsi" w:cs="Times New Roman"/>
          <w:lang w:val="lt-LT"/>
        </w:rPr>
        <w:tab/>
      </w:r>
    </w:p>
    <w:p w:rsidR="00662C1E" w:rsidRPr="00525890" w:rsidRDefault="00662C1E" w:rsidP="00BF15AC">
      <w:pPr>
        <w:pStyle w:val="Body2"/>
        <w:ind w:firstLine="1276"/>
        <w:rPr>
          <w:rFonts w:asciiTheme="majorHAnsi" w:hAnsiTheme="majorHAnsi" w:cs="Times New Roman"/>
          <w:lang w:val="lt-LT"/>
        </w:rPr>
      </w:pPr>
      <w:r w:rsidRPr="0052589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25890"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4.9. Tiekėjas pasiūlyme turi nurodyti, kokiai pirkimo sutarties daliai ir kokius subtiekėjus, jeigu jie yra žinomi, jis ketina pasitelkti.</w:t>
      </w:r>
    </w:p>
    <w:p w:rsidR="00963C5A" w:rsidRPr="00525890" w:rsidRDefault="00963C5A" w:rsidP="00963C5A">
      <w:pPr>
        <w:pStyle w:val="Body2"/>
        <w:ind w:firstLine="1276"/>
        <w:rPr>
          <w:rFonts w:asciiTheme="majorHAnsi" w:hAnsiTheme="majorHAnsi" w:cs="Times New Roman"/>
          <w:lang w:val="lt-LT"/>
        </w:rPr>
      </w:pPr>
      <w:r>
        <w:rPr>
          <w:rFonts w:asciiTheme="majorHAnsi" w:hAnsiTheme="majorHAnsi" w:cs="Times New Roman"/>
          <w:lang w:val="lt-LT"/>
        </w:rPr>
        <w:t xml:space="preserve">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7C7568" w:rsidRPr="00525890"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9"/>
      <w:bookmarkEnd w:id="20"/>
      <w:bookmarkEnd w:id="21"/>
      <w:bookmarkEnd w:id="22"/>
      <w:bookmarkEnd w:id="23"/>
    </w:p>
    <w:p w:rsidR="007C7568" w:rsidRPr="00525890" w:rsidRDefault="007C7568" w:rsidP="007C7568">
      <w:pPr>
        <w:rPr>
          <w:rFonts w:asciiTheme="majorHAnsi" w:hAnsiTheme="majorHAnsi"/>
          <w:sz w:val="22"/>
          <w:szCs w:val="22"/>
          <w:lang w:val="lt-LT" w:eastAsia="lt-LT"/>
        </w:rPr>
      </w:pPr>
    </w:p>
    <w:p w:rsidR="007C7568" w:rsidRPr="00A80E1B"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525890">
        <w:rPr>
          <w:rFonts w:asciiTheme="majorHAnsi" w:hAnsiTheme="majorHAnsi" w:cs="Times New Roman"/>
          <w:lang w:val="lt-LT"/>
        </w:rPr>
        <w:tab/>
        <w:t xml:space="preserve">5.1. </w:t>
      </w:r>
      <w:r w:rsidRPr="00A80E1B">
        <w:rPr>
          <w:rFonts w:asciiTheme="majorHAnsi" w:hAnsiTheme="majorHAnsi" w:cs="Times New Roman"/>
          <w:lang w:val="lt-LT"/>
        </w:rPr>
        <w:t xml:space="preserve">Tiekėjas negali pateikti alternatyvių </w:t>
      </w:r>
      <w:r w:rsidRPr="00700B84">
        <w:rPr>
          <w:rFonts w:asciiTheme="majorHAnsi" w:hAnsiTheme="majorHAnsi" w:cs="Times New Roman"/>
          <w:lang w:val="es-ES_tradnl"/>
        </w:rPr>
        <w:t>pasi</w:t>
      </w:r>
      <w:r w:rsidRPr="00A80E1B">
        <w:rPr>
          <w:rFonts w:asciiTheme="majorHAnsi" w:hAnsiTheme="majorHAnsi" w:cs="Times New Roman"/>
          <w:lang w:val="lt-LT"/>
        </w:rPr>
        <w:t xml:space="preserve">ūlymų. Tiekėjui pateikus alternatyvų </w:t>
      </w:r>
      <w:r w:rsidRPr="00700B84">
        <w:rPr>
          <w:rFonts w:asciiTheme="majorHAnsi" w:hAnsiTheme="majorHAnsi" w:cs="Times New Roman"/>
          <w:lang w:val="es-ES_tradnl"/>
        </w:rPr>
        <w:t>pasi</w:t>
      </w:r>
      <w:r w:rsidRPr="00A80E1B">
        <w:rPr>
          <w:rFonts w:asciiTheme="majorHAnsi" w:hAnsiTheme="majorHAnsi" w:cs="Times New Roman"/>
          <w:lang w:val="lt-LT"/>
        </w:rPr>
        <w:t>ūlymą, jo pasiū</w:t>
      </w:r>
      <w:r w:rsidRPr="00700B84">
        <w:rPr>
          <w:rFonts w:asciiTheme="majorHAnsi" w:hAnsiTheme="majorHAnsi" w:cs="Times New Roman"/>
          <w:lang w:val="es-ES_tradnl"/>
        </w:rPr>
        <w:t>lymas ir alternatyvus pasi</w:t>
      </w:r>
      <w:r w:rsidRPr="00A80E1B">
        <w:rPr>
          <w:rFonts w:asciiTheme="majorHAnsi" w:hAnsiTheme="majorHAnsi" w:cs="Times New Roman"/>
          <w:lang w:val="lt-LT"/>
        </w:rPr>
        <w:t>ūlymas (alternatyvū</w:t>
      </w:r>
      <w:r w:rsidRPr="00700B84">
        <w:rPr>
          <w:rFonts w:asciiTheme="majorHAnsi" w:hAnsiTheme="majorHAnsi" w:cs="Times New Roman"/>
          <w:lang w:val="es-ES_tradnl"/>
        </w:rPr>
        <w:t>s pasi</w:t>
      </w:r>
      <w:r w:rsidRPr="00A80E1B">
        <w:rPr>
          <w:rFonts w:asciiTheme="majorHAnsi" w:hAnsiTheme="majorHAnsi" w:cs="Times New Roman"/>
          <w:lang w:val="lt-LT"/>
        </w:rPr>
        <w:t>ūlymai) bus atmesti.</w:t>
      </w:r>
    </w:p>
    <w:p w:rsidR="007C7568" w:rsidRPr="00525890" w:rsidRDefault="007C7568" w:rsidP="007C7568">
      <w:pPr>
        <w:pStyle w:val="Body2"/>
        <w:rPr>
          <w:rFonts w:asciiTheme="majorHAnsi" w:hAnsiTheme="majorHAnsi" w:cs="Times New Roman"/>
          <w:lang w:val="it-IT"/>
        </w:rPr>
      </w:pPr>
      <w:r w:rsidRPr="00A80E1B">
        <w:rPr>
          <w:rFonts w:asciiTheme="majorHAnsi" w:hAnsiTheme="majorHAnsi" w:cs="Times New Roman"/>
          <w:lang w:val="lt-LT"/>
        </w:rPr>
        <w:tab/>
        <w:t>5.</w:t>
      </w:r>
      <w:r w:rsidR="00963C5A" w:rsidRPr="00A80E1B">
        <w:rPr>
          <w:rFonts w:asciiTheme="majorHAnsi" w:hAnsiTheme="majorHAnsi" w:cs="Times New Roman"/>
          <w:lang w:val="lt-LT"/>
        </w:rPr>
        <w:t>2</w:t>
      </w:r>
      <w:r w:rsidRPr="00A80E1B">
        <w:rPr>
          <w:rFonts w:asciiTheme="majorHAnsi" w:hAnsiTheme="majorHAnsi" w:cs="Times New Roman"/>
          <w:lang w:val="lt-LT"/>
        </w:rPr>
        <w:t xml:space="preserve">. </w:t>
      </w:r>
      <w:r w:rsidRPr="00700B84">
        <w:rPr>
          <w:rFonts w:asciiTheme="majorHAnsi" w:hAnsiTheme="majorHAnsi" w:cs="Times New Roman"/>
          <w:lang w:val="sv-SE"/>
        </w:rPr>
        <w:t>Perkan</w:t>
      </w:r>
      <w:r w:rsidRPr="00A80E1B">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25890">
        <w:rPr>
          <w:rFonts w:asciiTheme="majorHAnsi" w:hAnsiTheme="majorHAnsi" w:cs="Times New Roman"/>
          <w:lang w:val="it-IT"/>
        </w:rPr>
        <w:t>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525890">
        <w:rPr>
          <w:rFonts w:asciiTheme="majorHAnsi" w:hAnsiTheme="majorHAnsi" w:cs="Times New Roman"/>
          <w:lang w:val="it-IT"/>
        </w:rPr>
        <w:t>ė</w:t>
      </w:r>
      <w:r w:rsidRPr="00700B84">
        <w:rPr>
          <w:rFonts w:asciiTheme="majorHAnsi" w:hAnsiTheme="majorHAnsi" w:cs="Times New Roman"/>
          <w:lang w:val="pt-PT"/>
        </w:rPr>
        <w:t>s veiklos sutartis ir pan.)</w:t>
      </w:r>
      <w:r w:rsidRPr="00525890">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525890">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525890">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525890">
        <w:rPr>
          <w:rFonts w:asciiTheme="majorHAnsi" w:hAnsiTheme="majorHAnsi" w:cs="Times New Roman"/>
          <w:lang w:val="it-IT"/>
        </w:rPr>
        <w:t>x ir kt.).</w:t>
      </w:r>
    </w:p>
    <w:p w:rsidR="007C7568" w:rsidRPr="00525890" w:rsidRDefault="007C7568" w:rsidP="007C7568">
      <w:pPr>
        <w:pStyle w:val="Body2"/>
        <w:rPr>
          <w:rFonts w:asciiTheme="majorHAnsi" w:hAnsiTheme="majorHAnsi" w:cs="Times New Roman"/>
          <w:color w:val="auto"/>
          <w:lang w:val="it-IT"/>
        </w:rPr>
      </w:pPr>
      <w:r w:rsidRPr="00525890">
        <w:rPr>
          <w:rFonts w:asciiTheme="majorHAnsi" w:hAnsiTheme="majorHAnsi" w:cs="Times New Roman"/>
          <w:color w:val="auto"/>
          <w:lang w:val="it-IT"/>
        </w:rPr>
        <w:tab/>
        <w:t>5.</w:t>
      </w:r>
      <w:r w:rsidR="00963C5A">
        <w:rPr>
          <w:rFonts w:asciiTheme="majorHAnsi" w:hAnsiTheme="majorHAnsi" w:cs="Times New Roman"/>
          <w:color w:val="auto"/>
          <w:lang w:val="it-IT"/>
        </w:rPr>
        <w:t>3</w:t>
      </w:r>
      <w:r w:rsidRPr="00525890">
        <w:rPr>
          <w:rFonts w:asciiTheme="majorHAnsi" w:hAnsiTheme="majorHAnsi" w:cs="Times New Roman"/>
          <w:color w:val="auto"/>
          <w:lang w:val="it-IT"/>
        </w:rPr>
        <w:t xml:space="preserve">. </w:t>
      </w:r>
      <w:r w:rsidRPr="00525890">
        <w:rPr>
          <w:rFonts w:asciiTheme="majorHAnsi" w:hAnsiTheme="majorHAnsi" w:cs="Times New Roman"/>
          <w:iCs/>
          <w:color w:val="auto"/>
          <w:lang w:val="it-IT"/>
        </w:rPr>
        <w:t xml:space="preserve">Pasiūlymas turi būti pateiktas iki </w:t>
      </w:r>
      <w:r w:rsidR="00A267EC" w:rsidRPr="00525890">
        <w:rPr>
          <w:rFonts w:asciiTheme="majorHAnsi" w:hAnsiTheme="majorHAnsi" w:cs="Times New Roman"/>
          <w:b/>
          <w:iCs/>
          <w:color w:val="548DD4" w:themeColor="text2" w:themeTint="99"/>
          <w:lang w:val="it-IT"/>
        </w:rPr>
        <w:t>20</w:t>
      </w:r>
      <w:r w:rsidR="00F34F90" w:rsidRPr="00525890">
        <w:rPr>
          <w:rFonts w:asciiTheme="majorHAnsi" w:hAnsiTheme="majorHAnsi" w:cs="Times New Roman"/>
          <w:b/>
          <w:iCs/>
          <w:color w:val="548DD4" w:themeColor="text2" w:themeTint="99"/>
          <w:lang w:val="it-IT"/>
        </w:rPr>
        <w:t>2</w:t>
      </w:r>
      <w:r w:rsidR="00A80E1B">
        <w:rPr>
          <w:rFonts w:asciiTheme="majorHAnsi" w:hAnsiTheme="majorHAnsi" w:cs="Times New Roman"/>
          <w:b/>
          <w:iCs/>
          <w:color w:val="548DD4" w:themeColor="text2" w:themeTint="99"/>
          <w:lang w:val="it-IT"/>
        </w:rPr>
        <w:t>6</w:t>
      </w:r>
      <w:r w:rsidR="00A267EC" w:rsidRPr="00525890">
        <w:rPr>
          <w:rFonts w:asciiTheme="majorHAnsi" w:hAnsiTheme="majorHAnsi" w:cs="Times New Roman"/>
          <w:b/>
          <w:iCs/>
          <w:color w:val="548DD4" w:themeColor="text2" w:themeTint="99"/>
          <w:lang w:val="it-IT"/>
        </w:rPr>
        <w:t xml:space="preserve"> m. </w:t>
      </w:r>
      <w:r w:rsidR="00A80E1B">
        <w:rPr>
          <w:rFonts w:asciiTheme="majorHAnsi" w:hAnsiTheme="majorHAnsi" w:cs="Times New Roman"/>
          <w:b/>
          <w:iCs/>
          <w:color w:val="548DD4" w:themeColor="text2" w:themeTint="99"/>
          <w:lang w:val="it-IT"/>
        </w:rPr>
        <w:t>vasario</w:t>
      </w:r>
      <w:r w:rsidR="002F3AA5" w:rsidRPr="00525890">
        <w:rPr>
          <w:rFonts w:asciiTheme="majorHAnsi" w:hAnsiTheme="majorHAnsi" w:cs="Times New Roman"/>
          <w:b/>
          <w:iCs/>
          <w:color w:val="548DD4" w:themeColor="text2" w:themeTint="99"/>
          <w:lang w:val="it-IT"/>
        </w:rPr>
        <w:t xml:space="preserve"> </w:t>
      </w:r>
      <w:r w:rsidR="00667D63">
        <w:rPr>
          <w:rFonts w:asciiTheme="majorHAnsi" w:hAnsiTheme="majorHAnsi" w:cs="Times New Roman"/>
          <w:b/>
          <w:iCs/>
          <w:color w:val="548DD4" w:themeColor="text2" w:themeTint="99"/>
          <w:lang w:val="it-IT"/>
        </w:rPr>
        <w:t>13</w:t>
      </w:r>
      <w:r w:rsidR="002F3AA5" w:rsidRPr="00525890">
        <w:rPr>
          <w:rFonts w:asciiTheme="majorHAnsi" w:hAnsiTheme="majorHAnsi" w:cs="Times New Roman"/>
          <w:b/>
          <w:iCs/>
          <w:color w:val="548DD4" w:themeColor="text2" w:themeTint="99"/>
          <w:lang w:val="it-IT"/>
        </w:rPr>
        <w:t xml:space="preserve"> </w:t>
      </w:r>
      <w:r w:rsidR="001D30F1" w:rsidRPr="00525890">
        <w:rPr>
          <w:rFonts w:asciiTheme="majorHAnsi" w:hAnsiTheme="majorHAnsi" w:cs="Times New Roman"/>
          <w:b/>
          <w:iCs/>
          <w:color w:val="548DD4" w:themeColor="text2" w:themeTint="99"/>
          <w:lang w:val="it-IT"/>
        </w:rPr>
        <w:t xml:space="preserve">d. </w:t>
      </w:r>
      <w:r w:rsidR="00700B84" w:rsidRPr="00525890">
        <w:rPr>
          <w:rFonts w:asciiTheme="majorHAnsi" w:hAnsiTheme="majorHAnsi" w:cs="Times New Roman"/>
          <w:b/>
          <w:iCs/>
          <w:color w:val="548DD4" w:themeColor="text2" w:themeTint="99"/>
          <w:lang w:val="it-IT"/>
        </w:rPr>
        <w:t>11</w:t>
      </w:r>
      <w:r w:rsidRPr="00525890">
        <w:rPr>
          <w:rFonts w:asciiTheme="majorHAnsi" w:hAnsiTheme="majorHAnsi" w:cs="Times New Roman"/>
          <w:b/>
          <w:iCs/>
          <w:color w:val="548DD4" w:themeColor="text2" w:themeTint="99"/>
          <w:lang w:val="it-IT"/>
        </w:rPr>
        <w:t xml:space="preserve"> val. </w:t>
      </w:r>
      <w:r w:rsidR="004E3D3D" w:rsidRPr="00525890">
        <w:rPr>
          <w:rFonts w:asciiTheme="majorHAnsi" w:hAnsiTheme="majorHAnsi" w:cs="Times New Roman"/>
          <w:b/>
          <w:iCs/>
          <w:color w:val="548DD4" w:themeColor="text2" w:themeTint="99"/>
          <w:lang w:val="it-IT"/>
        </w:rPr>
        <w:t>00</w:t>
      </w:r>
      <w:r w:rsidRPr="00525890">
        <w:rPr>
          <w:rFonts w:asciiTheme="majorHAnsi" w:hAnsiTheme="majorHAnsi" w:cs="Times New Roman"/>
          <w:b/>
          <w:iCs/>
          <w:color w:val="548DD4" w:themeColor="text2" w:themeTint="99"/>
          <w:lang w:val="it-IT"/>
        </w:rPr>
        <w:t xml:space="preserve"> min.</w:t>
      </w:r>
      <w:r w:rsidRPr="00525890">
        <w:rPr>
          <w:rFonts w:asciiTheme="majorHAnsi" w:hAnsiTheme="majorHAnsi" w:cs="Times New Roman"/>
          <w:iCs/>
          <w:color w:val="auto"/>
          <w:lang w:val="it-IT"/>
        </w:rPr>
        <w:t xml:space="preserve"> (Lietuvos Respublikos laiku) tik elektroninėmis priemonėmis, naudojant CVP IS.</w:t>
      </w:r>
      <w:r w:rsidRPr="00525890">
        <w:rPr>
          <w:rFonts w:asciiTheme="majorHAnsi" w:hAnsiTheme="majorHAnsi" w:cs="Times New Roman"/>
          <w:color w:val="auto"/>
          <w:lang w:val="it-IT"/>
        </w:rPr>
        <w:tab/>
      </w:r>
    </w:p>
    <w:p w:rsidR="007C7568" w:rsidRPr="00525890" w:rsidRDefault="007C7568" w:rsidP="007C7568">
      <w:pPr>
        <w:pStyle w:val="Body2"/>
        <w:ind w:firstLine="1296"/>
        <w:rPr>
          <w:rFonts w:asciiTheme="majorHAnsi" w:hAnsiTheme="majorHAnsi" w:cs="Times New Roman"/>
          <w:lang w:val="it-IT"/>
        </w:rPr>
      </w:pPr>
      <w:r w:rsidRPr="00525890">
        <w:rPr>
          <w:rFonts w:asciiTheme="majorHAnsi" w:hAnsiTheme="majorHAnsi" w:cs="Times New Roman"/>
          <w:lang w:val="it-IT"/>
        </w:rPr>
        <w:t>5.</w:t>
      </w:r>
      <w:r w:rsidR="00963C5A">
        <w:rPr>
          <w:rFonts w:asciiTheme="majorHAnsi" w:hAnsiTheme="majorHAnsi" w:cs="Times New Roman"/>
          <w:lang w:val="it-IT"/>
        </w:rPr>
        <w:t>4</w:t>
      </w:r>
      <w:r w:rsidRPr="00525890">
        <w:rPr>
          <w:rFonts w:asciiTheme="majorHAnsi" w:hAnsiTheme="majorHAnsi" w:cs="Times New Roman"/>
          <w:lang w:val="it-IT"/>
        </w:rPr>
        <w:t>. Susipažinti su pirkimo dokumentais tiekėjai turi teisę iki pasiūlymų pateikimo t</w:t>
      </w:r>
      <w:r w:rsidRPr="00700B84">
        <w:rPr>
          <w:rFonts w:asciiTheme="majorHAnsi" w:hAnsiTheme="majorHAnsi" w:cs="Times New Roman"/>
          <w:lang w:val="pt-PT"/>
        </w:rPr>
        <w:t>ermino pabaigos.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963C5A">
        <w:rPr>
          <w:rFonts w:asciiTheme="majorHAnsi" w:hAnsiTheme="majorHAnsi" w:cs="Times New Roman"/>
          <w:lang w:val="it-IT"/>
        </w:rPr>
        <w:t>5</w:t>
      </w:r>
      <w:r w:rsidRPr="00525890">
        <w:rPr>
          <w:rFonts w:asciiTheme="majorHAnsi" w:hAnsiTheme="majorHAnsi" w:cs="Times New Roman"/>
          <w:lang w:val="it-IT"/>
        </w:rPr>
        <w:t xml:space="preserve"> Pateikdamas pasiūlymą</w:t>
      </w:r>
      <w:r w:rsidRPr="00700B84">
        <w:rPr>
          <w:rFonts w:asciiTheme="majorHAnsi" w:hAnsiTheme="majorHAnsi" w:cs="Times New Roman"/>
          <w:lang w:val="nl-NL"/>
        </w:rPr>
        <w:t>, tiek</w:t>
      </w:r>
      <w:r w:rsidRPr="00525890">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it-IT"/>
        </w:rPr>
        <w:tab/>
        <w:t>5.</w:t>
      </w:r>
      <w:r w:rsidR="00EE2E0C">
        <w:rPr>
          <w:rFonts w:asciiTheme="majorHAnsi" w:hAnsiTheme="majorHAnsi" w:cs="Times New Roman"/>
          <w:lang w:val="it-IT"/>
        </w:rPr>
        <w:t>6</w:t>
      </w:r>
      <w:r w:rsidRPr="00525890">
        <w:rPr>
          <w:rFonts w:asciiTheme="majorHAnsi" w:hAnsiTheme="majorHAnsi" w:cs="Times New Roman"/>
          <w:lang w:val="it-IT"/>
        </w:rPr>
        <w:t xml:space="preserve">.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25890">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525890">
        <w:rPr>
          <w:rFonts w:asciiTheme="majorHAnsi" w:hAnsiTheme="majorHAnsi" w:cs="Times New Roman"/>
          <w:lang w:val="lt-LT"/>
        </w:rPr>
        <w:tab/>
      </w:r>
      <w:r w:rsidRPr="00525890">
        <w:rPr>
          <w:rFonts w:asciiTheme="majorHAnsi" w:hAnsiTheme="majorHAnsi" w:cs="Times New Roman"/>
          <w:lang w:val="it-IT"/>
        </w:rPr>
        <w:t>5.</w:t>
      </w:r>
      <w:r w:rsidR="00EE2E0C">
        <w:rPr>
          <w:rFonts w:asciiTheme="majorHAnsi" w:hAnsiTheme="majorHAnsi" w:cs="Times New Roman"/>
          <w:lang w:val="it-IT"/>
        </w:rPr>
        <w:t>7</w:t>
      </w:r>
      <w:r w:rsidRPr="00525890">
        <w:rPr>
          <w:rFonts w:asciiTheme="majorHAnsi" w:hAnsiTheme="majorHAnsi" w:cs="Times New Roman"/>
          <w:lang w:val="it-IT"/>
        </w:rPr>
        <w:t>.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525890"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525890">
        <w:rPr>
          <w:rFonts w:asciiTheme="majorHAnsi" w:hAnsiTheme="majorHAnsi" w:cs="Times New Roman"/>
          <w:lang w:val="it-IT"/>
        </w:rPr>
        <w:t>5.</w:t>
      </w:r>
      <w:r w:rsidR="00EE2E0C">
        <w:rPr>
          <w:rFonts w:asciiTheme="majorHAnsi" w:hAnsiTheme="majorHAnsi" w:cs="Times New Roman"/>
          <w:lang w:val="it-IT"/>
        </w:rPr>
        <w:t>8</w:t>
      </w:r>
      <w:r w:rsidRPr="00525890">
        <w:rPr>
          <w:rFonts w:asciiTheme="majorHAnsi" w:hAnsiTheme="majorHAnsi" w:cs="Times New Roman"/>
          <w:lang w:val="it-IT"/>
        </w:rPr>
        <w:t xml:space="preserve">. </w:t>
      </w:r>
      <w:r w:rsidRPr="00525890">
        <w:rPr>
          <w:rFonts w:asciiTheme="majorHAnsi" w:hAnsiTheme="majorHAnsi" w:cs="Times New Roman"/>
          <w:b/>
          <w:lang w:val="it-IT"/>
        </w:rPr>
        <w:t>Pasiū</w:t>
      </w:r>
      <w:r w:rsidRPr="00700B84">
        <w:rPr>
          <w:rFonts w:asciiTheme="majorHAnsi" w:hAnsiTheme="majorHAnsi" w:cs="Times New Roman"/>
          <w:b/>
          <w:lang w:val="de-DE"/>
        </w:rPr>
        <w:t>lyme nurodom</w:t>
      </w:r>
      <w:r w:rsidRPr="00525890">
        <w:rPr>
          <w:rFonts w:asciiTheme="majorHAnsi" w:hAnsiTheme="majorHAnsi" w:cs="Times New Roman"/>
          <w:b/>
          <w:lang w:val="it-IT"/>
        </w:rPr>
        <w:t>i įkainiai/kaina pateikiami eurais.</w:t>
      </w:r>
      <w:r w:rsidRPr="00525890">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525890">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525890">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525890">
        <w:rPr>
          <w:rFonts w:asciiTheme="majorHAnsi" w:hAnsiTheme="majorHAnsi" w:cs="Times New Roman"/>
          <w:lang w:val="it-IT"/>
        </w:rPr>
        <w:t>ė</w:t>
      </w:r>
      <w:r w:rsidRPr="00700B84">
        <w:rPr>
          <w:rFonts w:asciiTheme="majorHAnsi" w:hAnsiTheme="majorHAnsi" w:cs="Times New Roman"/>
          <w:lang w:val="da-DK"/>
        </w:rPr>
        <w:t>jo i</w:t>
      </w:r>
      <w:r w:rsidRPr="00525890">
        <w:rPr>
          <w:rFonts w:asciiTheme="majorHAnsi" w:hAnsiTheme="majorHAnsi" w:cs="Times New Roman"/>
          <w:lang w:val="it-IT"/>
        </w:rPr>
        <w:t>š</w:t>
      </w:r>
      <w:r w:rsidRPr="00700B84">
        <w:rPr>
          <w:rFonts w:asciiTheme="majorHAnsi" w:hAnsiTheme="majorHAnsi" w:cs="Times New Roman"/>
          <w:lang w:val="pt-PT"/>
        </w:rPr>
        <w:t>laidos, apiman</w:t>
      </w:r>
      <w:r w:rsidRPr="00525890">
        <w:rPr>
          <w:rFonts w:asciiTheme="majorHAnsi" w:hAnsiTheme="majorHAnsi" w:cs="Times New Roman"/>
          <w:lang w:val="it-IT"/>
        </w:rPr>
        <w:t>č</w:t>
      </w:r>
      <w:r w:rsidRPr="00700B84">
        <w:rPr>
          <w:rFonts w:asciiTheme="majorHAnsi" w:hAnsiTheme="majorHAnsi" w:cs="Times New Roman"/>
          <w:lang w:val="es-ES_tradnl"/>
        </w:rPr>
        <w:t>ios visk</w:t>
      </w:r>
      <w:r w:rsidRPr="00525890">
        <w:rPr>
          <w:rFonts w:asciiTheme="majorHAnsi" w:hAnsiTheme="majorHAnsi" w:cs="Times New Roman"/>
          <w:lang w:val="it-IT"/>
        </w:rPr>
        <w:t>ą, ko reikia visiškam ir tinkamam pirkimo sutarties įvykdymui.</w:t>
      </w:r>
      <w:r w:rsidR="00DD7BEF" w:rsidRPr="00525890">
        <w:rPr>
          <w:rFonts w:asciiTheme="majorHAnsi" w:hAnsiTheme="majorHAnsi" w:cs="Times New Roman"/>
          <w:lang w:val="it-IT"/>
        </w:rPr>
        <w:t xml:space="preserve"> </w:t>
      </w:r>
      <w:r w:rsidR="009F3455" w:rsidRPr="00525890">
        <w:rPr>
          <w:rFonts w:asciiTheme="majorHAnsi" w:hAnsiTheme="majorHAnsi"/>
          <w:b/>
          <w:lang w:val="it-IT"/>
        </w:rPr>
        <w:t>Kaina</w:t>
      </w:r>
      <w:r w:rsidR="0000656B">
        <w:rPr>
          <w:rFonts w:asciiTheme="majorHAnsi" w:hAnsiTheme="majorHAnsi"/>
          <w:b/>
          <w:lang w:val="it-IT"/>
        </w:rPr>
        <w:t xml:space="preserve"> (viso)</w:t>
      </w:r>
      <w:r w:rsidR="009F3455" w:rsidRPr="00525890">
        <w:rPr>
          <w:rFonts w:asciiTheme="majorHAnsi" w:hAnsiTheme="majorHAnsi"/>
          <w:b/>
          <w:lang w:val="it-IT"/>
        </w:rPr>
        <w:t xml:space="preserve"> turi būti išreikšta cento tikslumu, po kablelio nurodant ne daugiau kaip 2 ženklus.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EE2E0C">
        <w:rPr>
          <w:rFonts w:asciiTheme="majorHAnsi" w:hAnsiTheme="majorHAnsi" w:cs="Times New Roman"/>
          <w:lang w:val="it-IT"/>
        </w:rPr>
        <w:t>9</w:t>
      </w:r>
      <w:r w:rsidRPr="00525890">
        <w:rPr>
          <w:rFonts w:asciiTheme="majorHAnsi" w:hAnsiTheme="majorHAnsi" w:cs="Times New Roman"/>
          <w:lang w:val="it-IT"/>
        </w:rPr>
        <w:t xml:space="preserve">. </w:t>
      </w:r>
      <w:r w:rsidRPr="00700B84">
        <w:rPr>
          <w:rFonts w:asciiTheme="majorHAnsi" w:hAnsiTheme="majorHAnsi" w:cs="Times New Roman"/>
          <w:lang w:val="sv-SE"/>
        </w:rPr>
        <w:t>Perkan</w:t>
      </w:r>
      <w:r w:rsidRPr="00525890">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525890">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525890">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525890">
        <w:rPr>
          <w:rFonts w:asciiTheme="majorHAnsi" w:hAnsiTheme="majorHAnsi" w:cs="Times New Roman"/>
          <w:color w:val="auto"/>
          <w:lang w:val="it-IT"/>
        </w:rPr>
        <w:tab/>
      </w:r>
      <w:r w:rsidRPr="00700B84">
        <w:rPr>
          <w:rFonts w:asciiTheme="majorHAnsi" w:hAnsiTheme="majorHAnsi" w:cs="Times New Roman"/>
          <w:color w:val="auto"/>
        </w:rPr>
        <w:t>5.1</w:t>
      </w:r>
      <w:r w:rsidR="00EE2E0C">
        <w:rPr>
          <w:rFonts w:asciiTheme="majorHAnsi" w:hAnsiTheme="majorHAnsi" w:cs="Times New Roman"/>
          <w:color w:val="auto"/>
        </w:rPr>
        <w:t>0</w:t>
      </w:r>
      <w:r w:rsidRPr="00700B84">
        <w:rPr>
          <w:rFonts w:asciiTheme="majorHAnsi" w:hAnsiTheme="majorHAnsi" w:cs="Times New Roman"/>
          <w:color w:val="auto"/>
        </w:rPr>
        <w:t xml:space="preserve">.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lastRenderedPageBreak/>
        <w:t>5.1</w:t>
      </w:r>
      <w:r w:rsidR="00EE2E0C">
        <w:rPr>
          <w:rFonts w:asciiTheme="majorHAnsi" w:hAnsiTheme="majorHAnsi" w:cs="Times New Roman"/>
          <w:b/>
          <w:iCs/>
          <w:lang w:val="lt-LT"/>
        </w:rPr>
        <w:t>0</w:t>
      </w:r>
      <w:r w:rsidRPr="00700B84">
        <w:rPr>
          <w:rFonts w:asciiTheme="majorHAnsi" w:hAnsiTheme="majorHAnsi" w:cs="Times New Roman"/>
          <w:b/>
          <w:iCs/>
          <w:lang w:val="lt-LT"/>
        </w:rPr>
        <w:t>.1.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525890" w:rsidRDefault="007C7568" w:rsidP="001D30F1">
      <w:pPr>
        <w:pStyle w:val="Body2"/>
        <w:spacing w:after="0"/>
        <w:ind w:firstLine="1260"/>
        <w:rPr>
          <w:rFonts w:asciiTheme="majorHAnsi" w:hAnsiTheme="majorHAnsi" w:cs="Times New Roman"/>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.2.</w:t>
      </w:r>
      <w:r w:rsidRPr="00700B84">
        <w:rPr>
          <w:rFonts w:asciiTheme="majorHAnsi" w:hAnsiTheme="majorHAnsi" w:cs="Times New Roman"/>
          <w:lang w:val="es-ES_tradnl"/>
        </w:rPr>
        <w:t>Europos bendrasis vie</w:t>
      </w:r>
      <w:r w:rsidRPr="00525890">
        <w:rPr>
          <w:rFonts w:asciiTheme="majorHAnsi" w:hAnsiTheme="majorHAnsi" w:cs="Times New Roman"/>
          <w:lang w:val="lt-LT"/>
        </w:rPr>
        <w:t>šųjų pirkimų dokumentas (EBVPD) parengtas pagal pirkimo sąlygų priedą Nr. 4.</w:t>
      </w:r>
    </w:p>
    <w:p w:rsidR="007C7568" w:rsidRPr="00525890" w:rsidRDefault="000D1449" w:rsidP="00FF742F">
      <w:pPr>
        <w:pStyle w:val="Body2"/>
        <w:spacing w:after="0"/>
        <w:ind w:firstLine="1260"/>
        <w:rPr>
          <w:rFonts w:asciiTheme="majorHAnsi" w:hAnsiTheme="majorHAnsi"/>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 xml:space="preserve">.3. </w:t>
      </w:r>
      <w:r w:rsidR="007C7568" w:rsidRPr="00525890">
        <w:rPr>
          <w:rFonts w:asciiTheme="majorHAnsi" w:hAnsiTheme="majorHAnsi"/>
          <w:lang w:val="lt-LT"/>
        </w:rPr>
        <w:t>Jungtinės veiklos sutartis (jei taikoma);</w:t>
      </w:r>
      <w:r w:rsidRPr="00525890">
        <w:rPr>
          <w:rFonts w:asciiTheme="majorHAnsi" w:hAnsiTheme="majorHAnsi"/>
          <w:lang w:val="lt-LT"/>
        </w:rPr>
        <w:tab/>
      </w:r>
    </w:p>
    <w:p w:rsidR="007C7568"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4</w:t>
      </w:r>
      <w:r w:rsidRPr="00525890">
        <w:rPr>
          <w:rFonts w:asciiTheme="majorHAnsi" w:hAnsiTheme="majorHAnsi" w:cs="Times New Roman"/>
          <w:color w:val="auto"/>
          <w:lang w:val="lt-LT"/>
        </w:rPr>
        <w:t>. Įgaliojimas pasirašyti pasiūlymą (jei taikoma);</w:t>
      </w:r>
      <w:r w:rsidRPr="00525890">
        <w:rPr>
          <w:rFonts w:asciiTheme="majorHAnsi" w:hAnsiTheme="majorHAnsi" w:cs="Times New Roman"/>
          <w:color w:val="auto"/>
          <w:lang w:val="lt-LT"/>
        </w:rPr>
        <w:tab/>
      </w:r>
    </w:p>
    <w:p w:rsidR="00525890"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5</w:t>
      </w:r>
      <w:r w:rsidRPr="00525890">
        <w:rPr>
          <w:rFonts w:asciiTheme="majorHAnsi" w:hAnsiTheme="majorHAnsi" w:cs="Times New Roman"/>
          <w:color w:val="auto"/>
          <w:lang w:val="lt-LT"/>
        </w:rPr>
        <w:t>. Galimybę pasinaudoti kitų ūkio subjektų ištekliais patvirtinantys dokumentai (jei taikoma);</w:t>
      </w:r>
      <w:r w:rsidRPr="00525890">
        <w:rPr>
          <w:rFonts w:asciiTheme="majorHAnsi" w:hAnsiTheme="majorHAnsi" w:cs="Times New Roman"/>
          <w:color w:val="auto"/>
          <w:lang w:val="lt-LT"/>
        </w:rPr>
        <w:tab/>
      </w:r>
    </w:p>
    <w:p w:rsidR="00525890" w:rsidRPr="00525890" w:rsidRDefault="00525890" w:rsidP="00525890">
      <w:pPr>
        <w:pStyle w:val="Body2"/>
        <w:ind w:firstLine="709"/>
        <w:rPr>
          <w:rFonts w:asciiTheme="majorHAnsi" w:hAnsiTheme="majorHAnsi" w:cs="Times New Roman"/>
          <w:color w:val="auto"/>
          <w:lang w:val="lt-LT"/>
        </w:rPr>
      </w:pPr>
      <w:r w:rsidRPr="00525890">
        <w:rPr>
          <w:rFonts w:asciiTheme="majorHAnsi" w:hAnsiTheme="majorHAnsi" w:cs="Times New Roman"/>
          <w:lang w:val="lt-LT"/>
        </w:rPr>
        <w:t xml:space="preserve">            5.1</w:t>
      </w:r>
      <w:r w:rsidR="00EE2E0C">
        <w:rPr>
          <w:rFonts w:asciiTheme="majorHAnsi" w:hAnsiTheme="majorHAnsi" w:cs="Times New Roman"/>
          <w:lang w:val="lt-LT"/>
        </w:rPr>
        <w:t>0</w:t>
      </w:r>
      <w:r w:rsidRPr="00525890">
        <w:rPr>
          <w:rFonts w:asciiTheme="majorHAnsi" w:hAnsiTheme="majorHAnsi" w:cs="Times New Roman"/>
          <w:lang w:val="lt-LT"/>
        </w:rPr>
        <w:t>.6. Tiekėjo deklaracija dėl Nacionalinio saugumo reikalavimų atitikties (</w:t>
      </w:r>
      <w:r>
        <w:rPr>
          <w:rFonts w:asciiTheme="majorHAnsi" w:hAnsiTheme="majorHAnsi" w:cs="Times New Roman"/>
          <w:lang w:val="lt-LT"/>
        </w:rPr>
        <w:t xml:space="preserve">6 </w:t>
      </w:r>
      <w:r w:rsidRPr="00525890">
        <w:rPr>
          <w:rFonts w:asciiTheme="majorHAnsi" w:hAnsiTheme="majorHAnsi" w:cs="Times New Roman"/>
          <w:lang w:val="lt-LT"/>
        </w:rPr>
        <w:t>priedas).</w:t>
      </w:r>
    </w:p>
    <w:p w:rsidR="007C7568" w:rsidRPr="00525890" w:rsidRDefault="00525890" w:rsidP="007C7568">
      <w:pPr>
        <w:pStyle w:val="Body2"/>
        <w:rPr>
          <w:rFonts w:asciiTheme="majorHAnsi" w:hAnsiTheme="majorHAnsi" w:cs="Times New Roman"/>
          <w:color w:val="auto"/>
          <w:lang w:val="lt-LT"/>
        </w:rPr>
      </w:pPr>
      <w:r>
        <w:rPr>
          <w:rFonts w:asciiTheme="majorHAnsi" w:hAnsiTheme="majorHAnsi" w:cs="Times New Roman"/>
          <w:color w:val="auto"/>
          <w:lang w:val="lt-LT"/>
        </w:rPr>
        <w:t xml:space="preserve">                           </w:t>
      </w:r>
      <w:r w:rsidR="007C7568" w:rsidRPr="00525890">
        <w:rPr>
          <w:rFonts w:asciiTheme="majorHAnsi" w:hAnsiTheme="majorHAnsi" w:cs="Times New Roman"/>
          <w:color w:val="auto"/>
          <w:lang w:val="lt-LT"/>
        </w:rPr>
        <w:t>5.1</w:t>
      </w:r>
      <w:r w:rsidR="00EE2E0C">
        <w:rPr>
          <w:rFonts w:asciiTheme="majorHAnsi" w:hAnsiTheme="majorHAnsi" w:cs="Times New Roman"/>
          <w:color w:val="auto"/>
          <w:lang w:val="lt-LT"/>
        </w:rPr>
        <w:t>1</w:t>
      </w:r>
      <w:r w:rsidR="007C7568" w:rsidRPr="00525890">
        <w:rPr>
          <w:rFonts w:asciiTheme="majorHAnsi" w:hAnsiTheme="majorHAnsi" w:cs="Times New Roman"/>
          <w:color w:val="auto"/>
          <w:lang w:val="lt-LT"/>
        </w:rPr>
        <w:t>. Tiekė</w:t>
      </w:r>
      <w:r w:rsidR="007C7568" w:rsidRPr="00700B84">
        <w:rPr>
          <w:rFonts w:asciiTheme="majorHAnsi" w:hAnsiTheme="majorHAnsi" w:cs="Times New Roman"/>
          <w:color w:val="auto"/>
          <w:lang w:val="es-ES_tradnl"/>
        </w:rPr>
        <w:t>jo pasi</w:t>
      </w:r>
      <w:r w:rsidR="007C7568" w:rsidRPr="00525890">
        <w:rPr>
          <w:rFonts w:asciiTheme="majorHAnsi" w:hAnsiTheme="majorHAnsi" w:cs="Times New Roman"/>
          <w:color w:val="auto"/>
          <w:lang w:val="lt-LT"/>
        </w:rPr>
        <w:t>ūlymą sudaro CVP IS priemonė</w:t>
      </w:r>
      <w:r w:rsidR="007C7568" w:rsidRPr="00700B84">
        <w:rPr>
          <w:rFonts w:asciiTheme="majorHAnsi" w:hAnsiTheme="majorHAnsi" w:cs="Times New Roman"/>
          <w:color w:val="auto"/>
          <w:lang w:val="fr-FR"/>
        </w:rPr>
        <w:t xml:space="preserve">mis </w:t>
      </w:r>
      <w:r w:rsidR="007C7568" w:rsidRPr="00525890">
        <w:rPr>
          <w:rFonts w:asciiTheme="majorHAnsi" w:hAnsiTheme="majorHAnsi" w:cs="Times New Roman"/>
          <w:color w:val="auto"/>
          <w:lang w:val="lt-LT"/>
        </w:rPr>
        <w:t>pateiktos informacijos ir dokumentų visuma.</w:t>
      </w:r>
    </w:p>
    <w:p w:rsidR="00662C1E" w:rsidRPr="00525890" w:rsidRDefault="007C7568" w:rsidP="007C7568">
      <w:pPr>
        <w:pStyle w:val="Body2"/>
        <w:rPr>
          <w:rFonts w:asciiTheme="majorHAnsi" w:hAnsiTheme="majorHAnsi" w:cs="Times New Roman"/>
          <w:lang w:val="lt-LT"/>
        </w:rPr>
      </w:pPr>
      <w:r w:rsidRPr="00525890">
        <w:rPr>
          <w:rFonts w:asciiTheme="majorHAnsi" w:hAnsiTheme="majorHAnsi" w:cs="Times New Roman"/>
          <w:color w:val="C03A2A"/>
          <w:lang w:val="lt-LT"/>
        </w:rPr>
        <w:tab/>
      </w:r>
      <w:r w:rsidRPr="00525890">
        <w:rPr>
          <w:rFonts w:asciiTheme="majorHAnsi" w:hAnsiTheme="majorHAnsi" w:cs="Times New Roman"/>
          <w:lang w:val="lt-LT"/>
        </w:rPr>
        <w:t>5.1</w:t>
      </w:r>
      <w:r w:rsidR="00EE2E0C">
        <w:rPr>
          <w:rFonts w:asciiTheme="majorHAnsi" w:hAnsiTheme="majorHAnsi" w:cs="Times New Roman"/>
          <w:lang w:val="lt-LT"/>
        </w:rPr>
        <w:t>2</w:t>
      </w:r>
      <w:r w:rsidRPr="00525890">
        <w:rPr>
          <w:rFonts w:asciiTheme="majorHAnsi" w:hAnsiTheme="majorHAnsi" w:cs="Times New Roman"/>
          <w:lang w:val="lt-LT"/>
        </w:rPr>
        <w:t xml:space="preserve">. </w:t>
      </w:r>
      <w:r w:rsidR="00662C1E" w:rsidRPr="00525890">
        <w:rPr>
          <w:rFonts w:asciiTheme="majorHAnsi" w:hAnsiTheme="majorHAnsi" w:cs="Times New Roman"/>
          <w:lang w:val="lt-LT"/>
        </w:rPr>
        <w:t xml:space="preserve">Pasiūlymas </w:t>
      </w:r>
      <w:r w:rsidR="0035260B" w:rsidRPr="00525890">
        <w:rPr>
          <w:rFonts w:asciiTheme="majorHAnsi" w:hAnsiTheme="majorHAnsi" w:cs="Times New Roman"/>
          <w:lang w:val="lt-LT"/>
        </w:rPr>
        <w:t>turi</w:t>
      </w:r>
      <w:r w:rsidR="00662C1E" w:rsidRPr="00525890">
        <w:rPr>
          <w:rFonts w:asciiTheme="majorHAnsi" w:hAnsiTheme="majorHAnsi" w:cs="Times New Roman"/>
          <w:lang w:val="lt-LT"/>
        </w:rPr>
        <w:t xml:space="preserve"> būti pasirašytas </w:t>
      </w:r>
      <w:r w:rsidR="00700B84" w:rsidRPr="00525890">
        <w:rPr>
          <w:rFonts w:asciiTheme="majorHAnsi" w:hAnsiTheme="majorHAnsi" w:cs="Times New Roman"/>
          <w:lang w:val="lt-LT"/>
        </w:rPr>
        <w:t xml:space="preserve">tiekėjo </w:t>
      </w:r>
      <w:r w:rsidR="00662C1E" w:rsidRPr="00525890">
        <w:rPr>
          <w:rFonts w:asciiTheme="majorHAnsi" w:hAnsiTheme="majorHAnsi" w:cs="Times New Roman"/>
          <w:lang w:val="lt-LT"/>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525890">
        <w:rPr>
          <w:rFonts w:asciiTheme="majorHAnsi" w:hAnsiTheme="majorHAnsi" w:cs="Times New Roman"/>
          <w:b/>
          <w:color w:val="auto"/>
          <w:lang w:val="lt-LT"/>
        </w:rPr>
        <w:tab/>
      </w:r>
      <w:r w:rsidR="001D30F1" w:rsidRPr="00525890">
        <w:rPr>
          <w:rFonts w:asciiTheme="majorHAnsi" w:hAnsiTheme="majorHAnsi" w:cs="Times New Roman"/>
          <w:b/>
          <w:color w:val="auto"/>
          <w:highlight w:val="yellow"/>
          <w:lang w:val="lt-LT"/>
        </w:rPr>
        <w:t>5.1</w:t>
      </w:r>
      <w:r w:rsidR="00EE2E0C">
        <w:rPr>
          <w:rFonts w:asciiTheme="majorHAnsi" w:hAnsiTheme="majorHAnsi" w:cs="Times New Roman"/>
          <w:b/>
          <w:color w:val="auto"/>
          <w:highlight w:val="yellow"/>
          <w:lang w:val="lt-LT"/>
        </w:rPr>
        <w:t>3</w:t>
      </w:r>
      <w:r w:rsidR="001D30F1" w:rsidRPr="00525890">
        <w:rPr>
          <w:rFonts w:asciiTheme="majorHAnsi" w:hAnsiTheme="majorHAnsi" w:cs="Times New Roman"/>
          <w:b/>
          <w:color w:val="auto"/>
          <w:highlight w:val="yellow"/>
          <w:lang w:val="lt-LT"/>
        </w:rPr>
        <w:t xml:space="preserve">. </w:t>
      </w:r>
      <w:r w:rsidR="009F3455" w:rsidRPr="00525890">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525890">
        <w:rPr>
          <w:rFonts w:asciiTheme="majorHAnsi" w:hAnsiTheme="majorHAnsi" w:cs="Times New Roman"/>
          <w:b/>
          <w:color w:val="auto"/>
          <w:highlight w:val="yellow"/>
          <w:lang w:val="lt-LT"/>
        </w:rPr>
        <w:t xml:space="preserve"> (nebent to reikalaujama techninėje specifikacijoje)</w:t>
      </w:r>
      <w:r w:rsidR="009F3455" w:rsidRPr="00525890">
        <w:rPr>
          <w:rFonts w:asciiTheme="majorHAnsi" w:hAnsiTheme="majorHAnsi" w:cs="Times New Roman"/>
          <w:b/>
          <w:color w:val="auto"/>
          <w:highlight w:val="yellow"/>
          <w:lang w:val="lt-LT"/>
        </w:rPr>
        <w:t xml:space="preserve">, tačiau tokie vertimai turės būti pateikti viešojo pirkimo komisijai pareikalavus). </w:t>
      </w:r>
      <w:r w:rsidR="001C31FA" w:rsidRPr="00525890">
        <w:rPr>
          <w:rFonts w:asciiTheme="majorHAnsi" w:hAnsiTheme="majorHAnsi" w:cs="Times New Roman"/>
          <w:b/>
          <w:color w:val="auto"/>
          <w:highlight w:val="yellow"/>
          <w:lang w:val="lt-LT"/>
        </w:rPr>
        <w:t>O</w:t>
      </w:r>
      <w:r w:rsidR="009F3455" w:rsidRPr="00525890">
        <w:rPr>
          <w:rFonts w:asciiTheme="majorHAnsi" w:hAnsiTheme="majorHAnsi" w:cs="Times New Roman"/>
          <w:b/>
          <w:color w:val="auto"/>
          <w:highlight w:val="yellow"/>
          <w:lang w:val="lt-LT"/>
        </w:rPr>
        <w:t xml:space="preserve">riginaliame firmos gamintojos dokumente </w:t>
      </w:r>
      <w:r w:rsidR="001C31FA" w:rsidRPr="00525890">
        <w:rPr>
          <w:rFonts w:asciiTheme="majorHAnsi" w:hAnsiTheme="majorHAnsi" w:cs="Times New Roman"/>
          <w:b/>
          <w:color w:val="auto"/>
          <w:highlight w:val="yellow"/>
          <w:lang w:val="lt-LT"/>
        </w:rPr>
        <w:t xml:space="preserve">turi </w:t>
      </w:r>
      <w:r w:rsidR="009F3455" w:rsidRPr="00525890">
        <w:rPr>
          <w:rFonts w:asciiTheme="majorHAnsi" w:hAnsiTheme="majorHAnsi" w:cs="Times New Roman"/>
          <w:b/>
          <w:color w:val="auto"/>
          <w:highlight w:val="yellow"/>
          <w:lang w:val="lt-LT"/>
        </w:rPr>
        <w:t>būt</w:t>
      </w:r>
      <w:r w:rsidR="00F562E4" w:rsidRPr="00525890">
        <w:rPr>
          <w:rFonts w:asciiTheme="majorHAnsi" w:hAnsiTheme="majorHAnsi" w:cs="Times New Roman"/>
          <w:b/>
          <w:color w:val="auto"/>
          <w:highlight w:val="yellow"/>
          <w:lang w:val="lt-LT"/>
        </w:rPr>
        <w:t>i</w:t>
      </w:r>
      <w:r w:rsidR="009F3455" w:rsidRPr="00525890">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525890">
        <w:rPr>
          <w:rFonts w:asciiTheme="majorHAnsi" w:hAnsiTheme="majorHAnsi"/>
          <w:b/>
          <w:color w:val="auto"/>
          <w:highlight w:val="yellow"/>
          <w:lang w:val="lt-LT"/>
        </w:rPr>
        <w:t xml:space="preserve"> </w:t>
      </w:r>
      <w:r w:rsidR="001C31FA" w:rsidRPr="00525890">
        <w:rPr>
          <w:rFonts w:asciiTheme="majorHAnsi" w:hAnsiTheme="majorHAnsi" w:cs="Times New Roman"/>
          <w:b/>
          <w:color w:val="auto"/>
          <w:highlight w:val="yellow"/>
          <w:lang w:val="lt-LT"/>
        </w:rPr>
        <w:t>Pateikiamos skaitmeninės dokumentų kopijos. Konkurso sąlygų  priedo Nr. 3 „Techninė specifikacija ir kainų pasiūlymo lentelė“, grafoje „</w:t>
      </w:r>
      <w:r w:rsidR="00525890" w:rsidRPr="00525890">
        <w:rPr>
          <w:rFonts w:asciiTheme="majorHAnsi" w:hAnsiTheme="majorHAnsi" w:cs="Times New Roman"/>
          <w:b/>
          <w:color w:val="auto"/>
          <w:highlight w:val="yellow"/>
          <w:lang w:val="lt-LT"/>
        </w:rPr>
        <w:t>Reikalavimų atitikimas</w:t>
      </w:r>
      <w:r w:rsidR="001C31FA" w:rsidRPr="00525890">
        <w:rPr>
          <w:rFonts w:asciiTheme="majorHAnsi" w:hAnsiTheme="majorHAnsi" w:cs="Times New Roman"/>
          <w:b/>
          <w:color w:val="auto"/>
          <w:highlight w:val="yellow"/>
          <w:lang w:val="lt-LT"/>
        </w:rPr>
        <w:t xml:space="preserve">“ turi būti nurodytas </w:t>
      </w:r>
      <w:r w:rsidR="001C31FA" w:rsidRPr="00EB149B">
        <w:rPr>
          <w:rFonts w:asciiTheme="majorHAnsi" w:hAnsiTheme="majorHAnsi" w:cs="Times New Roman"/>
          <w:b/>
          <w:color w:val="auto"/>
          <w:highlight w:val="yellow"/>
          <w:lang w:val="lt-LT"/>
        </w:rPr>
        <w:t xml:space="preserve">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w:t>
      </w:r>
      <w:r w:rsidR="00EE2E0C">
        <w:rPr>
          <w:rFonts w:asciiTheme="majorHAnsi" w:eastAsia="Times New Roman" w:hAnsiTheme="majorHAnsi" w:cs="Times New Roman"/>
        </w:rPr>
        <w:t>4</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w:t>
      </w:r>
      <w:r w:rsidRPr="00700B84">
        <w:rPr>
          <w:rFonts w:asciiTheme="majorHAnsi" w:hAnsiTheme="majorHAnsi" w:cs="Times New Roman"/>
        </w:rPr>
        <w:lastRenderedPageBreak/>
        <w:t>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w:t>
      </w:r>
      <w:r w:rsidR="00EE2E0C">
        <w:rPr>
          <w:rFonts w:asciiTheme="majorHAnsi" w:hAnsiTheme="majorHAnsi" w:cs="Times New Roman"/>
        </w:rPr>
        <w:t>5</w:t>
      </w:r>
      <w:r w:rsidRPr="00700B84">
        <w:rPr>
          <w:rFonts w:asciiTheme="majorHAnsi" w:hAnsiTheme="majorHAnsi" w:cs="Times New Roman"/>
        </w:rPr>
        <w:t>.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5.1</w:t>
      </w:r>
      <w:r w:rsidR="00EE2E0C">
        <w:rPr>
          <w:rFonts w:asciiTheme="majorHAnsi" w:hAnsiTheme="majorHAnsi" w:cs="Times New Roman"/>
          <w:lang w:val="pt-PT"/>
        </w:rPr>
        <w:t>6</w:t>
      </w:r>
      <w:r w:rsidRPr="00700B84">
        <w:rPr>
          <w:rFonts w:asciiTheme="majorHAnsi" w:hAnsiTheme="majorHAnsi" w:cs="Times New Roman"/>
          <w:lang w:val="pt-PT"/>
        </w:rPr>
        <w:t xml:space="preserve">. </w:t>
      </w:r>
      <w:r w:rsidRPr="00525890">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4"/>
    <w:bookmarkEnd w:id="25"/>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7"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7"/>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525890">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525890">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525890">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525890">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525890">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525890">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8"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8"/>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9" w:name="_Toc490665146"/>
      <w:r w:rsidRPr="00700B84">
        <w:rPr>
          <w:rFonts w:asciiTheme="majorHAnsi" w:hAnsiTheme="majorHAnsi"/>
          <w:b/>
          <w:sz w:val="22"/>
        </w:rPr>
        <w:t>PAVYZDŽIŲ PATEIKIMAS</w:t>
      </w:r>
      <w:bookmarkEnd w:id="29"/>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0" w:name="_Toc490665147"/>
      <w:r w:rsidRPr="00700B84">
        <w:rPr>
          <w:rFonts w:asciiTheme="majorHAnsi" w:hAnsiTheme="majorHAnsi"/>
          <w:b/>
          <w:sz w:val="22"/>
        </w:rPr>
        <w:t>PIRKIMO SĄLYGŲ PAAIŠKINIMAS IR PATIKSLINIMAS</w:t>
      </w:r>
      <w:bookmarkEnd w:id="30"/>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lastRenderedPageBreak/>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525890">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525890">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525890">
        <w:rPr>
          <w:rFonts w:asciiTheme="majorHAnsi" w:hAnsiTheme="majorHAnsi" w:cs="Times New Roman"/>
          <w:lang w:val="lt-LT"/>
        </w:rPr>
        <w:t xml:space="preserve">. </w:t>
      </w:r>
      <w:r w:rsidR="003D09BE" w:rsidRPr="00525890">
        <w:rPr>
          <w:rFonts w:asciiTheme="majorHAnsi" w:hAnsiTheme="majorHAnsi" w:cs="Times New Roman"/>
          <w:lang w:val="lt-LT"/>
        </w:rPr>
        <w:t>P</w:t>
      </w:r>
      <w:r w:rsidR="005D1859" w:rsidRPr="00525890">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525890">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700B84">
        <w:rPr>
          <w:rFonts w:asciiTheme="majorHAnsi" w:hAnsiTheme="majorHAnsi"/>
          <w:b/>
          <w:sz w:val="22"/>
        </w:rPr>
        <w:t>SUSIPAŽINIMO SU DALYVIŲ PASIŪLYMAIS PROCEDŪROS</w:t>
      </w:r>
      <w:bookmarkEnd w:id="34"/>
      <w:bookmarkEnd w:id="35"/>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A80E1B">
        <w:rPr>
          <w:rFonts w:asciiTheme="majorHAnsi" w:hAnsiTheme="majorHAnsi"/>
          <w:b/>
          <w:iCs/>
          <w:color w:val="548DD4" w:themeColor="text2" w:themeTint="99"/>
          <w:sz w:val="22"/>
          <w:szCs w:val="22"/>
        </w:rPr>
        <w:t>6</w:t>
      </w:r>
      <w:r w:rsidR="00A267EC" w:rsidRPr="00700B84">
        <w:rPr>
          <w:rFonts w:asciiTheme="majorHAnsi" w:hAnsiTheme="majorHAnsi"/>
          <w:b/>
          <w:iCs/>
          <w:color w:val="548DD4" w:themeColor="text2" w:themeTint="99"/>
          <w:sz w:val="22"/>
          <w:szCs w:val="22"/>
        </w:rPr>
        <w:t xml:space="preserve"> m. </w:t>
      </w:r>
      <w:r w:rsidR="00A80E1B">
        <w:rPr>
          <w:rFonts w:asciiTheme="majorHAnsi" w:hAnsiTheme="majorHAnsi"/>
          <w:b/>
          <w:iCs/>
          <w:color w:val="548DD4" w:themeColor="text2" w:themeTint="99"/>
          <w:sz w:val="22"/>
          <w:szCs w:val="22"/>
        </w:rPr>
        <w:t>vasario</w:t>
      </w:r>
      <w:r w:rsidR="006C6C9B" w:rsidRPr="00700B84">
        <w:rPr>
          <w:rFonts w:asciiTheme="majorHAnsi" w:hAnsiTheme="majorHAnsi"/>
          <w:b/>
          <w:iCs/>
          <w:color w:val="548DD4" w:themeColor="text2" w:themeTint="99"/>
          <w:sz w:val="22"/>
          <w:szCs w:val="22"/>
        </w:rPr>
        <w:t xml:space="preserve"> </w:t>
      </w:r>
      <w:r w:rsidR="004A4C02">
        <w:rPr>
          <w:rFonts w:asciiTheme="majorHAnsi" w:hAnsiTheme="majorHAnsi"/>
          <w:b/>
          <w:iCs/>
          <w:color w:val="548DD4" w:themeColor="text2" w:themeTint="99"/>
          <w:sz w:val="22"/>
          <w:szCs w:val="22"/>
        </w:rPr>
        <w:t>13</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A80E1B">
        <w:rPr>
          <w:rFonts w:asciiTheme="majorHAnsi" w:hAnsiTheme="majorHAnsi"/>
          <w:b/>
          <w:iCs/>
          <w:color w:val="548DD4" w:themeColor="text2" w:themeTint="99"/>
          <w:sz w:val="22"/>
          <w:szCs w:val="22"/>
          <w:u w:val="single"/>
        </w:rPr>
        <w:t>6</w:t>
      </w:r>
      <w:r w:rsidR="00D56028" w:rsidRPr="00700B84">
        <w:rPr>
          <w:rFonts w:asciiTheme="majorHAnsi" w:hAnsiTheme="majorHAnsi"/>
          <w:b/>
          <w:iCs/>
          <w:color w:val="548DD4" w:themeColor="text2" w:themeTint="99"/>
          <w:sz w:val="22"/>
          <w:szCs w:val="22"/>
          <w:u w:val="single"/>
        </w:rPr>
        <w:t xml:space="preserve"> m. </w:t>
      </w:r>
      <w:r w:rsidR="00A80E1B">
        <w:rPr>
          <w:rFonts w:asciiTheme="majorHAnsi" w:hAnsiTheme="majorHAnsi"/>
          <w:b/>
          <w:iCs/>
          <w:color w:val="548DD4" w:themeColor="text2" w:themeTint="99"/>
          <w:sz w:val="22"/>
          <w:szCs w:val="22"/>
          <w:u w:val="single"/>
        </w:rPr>
        <w:t>vasario</w:t>
      </w:r>
      <w:r w:rsidR="00EA73EC">
        <w:rPr>
          <w:rFonts w:asciiTheme="majorHAnsi" w:hAnsiTheme="majorHAnsi"/>
          <w:b/>
          <w:iCs/>
          <w:color w:val="548DD4" w:themeColor="text2" w:themeTint="99"/>
          <w:sz w:val="22"/>
          <w:szCs w:val="22"/>
          <w:u w:val="single"/>
        </w:rPr>
        <w:t xml:space="preserve"> </w:t>
      </w:r>
      <w:r w:rsidR="004A4C02">
        <w:rPr>
          <w:rFonts w:asciiTheme="majorHAnsi" w:hAnsiTheme="majorHAnsi"/>
          <w:b/>
          <w:iCs/>
          <w:color w:val="548DD4" w:themeColor="text2" w:themeTint="99"/>
          <w:sz w:val="22"/>
          <w:szCs w:val="22"/>
          <w:u w:val="single"/>
        </w:rPr>
        <w:t>13</w:t>
      </w:r>
      <w:r w:rsidR="00525890">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6"/>
      <w:bookmarkEnd w:id="37"/>
      <w:bookmarkEnd w:id="38"/>
    </w:p>
    <w:p w:rsidR="00662C1E" w:rsidRPr="00525890"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25890">
        <w:rPr>
          <w:rFonts w:asciiTheme="majorHAnsi" w:hAnsiTheme="majorHAnsi" w:cs="Times New Roman"/>
          <w:lang w:val="lt-LT"/>
        </w:rPr>
        <w:tab/>
      </w:r>
      <w:r w:rsidR="00662C1E" w:rsidRPr="00525890">
        <w:rPr>
          <w:rFonts w:asciiTheme="majorHAnsi" w:hAnsiTheme="majorHAnsi" w:cs="Times New Roman"/>
          <w:lang w:val="lt-LT"/>
        </w:rPr>
        <w:t>11.1. Pateiktus pasiūlymus nagrinėja, vertina ir palygina Komisija šia tvarka: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11.1.1. nagrinėja ar pasiūlymas atitinka pirkimo dokumentuose nustatytus reikalavimus, nesusijusius su pirkimo objektu;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25890" w:rsidRDefault="00662C1E" w:rsidP="00825338">
      <w:pPr>
        <w:pStyle w:val="Body2"/>
        <w:spacing w:after="0"/>
        <w:ind w:firstLine="851"/>
        <w:rPr>
          <w:rFonts w:asciiTheme="majorHAnsi" w:hAnsiTheme="majorHAnsi" w:cs="Times New Roman"/>
          <w:color w:val="auto"/>
          <w:lang w:val="lt-LT"/>
        </w:rPr>
      </w:pPr>
      <w:r w:rsidRPr="00525890">
        <w:rPr>
          <w:rFonts w:asciiTheme="majorHAnsi" w:hAnsiTheme="majorHAnsi" w:cs="Times New Roman"/>
          <w:lang w:val="lt-LT"/>
        </w:rPr>
        <w:tab/>
        <w:t xml:space="preserve">11.1.3. </w:t>
      </w:r>
      <w:r w:rsidR="00825338" w:rsidRPr="00525890">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525890">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11.1.6. </w:t>
      </w:r>
      <w:r w:rsidR="00F562E4" w:rsidRPr="00525890">
        <w:rPr>
          <w:rFonts w:asciiTheme="majorHAnsi" w:hAnsiTheme="majorHAnsi"/>
          <w:bdr w:val="none" w:sz="0" w:space="0" w:color="auto" w:frame="1"/>
          <w:lang w:val="lt-LT"/>
        </w:rPr>
        <w:t xml:space="preserve">galimo </w:t>
      </w:r>
      <w:r w:rsidR="0000656B" w:rsidRPr="00DC1CC2">
        <w:rPr>
          <w:rFonts w:asciiTheme="majorHAnsi" w:hAnsiTheme="majorHAnsi"/>
          <w:bdr w:val="none" w:sz="0" w:space="0" w:color="auto" w:frame="1"/>
          <w:lang w:val="lt-LT"/>
        </w:rPr>
        <w:t>laimė</w:t>
      </w:r>
      <w:r w:rsidR="0000656B">
        <w:rPr>
          <w:rFonts w:asciiTheme="majorHAnsi" w:hAnsiTheme="majorHAnsi"/>
          <w:bdr w:val="none" w:sz="0" w:space="0" w:color="auto" w:frame="1"/>
          <w:lang w:val="es-ES_tradnl"/>
        </w:rPr>
        <w:t xml:space="preserve">tojo </w:t>
      </w:r>
      <w:r w:rsidR="0000656B" w:rsidRPr="00DC1CC2">
        <w:rPr>
          <w:rFonts w:asciiTheme="majorHAnsi" w:hAnsiTheme="majorHAnsi"/>
          <w:bdr w:val="none" w:sz="0" w:space="0" w:color="auto" w:frame="1"/>
          <w:lang w:val="lt-LT"/>
        </w:rPr>
        <w:t>prašo pateikti pirkimo sąlygų 3.8 punkte nurodytus dokumentus (jeigu taikytina (</w:t>
      </w:r>
      <w:r w:rsidR="0000656B">
        <w:rPr>
          <w:rFonts w:asciiTheme="majorHAnsi" w:hAnsiTheme="majorHAnsi"/>
          <w:bdr w:val="none" w:sz="0" w:space="0" w:color="auto" w:frame="1"/>
          <w:lang w:val="es-ES_tradnl"/>
        </w:rPr>
        <w:t>vadovaujantis VPĮ 25 str. 1 d.</w:t>
      </w:r>
      <w:r w:rsidR="0000656B" w:rsidRPr="00DC1CC2">
        <w:rPr>
          <w:rFonts w:asciiTheme="majorHAnsi" w:hAnsiTheme="majorHAnsi"/>
          <w:bdr w:val="none" w:sz="0" w:space="0" w:color="auto" w:frame="1"/>
          <w:lang w:val="lt-LT"/>
        </w:rPr>
        <w:t>))</w:t>
      </w:r>
      <w:r w:rsidR="0000656B">
        <w:rPr>
          <w:rFonts w:asciiTheme="majorHAnsi" w:hAnsiTheme="majorHAnsi"/>
          <w:bdr w:val="none" w:sz="0" w:space="0" w:color="auto" w:frame="1"/>
          <w:lang w:val="lt-LT"/>
        </w:rPr>
        <w:t xml:space="preserve">, pirkimo sąlygų 3.9. ir </w:t>
      </w:r>
      <w:r w:rsidR="0000656B" w:rsidRPr="00DC1CC2">
        <w:rPr>
          <w:rFonts w:asciiTheme="majorHAnsi" w:hAnsiTheme="majorHAnsi"/>
          <w:bdr w:val="none" w:sz="0" w:space="0" w:color="auto" w:frame="1"/>
          <w:lang w:val="lt-LT"/>
        </w:rPr>
        <w:t>3.</w:t>
      </w:r>
      <w:r w:rsidR="0000656B">
        <w:rPr>
          <w:rFonts w:asciiTheme="majorHAnsi" w:hAnsiTheme="majorHAnsi"/>
          <w:bdr w:val="none" w:sz="0" w:space="0" w:color="auto" w:frame="1"/>
          <w:lang w:val="lt-LT"/>
        </w:rPr>
        <w:t>14</w:t>
      </w:r>
      <w:r w:rsidR="0000656B" w:rsidRPr="00DC1CC2">
        <w:rPr>
          <w:rFonts w:asciiTheme="majorHAnsi" w:hAnsiTheme="majorHAnsi"/>
          <w:bdr w:val="none" w:sz="0" w:space="0" w:color="auto" w:frame="1"/>
          <w:lang w:val="lt-LT"/>
        </w:rPr>
        <w:t xml:space="preserve"> punkte nurodytus dokumentus, patikrina, ar nėra pirkimo sąlygų 3.8 punkte nustatytų paš</w:t>
      </w:r>
      <w:r w:rsidR="0000656B">
        <w:rPr>
          <w:rFonts w:asciiTheme="majorHAnsi" w:hAnsiTheme="majorHAnsi"/>
          <w:bdr w:val="none" w:sz="0" w:space="0" w:color="auto" w:frame="1"/>
          <w:lang w:val="pt-PT"/>
        </w:rPr>
        <w:t>alinimo pagrind</w:t>
      </w:r>
      <w:r w:rsidR="0000656B" w:rsidRPr="00DC1CC2">
        <w:rPr>
          <w:rFonts w:asciiTheme="majorHAnsi" w:hAnsiTheme="majorHAnsi"/>
          <w:bdr w:val="none" w:sz="0" w:space="0" w:color="auto" w:frame="1"/>
          <w:lang w:val="lt-LT"/>
        </w:rPr>
        <w:t>ų, ar galimas laimėtojas atitinka</w:t>
      </w:r>
      <w:r w:rsidR="0000656B">
        <w:rPr>
          <w:rFonts w:asciiTheme="majorHAnsi" w:hAnsiTheme="majorHAnsi"/>
          <w:bdr w:val="none" w:sz="0" w:space="0" w:color="auto" w:frame="1"/>
          <w:lang w:val="lt-LT"/>
        </w:rPr>
        <w:t xml:space="preserve"> nacionalinio saugumo reikalavimus, </w:t>
      </w:r>
      <w:r w:rsidR="0000656B" w:rsidRPr="00DC1CC2">
        <w:rPr>
          <w:rFonts w:asciiTheme="majorHAnsi" w:hAnsiTheme="majorHAnsi"/>
          <w:bdr w:val="none" w:sz="0" w:space="0" w:color="auto" w:frame="1"/>
          <w:lang w:val="lt-LT"/>
        </w:rPr>
        <w:t>ar galimas laimėtojas atitinka</w:t>
      </w:r>
      <w:r w:rsidR="0000656B">
        <w:rPr>
          <w:rFonts w:asciiTheme="majorHAnsi" w:hAnsiTheme="majorHAnsi"/>
          <w:bdr w:val="none" w:sz="0" w:space="0" w:color="auto" w:frame="1"/>
          <w:lang w:val="lt-LT"/>
        </w:rPr>
        <w:t xml:space="preserve"> </w:t>
      </w:r>
      <w:r w:rsidR="0000656B" w:rsidRPr="00DC1CC2">
        <w:rPr>
          <w:rFonts w:asciiTheme="majorHAnsi" w:hAnsiTheme="majorHAnsi"/>
          <w:bdr w:val="none" w:sz="0" w:space="0" w:color="auto" w:frame="1"/>
          <w:lang w:val="lt-LT"/>
        </w:rPr>
        <w:t xml:space="preserve">nurodytus </w:t>
      </w:r>
      <w:r w:rsidR="0000656B" w:rsidRPr="00DC1CC2">
        <w:rPr>
          <w:rFonts w:asciiTheme="majorHAnsi" w:hAnsiTheme="majorHAnsi"/>
          <w:bdr w:val="none" w:sz="0" w:space="0" w:color="auto" w:frame="1"/>
          <w:lang w:val="lt-LT"/>
        </w:rPr>
        <w:lastRenderedPageBreak/>
        <w:t>kvalifikacijos reikalavimus (jeigu taikytina) ir, reikalaujamus kokybė</w:t>
      </w:r>
      <w:r w:rsidR="0000656B">
        <w:rPr>
          <w:rFonts w:asciiTheme="majorHAnsi" w:hAnsiTheme="majorHAnsi"/>
          <w:bdr w:val="none" w:sz="0" w:space="0" w:color="auto" w:frame="1"/>
          <w:lang w:val="es-ES_tradnl"/>
        </w:rPr>
        <w:t>s vadybos sistemos ir (arba) aplinkos apsaugos vadybos sistemos standartus (jeigu taikytina);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25890">
        <w:rPr>
          <w:rFonts w:asciiTheme="majorHAnsi" w:hAnsiTheme="majorHAnsi" w:cs="Times New Roman"/>
          <w:lang w:val="lt-LT"/>
        </w:rPr>
        <w:t>gali</w:t>
      </w:r>
      <w:r w:rsidRPr="00525890">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25890">
        <w:rPr>
          <w:rFonts w:asciiTheme="majorHAnsi" w:hAnsiTheme="majorHAnsi" w:cs="Times New Roman"/>
          <w:lang w:val="lt-LT"/>
        </w:rPr>
        <w:t>Pasiūlymai tikslinami, papildomi arba paaiškinami vadovaujantis Viešųjų pirkimų tarnybos nustatytomis taisyklėmis.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5</w:t>
      </w:r>
      <w:r w:rsidRPr="0052589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6</w:t>
      </w:r>
      <w:r w:rsidRPr="00525890">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25890">
        <w:rPr>
          <w:rFonts w:asciiTheme="majorHAnsi" w:hAnsiTheme="majorHAnsi" w:cs="Times New Roman"/>
          <w:lang w:val="lt-LT"/>
        </w:rPr>
        <w:t>.</w:t>
      </w:r>
    </w:p>
    <w:p w:rsidR="007C7568" w:rsidRPr="00525890"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525890" w:rsidRDefault="007C7568" w:rsidP="00E731C9">
      <w:pPr>
        <w:pStyle w:val="Body2"/>
        <w:rPr>
          <w:rFonts w:asciiTheme="majorHAnsi" w:hAnsiTheme="majorHAnsi" w:cs="Times New Roman"/>
          <w:lang w:val="lt-LT"/>
        </w:rPr>
      </w:pPr>
      <w:r w:rsidRPr="00525890">
        <w:rPr>
          <w:rFonts w:asciiTheme="majorHAnsi" w:hAnsiTheme="majorHAnsi" w:cs="Times New Roman"/>
          <w:lang w:val="lt-LT"/>
        </w:rPr>
        <w:tab/>
      </w:r>
      <w:r w:rsidR="00E731C9" w:rsidRPr="00525890">
        <w:rPr>
          <w:rFonts w:asciiTheme="majorHAnsi" w:hAnsiTheme="majorHAnsi" w:cs="Times New Roman"/>
          <w:lang w:val="lt-LT"/>
        </w:rPr>
        <w:t>13.1. Pirkimo komisija atmeta pasiūlymą, jeigu:</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13.1.1. tiekėjas pasiūlymą ar jo dalį pateikė ne CVP IS priemonėmis;</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13.1.2. pasiūlymą pateikęs tiekėjas turi būti pašalinamas iš pirkimo procedūros pagal pirkimo sąlygų 3.</w:t>
      </w:r>
      <w:r w:rsidR="009D18C6" w:rsidRPr="00525890">
        <w:rPr>
          <w:rFonts w:asciiTheme="majorHAnsi" w:hAnsiTheme="majorHAnsi" w:cs="Times New Roman"/>
          <w:lang w:val="lt-LT"/>
        </w:rPr>
        <w:t>8</w:t>
      </w:r>
      <w:r w:rsidRPr="0052589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 xml:space="preserve">13.1.3. </w:t>
      </w:r>
      <w:r w:rsidR="00F562E4" w:rsidRPr="00525890">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525890">
        <w:rPr>
          <w:rFonts w:asciiTheme="majorHAnsi" w:hAnsiTheme="majorHAnsi"/>
          <w:bdr w:val="none" w:sz="0" w:space="0" w:color="auto" w:frame="1"/>
          <w:lang w:val="lt-LT"/>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sidRPr="00525890">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525890">
        <w:rPr>
          <w:rFonts w:asciiTheme="majorHAnsi" w:hAnsiTheme="majorHAnsi" w:cs="Times New Roman"/>
          <w:lang w:val="lt-LT"/>
        </w:rPr>
        <w:t>;</w:t>
      </w:r>
    </w:p>
    <w:p w:rsidR="00525890" w:rsidRPr="00525890" w:rsidRDefault="00525890" w:rsidP="00525890">
      <w:pPr>
        <w:pStyle w:val="Body2"/>
        <w:ind w:firstLine="1276"/>
        <w:rPr>
          <w:rFonts w:asciiTheme="majorHAnsi" w:hAnsiTheme="majorHAnsi" w:cs="Times New Roman"/>
          <w:lang w:val="lt-LT"/>
        </w:rPr>
      </w:pPr>
      <w:r>
        <w:rPr>
          <w:rFonts w:asciiTheme="majorHAnsi" w:hAnsiTheme="majorHAnsi" w:cs="Times New Roman"/>
          <w:lang w:val="lt-LT"/>
        </w:rPr>
        <w:t xml:space="preserve">13.1.4. </w:t>
      </w:r>
      <w:r w:rsidRPr="00525890">
        <w:rPr>
          <w:rFonts w:asciiTheme="majorHAnsi" w:hAnsiTheme="majorHAnsi" w:cs="Times New Roman"/>
          <w:lang w:val="lt-LT"/>
        </w:rPr>
        <w:t>tiekėjas turi būti pašalintas iš pirkimo procedūros pagal pirkimo sąlygų 3.1</w:t>
      </w:r>
      <w:r>
        <w:rPr>
          <w:rFonts w:asciiTheme="majorHAnsi" w:hAnsiTheme="majorHAnsi" w:cs="Times New Roman"/>
          <w:lang w:val="lt-LT"/>
        </w:rPr>
        <w:t>4</w:t>
      </w:r>
      <w:r w:rsidRPr="00525890">
        <w:rPr>
          <w:rFonts w:asciiTheme="majorHAnsi" w:hAnsiTheme="majorHAnsi" w:cs="Times New Roman"/>
          <w:lang w:val="lt-LT"/>
        </w:rPr>
        <w:t>. punkto nuostatas arba perkančiosios organizacijos prašymu nepateikė ar nepatikslino pateiktos netikslios ar neišsamios informacijos dėl Nacionalinio saugumo reikalavimų atitikties nustatytų sąlygų nebuvimo;</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525890">
        <w:rPr>
          <w:rFonts w:asciiTheme="majorHAnsi" w:hAnsiTheme="majorHAnsi" w:cs="Times New Roman"/>
          <w:lang w:val="lt-LT"/>
        </w:rPr>
        <w:t>5</w:t>
      </w:r>
      <w:r w:rsidRPr="00525890">
        <w:rPr>
          <w:rFonts w:asciiTheme="majorHAnsi" w:hAnsiTheme="majorHAnsi" w:cs="Times New Roman"/>
          <w:lang w:val="lt-LT"/>
        </w:rPr>
        <w:t>. pasiūlymas neatitinka pirkimo dokumentuose nustatytų reikalavimų;</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525890" w:rsidRPr="00525890">
        <w:rPr>
          <w:rFonts w:asciiTheme="majorHAnsi" w:hAnsiTheme="majorHAnsi" w:cs="Times New Roman"/>
          <w:lang w:val="lt-LT"/>
        </w:rPr>
        <w:t>6</w:t>
      </w:r>
      <w:r w:rsidRPr="00525890">
        <w:rPr>
          <w:rFonts w:asciiTheme="majorHAnsi" w:hAnsiTheme="majorHAnsi" w:cs="Times New Roman"/>
          <w:lang w:val="lt-LT"/>
        </w:rPr>
        <w:t>. pasiūlyta per didelė, perkančiajai  organizacijai nepriimtina kaina;</w:t>
      </w:r>
    </w:p>
    <w:p w:rsidR="00E731C9" w:rsidRPr="003B46B6" w:rsidRDefault="00B6390A"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525890" w:rsidRPr="00525890">
        <w:rPr>
          <w:rFonts w:asciiTheme="majorHAnsi" w:hAnsiTheme="majorHAnsi" w:cs="Times New Roman"/>
          <w:lang w:val="lt-LT"/>
        </w:rPr>
        <w:t>7</w:t>
      </w:r>
      <w:r w:rsidR="00E731C9" w:rsidRPr="00525890">
        <w:rPr>
          <w:rFonts w:asciiTheme="majorHAnsi" w:hAnsiTheme="majorHAnsi" w:cs="Times New Roman"/>
          <w:lang w:val="lt-LT"/>
        </w:rPr>
        <w:t xml:space="preserve">. dalyvis per perkančiosios organizacijos nurodytą terminą neištaiso aritmetinių klaidų ir (ar) nepaaiškina pasiūlymo. </w:t>
      </w:r>
      <w:r w:rsidR="00E731C9" w:rsidRPr="003B46B6">
        <w:rPr>
          <w:rFonts w:asciiTheme="majorHAnsi" w:hAnsiTheme="majorHAnsi" w:cs="Times New Roman"/>
          <w:lang w:val="lt-LT"/>
        </w:rPr>
        <w:t>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525890" w:rsidRPr="003B46B6">
        <w:rPr>
          <w:rFonts w:asciiTheme="majorHAnsi" w:hAnsiTheme="majorHAnsi" w:cs="Times New Roman"/>
          <w:lang w:val="lt-LT"/>
        </w:rPr>
        <w:t>8</w:t>
      </w:r>
      <w:r w:rsidRPr="003B46B6">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525890" w:rsidRPr="003B46B6">
        <w:rPr>
          <w:rFonts w:asciiTheme="majorHAnsi" w:hAnsiTheme="majorHAnsi" w:cs="Times New Roman"/>
          <w:lang w:val="lt-LT"/>
        </w:rPr>
        <w:t>9</w:t>
      </w:r>
      <w:r w:rsidRPr="003B46B6">
        <w:rPr>
          <w:rFonts w:asciiTheme="majorHAnsi" w:hAnsiTheme="majorHAnsi" w:cs="Times New Roman"/>
          <w:lang w:val="lt-LT"/>
        </w:rPr>
        <w:t>. per Komisijos nustatytą terminą, tiekėjas nepateikė prašomų prekių pavyzdžių (jei taikoma);</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lastRenderedPageBreak/>
        <w:tab/>
        <w:t>13.1.</w:t>
      </w:r>
      <w:r w:rsidR="00525890" w:rsidRPr="003B46B6">
        <w:rPr>
          <w:rFonts w:asciiTheme="majorHAnsi" w:hAnsiTheme="majorHAnsi" w:cs="Times New Roman"/>
          <w:lang w:val="lt-LT"/>
        </w:rPr>
        <w:t>10</w:t>
      </w:r>
      <w:r w:rsidRPr="003B46B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525890" w:rsidRPr="003B46B6">
        <w:rPr>
          <w:rFonts w:asciiTheme="majorHAnsi" w:hAnsiTheme="majorHAnsi" w:cs="Times New Roman"/>
          <w:lang w:val="lt-LT"/>
        </w:rPr>
        <w:t>1</w:t>
      </w:r>
      <w:r w:rsidRPr="003B46B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525890" w:rsidRPr="003B46B6">
        <w:rPr>
          <w:rFonts w:asciiTheme="majorHAnsi" w:hAnsiTheme="majorHAnsi" w:cs="Times New Roman"/>
          <w:lang w:val="lt-LT"/>
        </w:rPr>
        <w:t>2</w:t>
      </w:r>
      <w:r w:rsidRPr="003B46B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13.2. Apie pasiūlymo atmetimą ir tokio atmetimo priežastis tiekėjas informuojamas raštu CVP IS priemonėmis.</w:t>
      </w:r>
    </w:p>
    <w:p w:rsidR="007C7568"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B46B6" w:rsidRDefault="005521B6" w:rsidP="007C7568">
      <w:pPr>
        <w:keepNext/>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4A4C02" w:rsidRPr="004A4C02" w:rsidRDefault="007C7568" w:rsidP="00F5373C">
      <w:pPr>
        <w:pStyle w:val="Body2"/>
        <w:ind w:firstLine="1276"/>
        <w:rPr>
          <w:rFonts w:asciiTheme="majorHAnsi" w:hAnsiTheme="majorHAnsi" w:cs="Times New Roman"/>
          <w:color w:val="auto"/>
          <w:lang w:val="lt-LT"/>
        </w:rPr>
      </w:pPr>
      <w:r w:rsidRPr="004A4C02">
        <w:rPr>
          <w:rFonts w:asciiTheme="majorHAnsi" w:hAnsiTheme="majorHAnsi" w:cs="Times New Roman"/>
        </w:rPr>
        <w:tab/>
      </w:r>
      <w:r w:rsidR="00F5373C" w:rsidRPr="004A4C02">
        <w:rPr>
          <w:rFonts w:asciiTheme="majorHAnsi" w:hAnsiTheme="majorHAnsi" w:cs="Times New Roman"/>
          <w:lang w:val="lt-LT"/>
        </w:rPr>
        <w:t xml:space="preserve">14.1. Perkančioji organizacija </w:t>
      </w:r>
      <w:r w:rsidR="004A4C02" w:rsidRPr="004A4C02">
        <w:rPr>
          <w:rFonts w:asciiTheme="majorHAnsi" w:hAnsiTheme="majorHAnsi" w:cs="Times New Roman"/>
          <w:color w:val="auto"/>
          <w:lang w:val="lt-LT"/>
        </w:rPr>
        <w:t>ekonomiškai naudingiausią pasiūlymą išrenka pagal kainos ir kokybės santykį. Ekonomiškai naudingiausias pasiūlymas – tai pasiūlymas, kurio balų suma, apskaičiuota pagal toliau nustatytus pasiūlymų vertinimo kriterijus ir sąlygas, yra didžiausia.</w:t>
      </w:r>
    </w:p>
    <w:p w:rsidR="00F5373C" w:rsidRPr="004A4C02" w:rsidRDefault="00F5373C" w:rsidP="00F5373C">
      <w:pPr>
        <w:pStyle w:val="Body2"/>
        <w:ind w:firstLine="1276"/>
        <w:rPr>
          <w:rFonts w:asciiTheme="majorHAnsi" w:hAnsiTheme="majorHAnsi" w:cs="Times New Roman"/>
          <w:lang w:val="lt-LT"/>
        </w:rPr>
      </w:pPr>
      <w:r w:rsidRPr="004A4C02">
        <w:rPr>
          <w:rFonts w:asciiTheme="majorHAnsi" w:hAnsiTheme="majorHAnsi" w:cs="Times New Roman"/>
          <w:lang w:val="lt-LT"/>
        </w:rPr>
        <w:t xml:space="preserve">14.2. </w:t>
      </w:r>
      <w:r w:rsidR="004A4C02" w:rsidRPr="004A4C02">
        <w:rPr>
          <w:rFonts w:asciiTheme="majorHAnsi" w:hAnsiTheme="majorHAnsi" w:cs="Times New Roman"/>
          <w:lang w:val="lt-LT"/>
        </w:rPr>
        <w:t>Didžiausia priimtina pasiūlymo kaina – 21 000,00 Eur (su PVM), šią kainą viršijantys pasiūlymai bus atmesti.</w:t>
      </w:r>
    </w:p>
    <w:p w:rsidR="004A4C02" w:rsidRPr="004A4C02" w:rsidRDefault="004A4C02" w:rsidP="00F5373C">
      <w:pPr>
        <w:pStyle w:val="Body2"/>
        <w:ind w:firstLine="1276"/>
        <w:rPr>
          <w:rFonts w:asciiTheme="majorHAnsi" w:hAnsiTheme="majorHAnsi" w:cs="Times New Roman"/>
          <w:lang w:val="lt-LT"/>
        </w:rPr>
      </w:pPr>
    </w:p>
    <w:p w:rsidR="004A4C02" w:rsidRPr="004A4C02" w:rsidRDefault="004A4C02" w:rsidP="004A4C02">
      <w:pPr>
        <w:pStyle w:val="ListParagraph"/>
        <w:ind w:left="0" w:firstLine="284"/>
        <w:jc w:val="both"/>
        <w:rPr>
          <w:rFonts w:asciiTheme="majorHAnsi" w:hAnsiTheme="majorHAnsi"/>
          <w:color w:val="000000" w:themeColor="text1"/>
        </w:rPr>
      </w:pPr>
      <w:r w:rsidRPr="004A4C02">
        <w:rPr>
          <w:rFonts w:asciiTheme="majorHAnsi" w:hAnsiTheme="majorHAnsi"/>
          <w:color w:val="000000" w:themeColor="text1"/>
        </w:rPr>
        <w:t>Numatytų vertinimo kriterijų lyginamieji svoriai:</w:t>
      </w:r>
    </w:p>
    <w:p w:rsidR="004A4C02" w:rsidRPr="004A4C02" w:rsidRDefault="004A4C02" w:rsidP="004A4C02">
      <w:pPr>
        <w:shd w:val="clear" w:color="auto" w:fill="FFFFFF"/>
        <w:spacing w:line="256" w:lineRule="auto"/>
        <w:ind w:firstLine="284"/>
        <w:jc w:val="both"/>
        <w:rPr>
          <w:rFonts w:asciiTheme="majorHAnsi" w:eastAsia="Times New Roman" w:hAnsiTheme="majorHAnsi"/>
          <w:color w:val="000000" w:themeColor="text1"/>
          <w:sz w:val="22"/>
          <w:szCs w:val="22"/>
          <w:lang w:val="it-IT"/>
        </w:rPr>
      </w:pPr>
      <w:r w:rsidRPr="004A4C02">
        <w:rPr>
          <w:rFonts w:asciiTheme="majorHAnsi" w:eastAsia="Times New Roman" w:hAnsiTheme="majorHAnsi"/>
          <w:color w:val="000000"/>
          <w:sz w:val="22"/>
          <w:szCs w:val="22"/>
          <w:lang w:val="it-IT"/>
        </w:rPr>
        <w:t xml:space="preserve">1) kaina (K) – </w:t>
      </w:r>
      <w:r w:rsidRPr="004A4C02">
        <w:rPr>
          <w:rFonts w:asciiTheme="majorHAnsi" w:eastAsia="Times New Roman" w:hAnsiTheme="majorHAnsi"/>
          <w:color w:val="000000" w:themeColor="text1"/>
          <w:sz w:val="22"/>
          <w:szCs w:val="22"/>
          <w:lang w:val="it-IT"/>
        </w:rPr>
        <w:t>70;</w:t>
      </w:r>
    </w:p>
    <w:p w:rsidR="004A4C02" w:rsidRPr="004A4C02" w:rsidRDefault="004A4C02" w:rsidP="004A4C02">
      <w:pPr>
        <w:shd w:val="clear" w:color="auto" w:fill="FFFFFF"/>
        <w:spacing w:line="256" w:lineRule="auto"/>
        <w:ind w:firstLine="284"/>
        <w:jc w:val="both"/>
        <w:rPr>
          <w:rFonts w:asciiTheme="majorHAnsi" w:eastAsia="Times New Roman" w:hAnsiTheme="majorHAnsi"/>
          <w:color w:val="000000" w:themeColor="text1"/>
          <w:sz w:val="22"/>
          <w:szCs w:val="22"/>
          <w:lang w:val="it-IT"/>
        </w:rPr>
      </w:pPr>
      <w:r w:rsidRPr="004A4C02">
        <w:rPr>
          <w:rFonts w:asciiTheme="majorHAnsi" w:eastAsia="Times New Roman" w:hAnsiTheme="majorHAnsi"/>
          <w:color w:val="000000" w:themeColor="text1"/>
          <w:sz w:val="22"/>
          <w:szCs w:val="22"/>
          <w:lang w:val="it-IT"/>
        </w:rPr>
        <w:t>2) techniniai pranašumai (T) – 30.</w:t>
      </w:r>
    </w:p>
    <w:p w:rsidR="004A4C02" w:rsidRPr="004A4C02" w:rsidRDefault="004A4C02" w:rsidP="004A4C02">
      <w:pPr>
        <w:shd w:val="clear" w:color="auto" w:fill="FFFFFF"/>
        <w:spacing w:line="256" w:lineRule="auto"/>
        <w:ind w:left="-142" w:firstLine="284"/>
        <w:jc w:val="both"/>
        <w:rPr>
          <w:rFonts w:asciiTheme="majorHAnsi" w:eastAsia="Times New Roman" w:hAnsiTheme="majorHAnsi"/>
          <w:color w:val="000000"/>
          <w:sz w:val="22"/>
          <w:szCs w:val="22"/>
          <w:lang w:val="it-IT"/>
        </w:rPr>
      </w:pPr>
    </w:p>
    <w:p w:rsidR="004A4C02" w:rsidRPr="004A4C02" w:rsidRDefault="004A4C02" w:rsidP="004A4C02">
      <w:pPr>
        <w:shd w:val="clear" w:color="auto" w:fill="FFFFFF"/>
        <w:spacing w:line="256" w:lineRule="auto"/>
        <w:ind w:left="-142" w:firstLine="284"/>
        <w:jc w:val="both"/>
        <w:rPr>
          <w:rFonts w:asciiTheme="majorHAnsi" w:eastAsia="Times New Roman" w:hAnsiTheme="majorHAnsi"/>
          <w:color w:val="000000"/>
          <w:sz w:val="22"/>
          <w:szCs w:val="22"/>
          <w:lang w:val="it-IT"/>
        </w:rPr>
      </w:pPr>
      <w:r w:rsidRPr="004A4C02">
        <w:rPr>
          <w:rFonts w:asciiTheme="majorHAnsi" w:eastAsia="Times New Roman" w:hAnsiTheme="majorHAnsi"/>
          <w:color w:val="000000"/>
          <w:sz w:val="22"/>
          <w:szCs w:val="22"/>
          <w:lang w:val="it-IT"/>
        </w:rPr>
        <w:t>Vertinimo kriterijai ir jų parametrų lyginamieji svoriai:</w:t>
      </w:r>
    </w:p>
    <w:p w:rsidR="004A4C02" w:rsidRPr="004A4C02" w:rsidRDefault="004A4C02" w:rsidP="004A4C02">
      <w:pPr>
        <w:shd w:val="clear" w:color="auto" w:fill="FFFFFF"/>
        <w:spacing w:line="256" w:lineRule="auto"/>
        <w:ind w:left="-142" w:firstLine="709"/>
        <w:jc w:val="both"/>
        <w:rPr>
          <w:rFonts w:asciiTheme="majorHAnsi" w:eastAsia="Times New Roman" w:hAnsiTheme="majorHAnsi"/>
          <w:color w:val="000000"/>
          <w:sz w:val="22"/>
          <w:szCs w:val="22"/>
          <w:lang w:val="it-IT"/>
        </w:rPr>
      </w:pP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4221"/>
        <w:gridCol w:w="1629"/>
        <w:gridCol w:w="1406"/>
        <w:gridCol w:w="1499"/>
      </w:tblGrid>
      <w:tr w:rsidR="004A4C02" w:rsidRPr="004A4C02" w:rsidTr="004A4C02">
        <w:trPr>
          <w:trHeight w:val="846"/>
        </w:trPr>
        <w:tc>
          <w:tcPr>
            <w:tcW w:w="3655" w:type="pct"/>
            <w:gridSpan w:val="3"/>
            <w:shd w:val="clear" w:color="auto" w:fill="D9D9D9"/>
            <w:vAlign w:val="center"/>
          </w:tcPr>
          <w:p w:rsidR="004A4C02" w:rsidRPr="004A4C02" w:rsidRDefault="004A4C02" w:rsidP="004A4C02">
            <w:pPr>
              <w:jc w:val="center"/>
              <w:rPr>
                <w:rFonts w:asciiTheme="majorHAnsi" w:hAnsiTheme="majorHAnsi"/>
                <w:b/>
                <w:bCs/>
                <w:sz w:val="22"/>
                <w:szCs w:val="22"/>
              </w:rPr>
            </w:pPr>
            <w:r w:rsidRPr="004A4C02">
              <w:rPr>
                <w:rFonts w:asciiTheme="majorHAnsi" w:eastAsia="Times New Roman" w:hAnsiTheme="majorHAnsi"/>
                <w:b/>
                <w:sz w:val="22"/>
                <w:szCs w:val="22"/>
              </w:rPr>
              <w:t>Vertinimo kriterijai</w:t>
            </w:r>
          </w:p>
        </w:tc>
        <w:tc>
          <w:tcPr>
            <w:tcW w:w="773" w:type="pct"/>
            <w:shd w:val="clear" w:color="auto" w:fill="D9D9D9"/>
            <w:vAlign w:val="center"/>
          </w:tcPr>
          <w:p w:rsidR="004A4C02" w:rsidRPr="004A4C02" w:rsidRDefault="004A4C02" w:rsidP="004A4C02">
            <w:pPr>
              <w:ind w:left="-14" w:right="-90"/>
              <w:jc w:val="center"/>
              <w:rPr>
                <w:rFonts w:asciiTheme="majorHAnsi" w:eastAsia="Times New Roman" w:hAnsiTheme="majorHAnsi"/>
                <w:b/>
                <w:sz w:val="22"/>
                <w:szCs w:val="22"/>
              </w:rPr>
            </w:pPr>
            <w:r w:rsidRPr="004A4C02">
              <w:rPr>
                <w:rFonts w:asciiTheme="majorHAnsi" w:eastAsia="Times New Roman" w:hAnsiTheme="majorHAnsi"/>
                <w:b/>
                <w:sz w:val="22"/>
                <w:szCs w:val="22"/>
              </w:rPr>
              <w:t>Parametro lyginamasis svoris</w:t>
            </w:r>
          </w:p>
        </w:tc>
        <w:tc>
          <w:tcPr>
            <w:tcW w:w="572" w:type="pct"/>
            <w:shd w:val="clear" w:color="auto" w:fill="D9D9D9"/>
            <w:vAlign w:val="center"/>
          </w:tcPr>
          <w:p w:rsidR="004A4C02" w:rsidRPr="004A4C02" w:rsidRDefault="004A4C02" w:rsidP="004A4C02">
            <w:pPr>
              <w:jc w:val="center"/>
              <w:rPr>
                <w:rFonts w:asciiTheme="majorHAnsi" w:eastAsia="Times New Roman" w:hAnsiTheme="majorHAnsi"/>
                <w:b/>
                <w:sz w:val="22"/>
                <w:szCs w:val="22"/>
                <w:lang w:val="it-IT"/>
              </w:rPr>
            </w:pPr>
            <w:r w:rsidRPr="004A4C02">
              <w:rPr>
                <w:rFonts w:asciiTheme="majorHAnsi" w:eastAsia="Times New Roman" w:hAnsiTheme="majorHAnsi"/>
                <w:b/>
                <w:sz w:val="22"/>
                <w:szCs w:val="22"/>
                <w:lang w:val="it-IT"/>
              </w:rPr>
              <w:t>Lyginamasis svoris ekonominio naudingumo įvertinime</w:t>
            </w:r>
          </w:p>
        </w:tc>
      </w:tr>
      <w:tr w:rsidR="004A4C02" w:rsidRPr="004A4C02" w:rsidTr="004A4C02">
        <w:tc>
          <w:tcPr>
            <w:tcW w:w="4428" w:type="pct"/>
            <w:gridSpan w:val="4"/>
            <w:shd w:val="clear" w:color="auto" w:fill="D9D9D9"/>
            <w:vAlign w:val="center"/>
          </w:tcPr>
          <w:p w:rsidR="004A4C02" w:rsidRPr="004A4C02" w:rsidRDefault="004A4C02" w:rsidP="004A4C02">
            <w:pPr>
              <w:rPr>
                <w:rFonts w:asciiTheme="majorHAnsi" w:hAnsiTheme="majorHAnsi"/>
                <w:b/>
                <w:bCs/>
                <w:sz w:val="22"/>
                <w:szCs w:val="22"/>
              </w:rPr>
            </w:pPr>
            <w:r w:rsidRPr="004A4C02">
              <w:rPr>
                <w:rFonts w:asciiTheme="majorHAnsi" w:eastAsia="Times New Roman" w:hAnsiTheme="majorHAnsi"/>
                <w:b/>
                <w:sz w:val="22"/>
                <w:szCs w:val="22"/>
              </w:rPr>
              <w:t>Kaina (K)</w:t>
            </w:r>
          </w:p>
        </w:tc>
        <w:tc>
          <w:tcPr>
            <w:tcW w:w="572" w:type="pct"/>
            <w:shd w:val="clear" w:color="auto" w:fill="D9D9D9"/>
          </w:tcPr>
          <w:p w:rsidR="004A4C02" w:rsidRPr="004A4C02" w:rsidRDefault="004A4C02" w:rsidP="004A4C02">
            <w:pPr>
              <w:jc w:val="center"/>
              <w:rPr>
                <w:rFonts w:asciiTheme="majorHAnsi" w:hAnsiTheme="majorHAnsi"/>
                <w:b/>
                <w:bCs/>
                <w:color w:val="000000" w:themeColor="text1"/>
                <w:sz w:val="22"/>
                <w:szCs w:val="22"/>
              </w:rPr>
            </w:pPr>
            <w:r w:rsidRPr="004A4C02">
              <w:rPr>
                <w:rFonts w:asciiTheme="majorHAnsi" w:eastAsia="Times New Roman" w:hAnsiTheme="majorHAnsi"/>
                <w:b/>
                <w:color w:val="000000" w:themeColor="text1"/>
                <w:sz w:val="22"/>
                <w:szCs w:val="22"/>
              </w:rPr>
              <w:t>X=70</w:t>
            </w:r>
          </w:p>
        </w:tc>
      </w:tr>
      <w:tr w:rsidR="004A4C02" w:rsidRPr="004A4C02" w:rsidTr="004A4C02">
        <w:tc>
          <w:tcPr>
            <w:tcW w:w="4428" w:type="pct"/>
            <w:gridSpan w:val="4"/>
            <w:tcBorders>
              <w:bottom w:val="single" w:sz="4" w:space="0" w:color="auto"/>
            </w:tcBorders>
            <w:shd w:val="clear" w:color="auto" w:fill="D9D9D9"/>
            <w:vAlign w:val="center"/>
          </w:tcPr>
          <w:p w:rsidR="004A4C02" w:rsidRPr="004A4C02" w:rsidRDefault="004A4C02" w:rsidP="004A4C02">
            <w:pPr>
              <w:rPr>
                <w:rFonts w:asciiTheme="majorHAnsi" w:hAnsiTheme="majorHAnsi"/>
                <w:b/>
                <w:bCs/>
                <w:sz w:val="22"/>
                <w:szCs w:val="22"/>
              </w:rPr>
            </w:pPr>
            <w:r w:rsidRPr="004A4C02">
              <w:rPr>
                <w:rFonts w:asciiTheme="majorHAnsi" w:eastAsia="Times New Roman" w:hAnsiTheme="majorHAnsi"/>
                <w:b/>
                <w:color w:val="000000"/>
                <w:sz w:val="22"/>
                <w:szCs w:val="22"/>
              </w:rPr>
              <w:t>Techniniai pranašumai (T)</w:t>
            </w:r>
          </w:p>
        </w:tc>
        <w:tc>
          <w:tcPr>
            <w:tcW w:w="572" w:type="pct"/>
            <w:tcBorders>
              <w:bottom w:val="single" w:sz="4" w:space="0" w:color="auto"/>
            </w:tcBorders>
            <w:shd w:val="clear" w:color="auto" w:fill="D9D9D9"/>
          </w:tcPr>
          <w:p w:rsidR="004A4C02" w:rsidRPr="004A4C02" w:rsidRDefault="004A4C02" w:rsidP="004A4C02">
            <w:pPr>
              <w:jc w:val="center"/>
              <w:rPr>
                <w:rFonts w:asciiTheme="majorHAnsi" w:hAnsiTheme="majorHAnsi"/>
                <w:b/>
                <w:bCs/>
                <w:color w:val="000000" w:themeColor="text1"/>
                <w:sz w:val="22"/>
                <w:szCs w:val="22"/>
              </w:rPr>
            </w:pPr>
            <w:r w:rsidRPr="004A4C02">
              <w:rPr>
                <w:rFonts w:asciiTheme="majorHAnsi" w:eastAsia="Times New Roman" w:hAnsiTheme="majorHAnsi"/>
                <w:b/>
                <w:color w:val="000000" w:themeColor="text1"/>
                <w:sz w:val="22"/>
                <w:szCs w:val="22"/>
              </w:rPr>
              <w:t>Y=30</w:t>
            </w:r>
          </w:p>
        </w:tc>
      </w:tr>
      <w:tr w:rsidR="004A4C02" w:rsidRPr="004A4C02" w:rsidTr="004A4C02">
        <w:tc>
          <w:tcPr>
            <w:tcW w:w="504" w:type="pct"/>
            <w:shd w:val="clear" w:color="auto" w:fill="auto"/>
          </w:tcPr>
          <w:p w:rsidR="004A4C02" w:rsidRPr="004A4C02" w:rsidRDefault="004A4C02" w:rsidP="004A4C02">
            <w:pPr>
              <w:ind w:right="-81"/>
              <w:jc w:val="center"/>
              <w:rPr>
                <w:rFonts w:asciiTheme="majorHAnsi" w:eastAsia="Times New Roman" w:hAnsiTheme="majorHAnsi"/>
                <w:b/>
                <w:sz w:val="22"/>
                <w:szCs w:val="22"/>
              </w:rPr>
            </w:pPr>
            <w:r w:rsidRPr="004A4C02">
              <w:rPr>
                <w:rFonts w:asciiTheme="majorHAnsi" w:eastAsia="Times New Roman" w:hAnsiTheme="majorHAnsi"/>
                <w:b/>
                <w:sz w:val="22"/>
                <w:szCs w:val="22"/>
              </w:rPr>
              <w:t>Nr.</w:t>
            </w:r>
          </w:p>
        </w:tc>
        <w:tc>
          <w:tcPr>
            <w:tcW w:w="2249" w:type="pct"/>
            <w:shd w:val="clear" w:color="auto" w:fill="auto"/>
          </w:tcPr>
          <w:p w:rsidR="004A4C02" w:rsidRPr="004A4C02" w:rsidRDefault="004A4C02" w:rsidP="004A4C02">
            <w:pPr>
              <w:jc w:val="center"/>
              <w:rPr>
                <w:rFonts w:asciiTheme="majorHAnsi" w:eastAsia="Times New Roman" w:hAnsiTheme="majorHAnsi"/>
                <w:b/>
                <w:sz w:val="22"/>
                <w:szCs w:val="22"/>
              </w:rPr>
            </w:pPr>
            <w:r w:rsidRPr="004A4C02">
              <w:rPr>
                <w:rFonts w:asciiTheme="majorHAnsi" w:eastAsia="Times New Roman" w:hAnsiTheme="majorHAnsi"/>
                <w:b/>
                <w:sz w:val="22"/>
                <w:szCs w:val="22"/>
              </w:rPr>
              <w:t>Parametrai</w:t>
            </w:r>
          </w:p>
        </w:tc>
        <w:tc>
          <w:tcPr>
            <w:tcW w:w="902" w:type="pct"/>
            <w:shd w:val="clear" w:color="auto" w:fill="auto"/>
            <w:vAlign w:val="center"/>
          </w:tcPr>
          <w:p w:rsidR="004A4C02" w:rsidRPr="004A4C02" w:rsidRDefault="004A4C02" w:rsidP="004A4C02">
            <w:pPr>
              <w:ind w:right="-250" w:hanging="108"/>
              <w:jc w:val="center"/>
              <w:rPr>
                <w:rFonts w:asciiTheme="majorHAnsi" w:eastAsia="Times New Roman" w:hAnsiTheme="majorHAnsi"/>
                <w:b/>
                <w:sz w:val="22"/>
                <w:szCs w:val="22"/>
              </w:rPr>
            </w:pPr>
            <w:r w:rsidRPr="004A4C02">
              <w:rPr>
                <w:rFonts w:asciiTheme="majorHAnsi" w:eastAsia="Times New Roman" w:hAnsiTheme="majorHAnsi"/>
                <w:b/>
                <w:sz w:val="22"/>
                <w:szCs w:val="22"/>
              </w:rPr>
              <w:t>Vertinimo būdas</w:t>
            </w:r>
          </w:p>
        </w:tc>
        <w:tc>
          <w:tcPr>
            <w:tcW w:w="773" w:type="pct"/>
            <w:shd w:val="clear" w:color="auto" w:fill="auto"/>
            <w:vAlign w:val="center"/>
          </w:tcPr>
          <w:p w:rsidR="004A4C02" w:rsidRPr="004A4C02" w:rsidRDefault="004A4C02" w:rsidP="004A4C02">
            <w:pPr>
              <w:ind w:right="-250" w:hanging="108"/>
              <w:jc w:val="center"/>
              <w:rPr>
                <w:rFonts w:asciiTheme="majorHAnsi" w:eastAsia="Times New Roman" w:hAnsiTheme="majorHAnsi"/>
                <w:b/>
                <w:sz w:val="22"/>
                <w:szCs w:val="22"/>
              </w:rPr>
            </w:pPr>
            <w:r w:rsidRPr="004A4C02">
              <w:rPr>
                <w:rFonts w:asciiTheme="majorHAnsi" w:eastAsia="Times New Roman" w:hAnsiTheme="majorHAnsi"/>
                <w:b/>
                <w:sz w:val="22"/>
                <w:szCs w:val="22"/>
              </w:rPr>
              <w:t>Lyginamasis svoris</w:t>
            </w:r>
          </w:p>
        </w:tc>
        <w:tc>
          <w:tcPr>
            <w:tcW w:w="572" w:type="pct"/>
            <w:shd w:val="clear" w:color="auto" w:fill="auto"/>
          </w:tcPr>
          <w:p w:rsidR="004A4C02" w:rsidRPr="004A4C02" w:rsidRDefault="004A4C02" w:rsidP="004A4C02">
            <w:pPr>
              <w:jc w:val="center"/>
              <w:rPr>
                <w:rFonts w:asciiTheme="majorHAnsi" w:eastAsia="Times New Roman" w:hAnsiTheme="majorHAnsi"/>
                <w:b/>
                <w:sz w:val="22"/>
                <w:szCs w:val="22"/>
              </w:rPr>
            </w:pPr>
          </w:p>
        </w:tc>
      </w:tr>
      <w:tr w:rsidR="004A4C02" w:rsidRPr="004A4C02" w:rsidTr="004A4C02">
        <w:tc>
          <w:tcPr>
            <w:tcW w:w="504" w:type="pct"/>
            <w:shd w:val="clear" w:color="auto" w:fill="auto"/>
          </w:tcPr>
          <w:p w:rsidR="004A4C02" w:rsidRPr="004A4C02" w:rsidRDefault="004A4C02" w:rsidP="004A4C02">
            <w:pPr>
              <w:jc w:val="center"/>
              <w:rPr>
                <w:rFonts w:asciiTheme="majorHAnsi" w:eastAsia="Times New Roman" w:hAnsiTheme="majorHAnsi"/>
                <w:sz w:val="22"/>
                <w:szCs w:val="22"/>
              </w:rPr>
            </w:pPr>
            <w:r w:rsidRPr="004A4C02">
              <w:rPr>
                <w:rFonts w:asciiTheme="majorHAnsi" w:eastAsia="Times New Roman" w:hAnsiTheme="majorHAnsi"/>
                <w:sz w:val="22"/>
                <w:szCs w:val="22"/>
              </w:rPr>
              <w:t>T</w:t>
            </w:r>
            <w:r w:rsidRPr="004A4C02">
              <w:rPr>
                <w:rFonts w:asciiTheme="majorHAnsi" w:eastAsia="Times New Roman" w:hAnsiTheme="majorHAnsi"/>
                <w:sz w:val="22"/>
                <w:szCs w:val="22"/>
                <w:vertAlign w:val="subscript"/>
              </w:rPr>
              <w:t>1</w:t>
            </w:r>
          </w:p>
        </w:tc>
        <w:tc>
          <w:tcPr>
            <w:tcW w:w="2249" w:type="pct"/>
          </w:tcPr>
          <w:p w:rsidR="004A4C02" w:rsidRPr="004A4C02" w:rsidRDefault="004A4C02" w:rsidP="004A4C02">
            <w:pPr>
              <w:rPr>
                <w:rFonts w:asciiTheme="majorHAnsi" w:hAnsiTheme="majorHAnsi"/>
                <w:sz w:val="22"/>
                <w:szCs w:val="22"/>
              </w:rPr>
            </w:pPr>
            <w:r w:rsidRPr="004A4C02">
              <w:rPr>
                <w:rFonts w:asciiTheme="majorHAnsi" w:hAnsiTheme="majorHAnsi"/>
                <w:sz w:val="22"/>
                <w:szCs w:val="22"/>
              </w:rPr>
              <w:t>Viršutinė tulžies rūgščių koncentracijos matavimo riba (neskiedžiant mėginio) ne mažesnė kaip 270 µmol/</w:t>
            </w:r>
            <w:proofErr w:type="gramStart"/>
            <w:r w:rsidRPr="004A4C02">
              <w:rPr>
                <w:rFonts w:asciiTheme="majorHAnsi" w:hAnsiTheme="majorHAnsi"/>
                <w:sz w:val="22"/>
                <w:szCs w:val="22"/>
              </w:rPr>
              <w:t>l  (</w:t>
            </w:r>
            <w:proofErr w:type="gramEnd"/>
            <w:r w:rsidRPr="004A4C02">
              <w:rPr>
                <w:rFonts w:asciiTheme="majorHAnsi" w:hAnsiTheme="majorHAnsi"/>
                <w:sz w:val="22"/>
                <w:szCs w:val="22"/>
              </w:rPr>
              <w:t>nurodyta tyrimo metodikoje, pritaikytoje siūlomam analizatoriui).</w:t>
            </w:r>
          </w:p>
        </w:tc>
        <w:tc>
          <w:tcPr>
            <w:tcW w:w="902" w:type="pct"/>
            <w:shd w:val="clear" w:color="auto" w:fill="auto"/>
          </w:tcPr>
          <w:p w:rsidR="004A4C02" w:rsidRPr="004A4C02" w:rsidRDefault="004A4C02" w:rsidP="004A4C02">
            <w:pPr>
              <w:jc w:val="center"/>
              <w:rPr>
                <w:rFonts w:asciiTheme="majorHAnsi" w:hAnsiTheme="majorHAnsi"/>
                <w:sz w:val="22"/>
                <w:szCs w:val="22"/>
              </w:rPr>
            </w:pPr>
            <w:r w:rsidRPr="004A4C02">
              <w:rPr>
                <w:rFonts w:asciiTheme="majorHAnsi" w:eastAsia="Times New Roman" w:hAnsiTheme="majorHAnsi"/>
                <w:sz w:val="22"/>
                <w:szCs w:val="22"/>
              </w:rPr>
              <w:t>Statinis: (yra/nėra)</w:t>
            </w:r>
          </w:p>
        </w:tc>
        <w:tc>
          <w:tcPr>
            <w:tcW w:w="773" w:type="pct"/>
            <w:shd w:val="clear" w:color="auto" w:fill="auto"/>
          </w:tcPr>
          <w:p w:rsidR="004A4C02" w:rsidRPr="004A4C02" w:rsidRDefault="004A4C02" w:rsidP="004A4C02">
            <w:pPr>
              <w:jc w:val="center"/>
              <w:rPr>
                <w:rFonts w:asciiTheme="majorHAnsi" w:hAnsiTheme="majorHAnsi"/>
                <w:sz w:val="22"/>
                <w:szCs w:val="22"/>
              </w:rPr>
            </w:pPr>
            <w:r w:rsidRPr="004A4C02">
              <w:rPr>
                <w:rFonts w:asciiTheme="majorHAnsi" w:eastAsia="Times New Roman" w:hAnsiTheme="majorHAnsi"/>
                <w:sz w:val="22"/>
                <w:szCs w:val="22"/>
              </w:rPr>
              <w:t>L</w:t>
            </w:r>
            <w:r w:rsidRPr="004A4C02">
              <w:rPr>
                <w:rFonts w:asciiTheme="majorHAnsi" w:eastAsia="Times New Roman" w:hAnsiTheme="majorHAnsi"/>
                <w:sz w:val="22"/>
                <w:szCs w:val="22"/>
                <w:vertAlign w:val="subscript"/>
              </w:rPr>
              <w:t>1</w:t>
            </w:r>
            <w:r w:rsidRPr="004A4C02">
              <w:rPr>
                <w:rFonts w:asciiTheme="majorHAnsi" w:eastAsia="Times New Roman" w:hAnsiTheme="majorHAnsi"/>
                <w:sz w:val="22"/>
                <w:szCs w:val="22"/>
              </w:rPr>
              <w:t xml:space="preserve"> = </w:t>
            </w:r>
            <w:r w:rsidRPr="004A4C02">
              <w:rPr>
                <w:rFonts w:asciiTheme="majorHAnsi" w:hAnsiTheme="majorHAnsi"/>
                <w:sz w:val="22"/>
                <w:szCs w:val="22"/>
              </w:rPr>
              <w:t>0,30</w:t>
            </w:r>
          </w:p>
        </w:tc>
        <w:tc>
          <w:tcPr>
            <w:tcW w:w="572" w:type="pct"/>
            <w:shd w:val="clear" w:color="auto" w:fill="auto"/>
          </w:tcPr>
          <w:p w:rsidR="004A4C02" w:rsidRPr="004A4C02" w:rsidRDefault="004A4C02" w:rsidP="004A4C02">
            <w:pPr>
              <w:jc w:val="center"/>
              <w:rPr>
                <w:rFonts w:asciiTheme="majorHAnsi" w:hAnsiTheme="majorHAnsi" w:cs="Calibri"/>
                <w:color w:val="000000"/>
                <w:sz w:val="22"/>
                <w:szCs w:val="22"/>
              </w:rPr>
            </w:pPr>
          </w:p>
        </w:tc>
      </w:tr>
      <w:tr w:rsidR="004A4C02" w:rsidRPr="004A4C02" w:rsidTr="004A4C02">
        <w:tc>
          <w:tcPr>
            <w:tcW w:w="504" w:type="pct"/>
            <w:shd w:val="clear" w:color="auto" w:fill="auto"/>
          </w:tcPr>
          <w:p w:rsidR="004A4C02" w:rsidRPr="004A4C02" w:rsidRDefault="004A4C02" w:rsidP="004A4C02">
            <w:pPr>
              <w:jc w:val="center"/>
              <w:rPr>
                <w:rFonts w:asciiTheme="majorHAnsi" w:eastAsia="Times New Roman" w:hAnsiTheme="majorHAnsi"/>
                <w:sz w:val="22"/>
                <w:szCs w:val="22"/>
              </w:rPr>
            </w:pPr>
            <w:r w:rsidRPr="004A4C02">
              <w:rPr>
                <w:rFonts w:asciiTheme="majorHAnsi" w:eastAsia="Times New Roman" w:hAnsiTheme="majorHAnsi"/>
                <w:sz w:val="22"/>
                <w:szCs w:val="22"/>
              </w:rPr>
              <w:t>T</w:t>
            </w:r>
            <w:r w:rsidRPr="004A4C02">
              <w:rPr>
                <w:rFonts w:asciiTheme="majorHAnsi" w:eastAsia="Times New Roman" w:hAnsiTheme="majorHAnsi"/>
                <w:sz w:val="22"/>
                <w:szCs w:val="22"/>
                <w:vertAlign w:val="subscript"/>
              </w:rPr>
              <w:t>2</w:t>
            </w:r>
          </w:p>
        </w:tc>
        <w:tc>
          <w:tcPr>
            <w:tcW w:w="2249" w:type="pct"/>
          </w:tcPr>
          <w:p w:rsidR="004A4C02" w:rsidRPr="004A4C02" w:rsidRDefault="004A4C02" w:rsidP="004A4C02">
            <w:pPr>
              <w:rPr>
                <w:rFonts w:asciiTheme="majorHAnsi" w:hAnsiTheme="majorHAnsi"/>
                <w:sz w:val="22"/>
                <w:szCs w:val="22"/>
              </w:rPr>
            </w:pPr>
            <w:r w:rsidRPr="004A4C02">
              <w:rPr>
                <w:rFonts w:asciiTheme="majorHAnsi" w:hAnsiTheme="majorHAnsi"/>
                <w:sz w:val="22"/>
                <w:szCs w:val="22"/>
              </w:rPr>
              <w:t>Reagentų stabilumas atidarius ne trumpesnis kaip 60 d. (nurodyta tyrimo metodikoje, pritaikytoje siūlomam analizatoriui).</w:t>
            </w:r>
          </w:p>
        </w:tc>
        <w:tc>
          <w:tcPr>
            <w:tcW w:w="902" w:type="pct"/>
            <w:shd w:val="clear" w:color="auto" w:fill="auto"/>
          </w:tcPr>
          <w:p w:rsidR="004A4C02" w:rsidRPr="004A4C02" w:rsidRDefault="004A4C02" w:rsidP="004A4C02">
            <w:pPr>
              <w:jc w:val="center"/>
              <w:rPr>
                <w:rFonts w:asciiTheme="majorHAnsi" w:hAnsiTheme="majorHAnsi"/>
                <w:sz w:val="22"/>
                <w:szCs w:val="22"/>
              </w:rPr>
            </w:pPr>
            <w:r w:rsidRPr="004A4C02">
              <w:rPr>
                <w:rFonts w:asciiTheme="majorHAnsi" w:eastAsia="Times New Roman" w:hAnsiTheme="majorHAnsi"/>
                <w:sz w:val="22"/>
                <w:szCs w:val="22"/>
              </w:rPr>
              <w:t>Statinis: (yra/nėra)</w:t>
            </w:r>
          </w:p>
        </w:tc>
        <w:tc>
          <w:tcPr>
            <w:tcW w:w="773" w:type="pct"/>
            <w:shd w:val="clear" w:color="auto" w:fill="auto"/>
          </w:tcPr>
          <w:p w:rsidR="004A4C02" w:rsidRPr="004A4C02" w:rsidRDefault="004A4C02" w:rsidP="004A4C02">
            <w:pPr>
              <w:jc w:val="center"/>
              <w:rPr>
                <w:rFonts w:asciiTheme="majorHAnsi" w:hAnsiTheme="majorHAnsi"/>
                <w:sz w:val="22"/>
                <w:szCs w:val="22"/>
              </w:rPr>
            </w:pPr>
            <w:r w:rsidRPr="004A4C02">
              <w:rPr>
                <w:rFonts w:asciiTheme="majorHAnsi" w:eastAsia="Times New Roman" w:hAnsiTheme="majorHAnsi"/>
                <w:sz w:val="22"/>
                <w:szCs w:val="22"/>
              </w:rPr>
              <w:t>L</w:t>
            </w:r>
            <w:r w:rsidRPr="004A4C02">
              <w:rPr>
                <w:rFonts w:asciiTheme="majorHAnsi" w:eastAsia="Times New Roman" w:hAnsiTheme="majorHAnsi"/>
                <w:sz w:val="22"/>
                <w:szCs w:val="22"/>
                <w:vertAlign w:val="subscript"/>
              </w:rPr>
              <w:t>2</w:t>
            </w:r>
            <w:r w:rsidRPr="004A4C02">
              <w:rPr>
                <w:rFonts w:asciiTheme="majorHAnsi" w:eastAsia="Times New Roman" w:hAnsiTheme="majorHAnsi"/>
                <w:sz w:val="22"/>
                <w:szCs w:val="22"/>
              </w:rPr>
              <w:t xml:space="preserve"> = </w:t>
            </w:r>
            <w:r w:rsidRPr="004A4C02">
              <w:rPr>
                <w:rFonts w:asciiTheme="majorHAnsi" w:hAnsiTheme="majorHAnsi"/>
                <w:sz w:val="22"/>
                <w:szCs w:val="22"/>
              </w:rPr>
              <w:t>0,25</w:t>
            </w:r>
          </w:p>
        </w:tc>
        <w:tc>
          <w:tcPr>
            <w:tcW w:w="572" w:type="pct"/>
            <w:shd w:val="clear" w:color="auto" w:fill="auto"/>
          </w:tcPr>
          <w:p w:rsidR="004A4C02" w:rsidRPr="004A4C02" w:rsidRDefault="004A4C02" w:rsidP="004A4C02">
            <w:pPr>
              <w:jc w:val="center"/>
              <w:rPr>
                <w:rFonts w:asciiTheme="majorHAnsi" w:hAnsiTheme="majorHAnsi" w:cs="Calibri"/>
                <w:color w:val="000000"/>
                <w:sz w:val="22"/>
                <w:szCs w:val="22"/>
              </w:rPr>
            </w:pPr>
          </w:p>
        </w:tc>
      </w:tr>
      <w:tr w:rsidR="004A4C02" w:rsidRPr="004A4C02" w:rsidTr="004A4C02">
        <w:tc>
          <w:tcPr>
            <w:tcW w:w="504" w:type="pct"/>
            <w:shd w:val="clear" w:color="auto" w:fill="auto"/>
          </w:tcPr>
          <w:p w:rsidR="004A4C02" w:rsidRPr="004A4C02" w:rsidRDefault="004A4C02" w:rsidP="004A4C02">
            <w:pPr>
              <w:jc w:val="center"/>
              <w:rPr>
                <w:rFonts w:asciiTheme="majorHAnsi" w:eastAsia="Times New Roman" w:hAnsiTheme="majorHAnsi"/>
                <w:sz w:val="22"/>
                <w:szCs w:val="22"/>
              </w:rPr>
            </w:pPr>
            <w:r w:rsidRPr="004A4C02">
              <w:rPr>
                <w:rFonts w:asciiTheme="majorHAnsi" w:eastAsia="Times New Roman" w:hAnsiTheme="majorHAnsi"/>
                <w:sz w:val="22"/>
                <w:szCs w:val="22"/>
              </w:rPr>
              <w:t>T</w:t>
            </w:r>
            <w:r w:rsidRPr="004A4C02">
              <w:rPr>
                <w:rFonts w:asciiTheme="majorHAnsi" w:eastAsia="Times New Roman" w:hAnsiTheme="majorHAnsi"/>
                <w:sz w:val="22"/>
                <w:szCs w:val="22"/>
                <w:vertAlign w:val="subscript"/>
              </w:rPr>
              <w:t>3</w:t>
            </w:r>
          </w:p>
        </w:tc>
        <w:tc>
          <w:tcPr>
            <w:tcW w:w="2249" w:type="pct"/>
          </w:tcPr>
          <w:p w:rsidR="004A4C02" w:rsidRPr="004A4C02" w:rsidRDefault="004A4C02" w:rsidP="004A4C02">
            <w:pPr>
              <w:rPr>
                <w:rFonts w:asciiTheme="majorHAnsi" w:hAnsiTheme="majorHAnsi"/>
                <w:sz w:val="22"/>
                <w:szCs w:val="22"/>
              </w:rPr>
            </w:pPr>
            <w:r w:rsidRPr="004A4C02">
              <w:rPr>
                <w:rFonts w:asciiTheme="majorHAnsi" w:hAnsiTheme="majorHAnsi"/>
                <w:sz w:val="22"/>
                <w:szCs w:val="22"/>
              </w:rPr>
              <w:t>Galimybė iš vienos reagento talpos atlikti ne mažiau kaip 125 tyrimus (nurodyta tyrimo metodikoje, pritaikytoje siūlomam analizatoriui).</w:t>
            </w:r>
          </w:p>
        </w:tc>
        <w:tc>
          <w:tcPr>
            <w:tcW w:w="902" w:type="pct"/>
            <w:shd w:val="clear" w:color="auto" w:fill="auto"/>
          </w:tcPr>
          <w:p w:rsidR="004A4C02" w:rsidRPr="004A4C02" w:rsidRDefault="004A4C02" w:rsidP="004A4C02">
            <w:pPr>
              <w:jc w:val="center"/>
              <w:rPr>
                <w:rFonts w:asciiTheme="majorHAnsi" w:hAnsiTheme="majorHAnsi"/>
                <w:sz w:val="22"/>
                <w:szCs w:val="22"/>
              </w:rPr>
            </w:pPr>
            <w:r w:rsidRPr="004A4C02">
              <w:rPr>
                <w:rFonts w:asciiTheme="majorHAnsi" w:eastAsia="Times New Roman" w:hAnsiTheme="majorHAnsi"/>
                <w:sz w:val="22"/>
                <w:szCs w:val="22"/>
              </w:rPr>
              <w:t>Statinis: (yra/nėra)</w:t>
            </w:r>
          </w:p>
        </w:tc>
        <w:tc>
          <w:tcPr>
            <w:tcW w:w="773" w:type="pct"/>
            <w:shd w:val="clear" w:color="auto" w:fill="auto"/>
          </w:tcPr>
          <w:p w:rsidR="004A4C02" w:rsidRPr="004A4C02" w:rsidRDefault="004A4C02" w:rsidP="004A4C02">
            <w:pPr>
              <w:jc w:val="center"/>
              <w:rPr>
                <w:rFonts w:asciiTheme="majorHAnsi" w:hAnsiTheme="majorHAnsi"/>
                <w:sz w:val="22"/>
                <w:szCs w:val="22"/>
              </w:rPr>
            </w:pPr>
            <w:r w:rsidRPr="004A4C02">
              <w:rPr>
                <w:rFonts w:asciiTheme="majorHAnsi" w:eastAsia="Times New Roman" w:hAnsiTheme="majorHAnsi"/>
                <w:sz w:val="22"/>
                <w:szCs w:val="22"/>
              </w:rPr>
              <w:t>L</w:t>
            </w:r>
            <w:r w:rsidRPr="004A4C02">
              <w:rPr>
                <w:rFonts w:asciiTheme="majorHAnsi" w:eastAsia="Times New Roman" w:hAnsiTheme="majorHAnsi"/>
                <w:sz w:val="22"/>
                <w:szCs w:val="22"/>
                <w:vertAlign w:val="subscript"/>
              </w:rPr>
              <w:t>3</w:t>
            </w:r>
            <w:r w:rsidRPr="004A4C02">
              <w:rPr>
                <w:rFonts w:asciiTheme="majorHAnsi" w:eastAsia="Times New Roman" w:hAnsiTheme="majorHAnsi"/>
                <w:sz w:val="22"/>
                <w:szCs w:val="22"/>
              </w:rPr>
              <w:t xml:space="preserve"> = </w:t>
            </w:r>
            <w:r w:rsidRPr="004A4C02">
              <w:rPr>
                <w:rFonts w:asciiTheme="majorHAnsi" w:hAnsiTheme="majorHAnsi"/>
                <w:sz w:val="22"/>
                <w:szCs w:val="22"/>
              </w:rPr>
              <w:t>0,25</w:t>
            </w:r>
          </w:p>
        </w:tc>
        <w:tc>
          <w:tcPr>
            <w:tcW w:w="572" w:type="pct"/>
            <w:shd w:val="clear" w:color="auto" w:fill="auto"/>
          </w:tcPr>
          <w:p w:rsidR="004A4C02" w:rsidRPr="004A4C02" w:rsidRDefault="004A4C02" w:rsidP="004A4C02">
            <w:pPr>
              <w:jc w:val="center"/>
              <w:rPr>
                <w:rFonts w:asciiTheme="majorHAnsi" w:hAnsiTheme="majorHAnsi" w:cs="Calibri"/>
                <w:color w:val="000000"/>
                <w:sz w:val="22"/>
                <w:szCs w:val="22"/>
              </w:rPr>
            </w:pPr>
          </w:p>
        </w:tc>
      </w:tr>
      <w:tr w:rsidR="004A4C02" w:rsidRPr="004A4C02" w:rsidTr="004A4C02">
        <w:tc>
          <w:tcPr>
            <w:tcW w:w="504" w:type="pct"/>
            <w:shd w:val="clear" w:color="auto" w:fill="auto"/>
          </w:tcPr>
          <w:p w:rsidR="004A4C02" w:rsidRPr="004A4C02" w:rsidRDefault="004A4C02" w:rsidP="004A4C02">
            <w:pPr>
              <w:jc w:val="center"/>
              <w:rPr>
                <w:rFonts w:asciiTheme="majorHAnsi" w:eastAsia="Times New Roman" w:hAnsiTheme="majorHAnsi"/>
                <w:sz w:val="22"/>
                <w:szCs w:val="22"/>
              </w:rPr>
            </w:pPr>
            <w:r w:rsidRPr="004A4C02">
              <w:rPr>
                <w:rFonts w:asciiTheme="majorHAnsi" w:eastAsia="Times New Roman" w:hAnsiTheme="majorHAnsi"/>
                <w:sz w:val="22"/>
                <w:szCs w:val="22"/>
              </w:rPr>
              <w:lastRenderedPageBreak/>
              <w:t>T</w:t>
            </w:r>
            <w:r w:rsidRPr="004A4C02">
              <w:rPr>
                <w:rFonts w:asciiTheme="majorHAnsi" w:eastAsia="Times New Roman" w:hAnsiTheme="majorHAnsi"/>
                <w:sz w:val="22"/>
                <w:szCs w:val="22"/>
                <w:vertAlign w:val="subscript"/>
              </w:rPr>
              <w:t>4</w:t>
            </w:r>
          </w:p>
        </w:tc>
        <w:tc>
          <w:tcPr>
            <w:tcW w:w="2249" w:type="pct"/>
          </w:tcPr>
          <w:p w:rsidR="004A4C02" w:rsidRPr="004A4C02" w:rsidRDefault="004A4C02" w:rsidP="004A4C02">
            <w:pPr>
              <w:rPr>
                <w:rFonts w:asciiTheme="majorHAnsi" w:hAnsiTheme="majorHAnsi"/>
                <w:color w:val="000000"/>
                <w:sz w:val="22"/>
                <w:szCs w:val="22"/>
              </w:rPr>
            </w:pPr>
            <w:r w:rsidRPr="004A4C02">
              <w:rPr>
                <w:rFonts w:asciiTheme="majorHAnsi" w:hAnsiTheme="majorHAnsi"/>
                <w:color w:val="000000"/>
                <w:sz w:val="22"/>
                <w:szCs w:val="22"/>
              </w:rPr>
              <w:t>Automatinis mėginio hemolizės, lipemijos, bilirubino (angl. icterus) indeksų nustatymas.</w:t>
            </w:r>
          </w:p>
        </w:tc>
        <w:tc>
          <w:tcPr>
            <w:tcW w:w="902" w:type="pct"/>
            <w:shd w:val="clear" w:color="auto" w:fill="auto"/>
          </w:tcPr>
          <w:p w:rsidR="004A4C02" w:rsidRPr="004A4C02" w:rsidRDefault="004A4C02" w:rsidP="004A4C02">
            <w:pPr>
              <w:jc w:val="center"/>
              <w:rPr>
                <w:rFonts w:asciiTheme="majorHAnsi" w:hAnsiTheme="majorHAnsi"/>
                <w:sz w:val="22"/>
                <w:szCs w:val="22"/>
              </w:rPr>
            </w:pPr>
            <w:r w:rsidRPr="004A4C02">
              <w:rPr>
                <w:rFonts w:asciiTheme="majorHAnsi" w:eastAsia="Times New Roman" w:hAnsiTheme="majorHAnsi"/>
                <w:sz w:val="22"/>
                <w:szCs w:val="22"/>
              </w:rPr>
              <w:t>Statinis: (yra/nėra)</w:t>
            </w:r>
          </w:p>
        </w:tc>
        <w:tc>
          <w:tcPr>
            <w:tcW w:w="773" w:type="pct"/>
            <w:shd w:val="clear" w:color="auto" w:fill="auto"/>
          </w:tcPr>
          <w:p w:rsidR="004A4C02" w:rsidRPr="004A4C02" w:rsidRDefault="004A4C02" w:rsidP="004A4C02">
            <w:pPr>
              <w:jc w:val="center"/>
              <w:rPr>
                <w:rFonts w:asciiTheme="majorHAnsi" w:hAnsiTheme="majorHAnsi"/>
                <w:sz w:val="22"/>
                <w:szCs w:val="22"/>
              </w:rPr>
            </w:pPr>
            <w:r w:rsidRPr="004A4C02">
              <w:rPr>
                <w:rFonts w:asciiTheme="majorHAnsi" w:eastAsia="Times New Roman" w:hAnsiTheme="majorHAnsi"/>
                <w:sz w:val="22"/>
                <w:szCs w:val="22"/>
              </w:rPr>
              <w:t>L</w:t>
            </w:r>
            <w:r w:rsidRPr="004A4C02">
              <w:rPr>
                <w:rFonts w:asciiTheme="majorHAnsi" w:eastAsia="Times New Roman" w:hAnsiTheme="majorHAnsi"/>
                <w:sz w:val="22"/>
                <w:szCs w:val="22"/>
                <w:vertAlign w:val="subscript"/>
              </w:rPr>
              <w:t>4</w:t>
            </w:r>
            <w:r w:rsidRPr="004A4C02">
              <w:rPr>
                <w:rFonts w:asciiTheme="majorHAnsi" w:eastAsia="Times New Roman" w:hAnsiTheme="majorHAnsi"/>
                <w:sz w:val="22"/>
                <w:szCs w:val="22"/>
              </w:rPr>
              <w:t xml:space="preserve"> = </w:t>
            </w:r>
            <w:r w:rsidRPr="004A4C02">
              <w:rPr>
                <w:rFonts w:asciiTheme="majorHAnsi" w:hAnsiTheme="majorHAnsi"/>
                <w:sz w:val="22"/>
                <w:szCs w:val="22"/>
              </w:rPr>
              <w:t>0,1</w:t>
            </w:r>
          </w:p>
        </w:tc>
        <w:tc>
          <w:tcPr>
            <w:tcW w:w="572" w:type="pct"/>
            <w:shd w:val="clear" w:color="auto" w:fill="auto"/>
          </w:tcPr>
          <w:p w:rsidR="004A4C02" w:rsidRPr="004A4C02" w:rsidRDefault="004A4C02" w:rsidP="004A4C02">
            <w:pPr>
              <w:jc w:val="center"/>
              <w:rPr>
                <w:rFonts w:asciiTheme="majorHAnsi" w:hAnsiTheme="majorHAnsi" w:cs="Calibri"/>
                <w:color w:val="000000"/>
                <w:sz w:val="22"/>
                <w:szCs w:val="22"/>
              </w:rPr>
            </w:pPr>
          </w:p>
        </w:tc>
      </w:tr>
      <w:tr w:rsidR="004A4C02" w:rsidRPr="004A4C02" w:rsidTr="004A4C02">
        <w:tc>
          <w:tcPr>
            <w:tcW w:w="504" w:type="pct"/>
            <w:shd w:val="clear" w:color="auto" w:fill="auto"/>
          </w:tcPr>
          <w:p w:rsidR="004A4C02" w:rsidRPr="004A4C02" w:rsidRDefault="004A4C02" w:rsidP="004A4C02">
            <w:pPr>
              <w:jc w:val="center"/>
              <w:rPr>
                <w:rFonts w:asciiTheme="majorHAnsi" w:eastAsia="Times New Roman" w:hAnsiTheme="majorHAnsi"/>
                <w:sz w:val="22"/>
                <w:szCs w:val="22"/>
              </w:rPr>
            </w:pPr>
            <w:r w:rsidRPr="004A4C02">
              <w:rPr>
                <w:rFonts w:asciiTheme="majorHAnsi" w:eastAsia="Times New Roman" w:hAnsiTheme="majorHAnsi"/>
                <w:sz w:val="22"/>
                <w:szCs w:val="22"/>
              </w:rPr>
              <w:t>T</w:t>
            </w:r>
            <w:r w:rsidRPr="004A4C02">
              <w:rPr>
                <w:rFonts w:asciiTheme="majorHAnsi" w:eastAsia="Times New Roman" w:hAnsiTheme="majorHAnsi"/>
                <w:sz w:val="22"/>
                <w:szCs w:val="22"/>
                <w:vertAlign w:val="subscript"/>
              </w:rPr>
              <w:t>5</w:t>
            </w:r>
          </w:p>
        </w:tc>
        <w:tc>
          <w:tcPr>
            <w:tcW w:w="2249" w:type="pct"/>
          </w:tcPr>
          <w:p w:rsidR="004A4C02" w:rsidRPr="004A4C02" w:rsidRDefault="004A4C02" w:rsidP="004A4C02">
            <w:pPr>
              <w:rPr>
                <w:rFonts w:asciiTheme="majorHAnsi" w:hAnsiTheme="majorHAnsi"/>
                <w:sz w:val="22"/>
                <w:szCs w:val="22"/>
              </w:rPr>
            </w:pPr>
            <w:r w:rsidRPr="004A4C02">
              <w:rPr>
                <w:rFonts w:asciiTheme="majorHAnsi" w:hAnsiTheme="majorHAnsi"/>
                <w:sz w:val="22"/>
                <w:szCs w:val="22"/>
              </w:rPr>
              <w:t>Galimybė iš to paties mėgintuvėlio, nepernešant mėgintuvėlio į kitą analizatorių, automatizuotai atlikti ne tik tulžies rūgščių koncentracijos matavimą, bet ir kitus klinikinės chemijos tyrimus.</w:t>
            </w:r>
          </w:p>
        </w:tc>
        <w:tc>
          <w:tcPr>
            <w:tcW w:w="902" w:type="pct"/>
            <w:shd w:val="clear" w:color="auto" w:fill="auto"/>
          </w:tcPr>
          <w:p w:rsidR="004A4C02" w:rsidRPr="004A4C02" w:rsidRDefault="004A4C02" w:rsidP="004A4C02">
            <w:pPr>
              <w:jc w:val="center"/>
              <w:rPr>
                <w:rFonts w:asciiTheme="majorHAnsi" w:hAnsiTheme="majorHAnsi"/>
                <w:sz w:val="22"/>
                <w:szCs w:val="22"/>
              </w:rPr>
            </w:pPr>
            <w:r w:rsidRPr="004A4C02">
              <w:rPr>
                <w:rFonts w:asciiTheme="majorHAnsi" w:eastAsia="Times New Roman" w:hAnsiTheme="majorHAnsi"/>
                <w:sz w:val="22"/>
                <w:szCs w:val="22"/>
              </w:rPr>
              <w:t>Statinis: (yra/nėra)</w:t>
            </w:r>
          </w:p>
        </w:tc>
        <w:tc>
          <w:tcPr>
            <w:tcW w:w="773" w:type="pct"/>
            <w:shd w:val="clear" w:color="auto" w:fill="auto"/>
          </w:tcPr>
          <w:p w:rsidR="004A4C02" w:rsidRPr="004A4C02" w:rsidRDefault="004A4C02" w:rsidP="004A4C02">
            <w:pPr>
              <w:jc w:val="center"/>
              <w:rPr>
                <w:rFonts w:asciiTheme="majorHAnsi" w:eastAsia="Times New Roman" w:hAnsiTheme="majorHAnsi"/>
                <w:sz w:val="22"/>
                <w:szCs w:val="22"/>
              </w:rPr>
            </w:pPr>
            <w:r w:rsidRPr="004A4C02">
              <w:rPr>
                <w:rFonts w:asciiTheme="majorHAnsi" w:eastAsia="Times New Roman" w:hAnsiTheme="majorHAnsi"/>
                <w:sz w:val="22"/>
                <w:szCs w:val="22"/>
              </w:rPr>
              <w:t>L</w:t>
            </w:r>
            <w:r w:rsidRPr="004A4C02">
              <w:rPr>
                <w:rFonts w:asciiTheme="majorHAnsi" w:eastAsia="Times New Roman" w:hAnsiTheme="majorHAnsi"/>
                <w:sz w:val="22"/>
                <w:szCs w:val="22"/>
                <w:vertAlign w:val="subscript"/>
              </w:rPr>
              <w:t>5</w:t>
            </w:r>
            <w:r w:rsidRPr="004A4C02">
              <w:rPr>
                <w:rFonts w:asciiTheme="majorHAnsi" w:eastAsia="Times New Roman" w:hAnsiTheme="majorHAnsi"/>
                <w:sz w:val="22"/>
                <w:szCs w:val="22"/>
              </w:rPr>
              <w:t xml:space="preserve"> = </w:t>
            </w:r>
            <w:r w:rsidRPr="004A4C02">
              <w:rPr>
                <w:rFonts w:asciiTheme="majorHAnsi" w:hAnsiTheme="majorHAnsi"/>
                <w:sz w:val="22"/>
                <w:szCs w:val="22"/>
              </w:rPr>
              <w:t>0,1</w:t>
            </w:r>
          </w:p>
        </w:tc>
        <w:tc>
          <w:tcPr>
            <w:tcW w:w="572" w:type="pct"/>
            <w:shd w:val="clear" w:color="auto" w:fill="auto"/>
          </w:tcPr>
          <w:p w:rsidR="004A4C02" w:rsidRPr="004A4C02" w:rsidRDefault="004A4C02" w:rsidP="004A4C02">
            <w:pPr>
              <w:jc w:val="center"/>
              <w:rPr>
                <w:rFonts w:asciiTheme="majorHAnsi" w:hAnsiTheme="majorHAnsi" w:cs="Calibri"/>
                <w:color w:val="000000"/>
                <w:sz w:val="22"/>
                <w:szCs w:val="22"/>
              </w:rPr>
            </w:pPr>
          </w:p>
        </w:tc>
      </w:tr>
    </w:tbl>
    <w:p w:rsidR="004A4C02" w:rsidRPr="004A4C02" w:rsidRDefault="004A4C02" w:rsidP="004A4C02">
      <w:pPr>
        <w:shd w:val="clear" w:color="auto" w:fill="FFFFFF"/>
        <w:spacing w:after="160" w:line="256" w:lineRule="auto"/>
        <w:ind w:firstLine="284"/>
        <w:jc w:val="both"/>
        <w:rPr>
          <w:rFonts w:asciiTheme="majorHAnsi" w:eastAsia="Times New Roman" w:hAnsiTheme="majorHAnsi"/>
          <w:sz w:val="22"/>
          <w:szCs w:val="22"/>
        </w:rPr>
      </w:pPr>
    </w:p>
    <w:p w:rsidR="004A4C02" w:rsidRPr="004A4C02" w:rsidRDefault="004A4C02" w:rsidP="004A4C02">
      <w:pPr>
        <w:shd w:val="clear" w:color="auto" w:fill="FFFFFF"/>
        <w:spacing w:line="276" w:lineRule="auto"/>
        <w:ind w:firstLine="284"/>
        <w:jc w:val="both"/>
        <w:rPr>
          <w:rFonts w:asciiTheme="majorHAnsi" w:eastAsia="Times New Roman" w:hAnsiTheme="majorHAnsi"/>
          <w:color w:val="000000"/>
          <w:sz w:val="22"/>
          <w:szCs w:val="22"/>
        </w:rPr>
      </w:pPr>
    </w:p>
    <w:p w:rsidR="004A4C02" w:rsidRPr="004A4C02" w:rsidRDefault="004A4C02" w:rsidP="004A4C02">
      <w:pPr>
        <w:shd w:val="clear" w:color="auto" w:fill="FFFFFF"/>
        <w:spacing w:line="276" w:lineRule="auto"/>
        <w:ind w:firstLine="284"/>
        <w:jc w:val="both"/>
        <w:rPr>
          <w:rFonts w:asciiTheme="majorHAnsi" w:eastAsia="Times New Roman" w:hAnsiTheme="majorHAnsi"/>
          <w:color w:val="000000"/>
          <w:sz w:val="22"/>
          <w:szCs w:val="22"/>
        </w:rPr>
      </w:pPr>
      <w:r w:rsidRPr="004A4C02">
        <w:rPr>
          <w:rFonts w:asciiTheme="majorHAnsi" w:eastAsia="Times New Roman" w:hAnsiTheme="majorHAnsi"/>
          <w:color w:val="000000"/>
          <w:sz w:val="22"/>
          <w:szCs w:val="22"/>
        </w:rPr>
        <w:t>Pasiūlymo ekonominio naudingumo (kainos ir kokybės santykio) apskaičiavimo tvarka (formulė) yra pateikiama žemiau:</w:t>
      </w:r>
    </w:p>
    <w:p w:rsidR="004A4C02" w:rsidRPr="004A4C02" w:rsidRDefault="004A4C02" w:rsidP="004A4C02">
      <w:pPr>
        <w:shd w:val="clear" w:color="auto" w:fill="FFFFFF"/>
        <w:spacing w:line="276" w:lineRule="auto"/>
        <w:ind w:firstLine="284"/>
        <w:jc w:val="both"/>
        <w:rPr>
          <w:rFonts w:asciiTheme="majorHAnsi" w:eastAsia="Times New Roman" w:hAnsiTheme="majorHAnsi"/>
          <w:color w:val="000000"/>
          <w:sz w:val="22"/>
          <w:szCs w:val="22"/>
        </w:rPr>
      </w:pPr>
    </w:p>
    <w:p w:rsidR="004A4C02" w:rsidRPr="004A4C02" w:rsidRDefault="004A4C02" w:rsidP="004A4C02">
      <w:pPr>
        <w:shd w:val="clear" w:color="auto" w:fill="FFFFFF"/>
        <w:spacing w:line="276" w:lineRule="auto"/>
        <w:ind w:firstLine="284"/>
        <w:jc w:val="both"/>
        <w:rPr>
          <w:rFonts w:asciiTheme="majorHAnsi" w:eastAsia="Times New Roman" w:hAnsiTheme="majorHAnsi"/>
          <w:color w:val="000000"/>
          <w:sz w:val="22"/>
          <w:szCs w:val="22"/>
        </w:rPr>
      </w:pPr>
      <w:r w:rsidRPr="004A4C02">
        <w:rPr>
          <w:rFonts w:asciiTheme="majorHAnsi" w:eastAsia="Times New Roman" w:hAnsiTheme="majorHAnsi"/>
          <w:color w:val="000000"/>
          <w:sz w:val="22"/>
          <w:szCs w:val="22"/>
        </w:rPr>
        <w:t>1. Pasiūlymo ekonominis naudingumas (E) apskaičiuojamas sudedant tiekėjo pasiūlymo kainos (K) ir techninių pranašumų (T) balus:</w:t>
      </w:r>
    </w:p>
    <w:p w:rsidR="004A4C02" w:rsidRPr="004A4C02" w:rsidRDefault="004A4C02" w:rsidP="004A4C02">
      <w:pPr>
        <w:shd w:val="clear" w:color="auto" w:fill="FFFFFF"/>
        <w:spacing w:line="276" w:lineRule="auto"/>
        <w:ind w:firstLine="284"/>
        <w:jc w:val="center"/>
        <w:rPr>
          <w:rFonts w:asciiTheme="majorHAnsi" w:eastAsia="Times New Roman" w:hAnsiTheme="majorHAnsi"/>
          <w:i/>
          <w:iCs/>
          <w:color w:val="000000"/>
          <w:sz w:val="22"/>
          <w:szCs w:val="22"/>
        </w:rPr>
      </w:pPr>
    </w:p>
    <w:p w:rsidR="004A4C02" w:rsidRPr="004A4C02" w:rsidRDefault="004A4C02" w:rsidP="004A4C02">
      <w:pPr>
        <w:shd w:val="clear" w:color="auto" w:fill="FFFFFF"/>
        <w:spacing w:line="276" w:lineRule="auto"/>
        <w:ind w:firstLine="284"/>
        <w:jc w:val="center"/>
        <w:rPr>
          <w:rFonts w:asciiTheme="majorHAnsi" w:eastAsia="Times New Roman" w:hAnsiTheme="majorHAnsi"/>
          <w:i/>
          <w:iCs/>
          <w:color w:val="000000"/>
          <w:sz w:val="22"/>
          <w:szCs w:val="22"/>
        </w:rPr>
      </w:pPr>
      <w:r w:rsidRPr="004A4C02">
        <w:rPr>
          <w:rFonts w:asciiTheme="majorHAnsi" w:eastAsia="Times New Roman" w:hAnsiTheme="majorHAnsi"/>
          <w:i/>
          <w:iCs/>
          <w:color w:val="000000"/>
          <w:sz w:val="22"/>
          <w:szCs w:val="22"/>
        </w:rPr>
        <w:t xml:space="preserve">E </w:t>
      </w:r>
      <w:r w:rsidRPr="004A4C02">
        <w:rPr>
          <w:rFonts w:asciiTheme="majorHAnsi" w:eastAsia="Times New Roman" w:hAnsiTheme="majorHAnsi"/>
          <w:color w:val="000000"/>
          <w:sz w:val="22"/>
          <w:szCs w:val="22"/>
        </w:rPr>
        <w:t xml:space="preserve">= </w:t>
      </w:r>
      <w:r w:rsidRPr="004A4C02">
        <w:rPr>
          <w:rFonts w:asciiTheme="majorHAnsi" w:eastAsia="Times New Roman" w:hAnsiTheme="majorHAnsi"/>
          <w:i/>
          <w:color w:val="000000"/>
          <w:sz w:val="22"/>
          <w:szCs w:val="22"/>
        </w:rPr>
        <w:t>K</w:t>
      </w:r>
      <w:r w:rsidRPr="004A4C02">
        <w:rPr>
          <w:rFonts w:asciiTheme="majorHAnsi" w:eastAsia="Times New Roman" w:hAnsiTheme="majorHAnsi"/>
          <w:color w:val="000000"/>
          <w:sz w:val="22"/>
          <w:szCs w:val="22"/>
        </w:rPr>
        <w:t xml:space="preserve"> </w:t>
      </w:r>
      <w:r w:rsidRPr="004A4C02">
        <w:rPr>
          <w:rFonts w:asciiTheme="majorHAnsi" w:eastAsia="Times New Roman" w:hAnsiTheme="majorHAnsi"/>
          <w:i/>
          <w:iCs/>
          <w:color w:val="000000"/>
          <w:sz w:val="22"/>
          <w:szCs w:val="22"/>
        </w:rPr>
        <w:t>+ T</w:t>
      </w:r>
    </w:p>
    <w:p w:rsidR="004A4C02" w:rsidRPr="004A4C02" w:rsidRDefault="004A4C02" w:rsidP="004A4C02">
      <w:pPr>
        <w:shd w:val="clear" w:color="auto" w:fill="FFFFFF"/>
        <w:spacing w:line="276" w:lineRule="auto"/>
        <w:ind w:firstLine="284"/>
        <w:jc w:val="center"/>
        <w:rPr>
          <w:rFonts w:asciiTheme="majorHAnsi" w:eastAsia="Times New Roman" w:hAnsiTheme="majorHAnsi"/>
          <w:color w:val="000000"/>
          <w:sz w:val="22"/>
          <w:szCs w:val="22"/>
        </w:rPr>
      </w:pPr>
    </w:p>
    <w:p w:rsidR="004A4C02" w:rsidRDefault="004A4C02" w:rsidP="004A4C02">
      <w:pPr>
        <w:shd w:val="clear" w:color="auto" w:fill="FFFFFF"/>
        <w:spacing w:line="276" w:lineRule="auto"/>
        <w:ind w:firstLine="284"/>
        <w:jc w:val="both"/>
        <w:rPr>
          <w:rFonts w:asciiTheme="majorHAnsi" w:eastAsia="Times New Roman" w:hAnsiTheme="majorHAnsi"/>
          <w:color w:val="000000" w:themeColor="text1"/>
          <w:sz w:val="22"/>
          <w:szCs w:val="22"/>
        </w:rPr>
      </w:pPr>
      <w:r w:rsidRPr="004A4C02">
        <w:rPr>
          <w:rFonts w:asciiTheme="majorHAnsi" w:eastAsia="Times New Roman" w:hAnsiTheme="majorHAnsi"/>
          <w:iCs/>
          <w:color w:val="000000"/>
          <w:sz w:val="22"/>
          <w:szCs w:val="22"/>
        </w:rPr>
        <w:t xml:space="preserve">2. </w:t>
      </w:r>
      <w:r w:rsidRPr="004A4C02">
        <w:rPr>
          <w:rFonts w:asciiTheme="majorHAnsi" w:eastAsia="Times New Roman" w:hAnsiTheme="majorHAnsi"/>
          <w:color w:val="000000"/>
          <w:sz w:val="22"/>
          <w:szCs w:val="22"/>
        </w:rPr>
        <w:t xml:space="preserve">Pasiūlymo kainos (K) balai </w:t>
      </w:r>
      <w:r w:rsidRPr="004A4C02">
        <w:rPr>
          <w:rFonts w:asciiTheme="majorHAnsi" w:eastAsia="Times New Roman" w:hAnsiTheme="majorHAnsi"/>
          <w:color w:val="000000" w:themeColor="text1"/>
          <w:sz w:val="22"/>
          <w:szCs w:val="22"/>
        </w:rPr>
        <w:t>apskaičiuojami mažiausios pasiūlytos kainos (K</w:t>
      </w:r>
      <w:r w:rsidRPr="004A4C02">
        <w:rPr>
          <w:rFonts w:asciiTheme="majorHAnsi" w:eastAsia="Times New Roman" w:hAnsiTheme="majorHAnsi"/>
          <w:color w:val="000000" w:themeColor="text1"/>
          <w:sz w:val="22"/>
          <w:szCs w:val="22"/>
          <w:vertAlign w:val="subscript"/>
        </w:rPr>
        <w:t>min</w:t>
      </w:r>
      <w:r w:rsidRPr="004A4C02">
        <w:rPr>
          <w:rFonts w:asciiTheme="majorHAnsi" w:eastAsia="Times New Roman" w:hAnsiTheme="majorHAnsi"/>
          <w:color w:val="000000" w:themeColor="text1"/>
          <w:sz w:val="22"/>
          <w:szCs w:val="22"/>
        </w:rPr>
        <w:t>) ir vertinamo pasiūlymo kainos (K</w:t>
      </w:r>
      <w:r w:rsidRPr="004A4C02">
        <w:rPr>
          <w:rFonts w:asciiTheme="majorHAnsi" w:eastAsia="Times New Roman" w:hAnsiTheme="majorHAnsi"/>
          <w:color w:val="000000" w:themeColor="text1"/>
          <w:sz w:val="22"/>
          <w:szCs w:val="22"/>
          <w:vertAlign w:val="subscript"/>
        </w:rPr>
        <w:t>v</w:t>
      </w:r>
      <w:r w:rsidRPr="004A4C02">
        <w:rPr>
          <w:rFonts w:asciiTheme="majorHAnsi" w:eastAsia="Times New Roman" w:hAnsiTheme="majorHAnsi"/>
          <w:color w:val="000000" w:themeColor="text1"/>
          <w:sz w:val="22"/>
          <w:szCs w:val="22"/>
        </w:rPr>
        <w:t>) santykį padauginant iš kainos lyginamojo svorio (X):</w:t>
      </w:r>
    </w:p>
    <w:p w:rsidR="008A429B" w:rsidRPr="008A429B" w:rsidRDefault="008A429B" w:rsidP="004A4C02">
      <w:pPr>
        <w:shd w:val="clear" w:color="auto" w:fill="FFFFFF"/>
        <w:spacing w:line="276" w:lineRule="auto"/>
        <w:ind w:firstLine="284"/>
        <w:jc w:val="both"/>
        <w:rPr>
          <w:rFonts w:asciiTheme="majorHAnsi" w:eastAsia="Times New Roman" w:hAnsiTheme="majorHAnsi"/>
          <w:color w:val="000000" w:themeColor="text1"/>
          <w:sz w:val="22"/>
          <w:szCs w:val="22"/>
        </w:rPr>
      </w:pPr>
    </w:p>
    <w:p w:rsidR="004A4C02" w:rsidRPr="004A4C02" w:rsidRDefault="004A4C02" w:rsidP="004A4C02">
      <w:pPr>
        <w:spacing w:line="276" w:lineRule="auto"/>
        <w:ind w:firstLine="284"/>
        <w:jc w:val="center"/>
        <w:rPr>
          <w:rFonts w:asciiTheme="majorHAnsi" w:eastAsia="Times New Roman" w:hAnsiTheme="majorHAnsi"/>
          <w:color w:val="000000" w:themeColor="text1"/>
          <w:sz w:val="22"/>
          <w:szCs w:val="22"/>
        </w:rPr>
      </w:pPr>
      <m:oMathPara>
        <m:oMath>
          <m:r>
            <w:rPr>
              <w:rFonts w:ascii="Cambria Math" w:eastAsia="Times New Roman" w:hAnsi="Cambria Math"/>
              <w:color w:val="000000" w:themeColor="text1"/>
              <w:sz w:val="22"/>
              <w:szCs w:val="22"/>
            </w:rPr>
            <m:t>K=</m:t>
          </m:r>
          <m:f>
            <m:fPr>
              <m:ctrlPr>
                <w:rPr>
                  <w:rFonts w:ascii="Cambria Math" w:eastAsia="Times New Roman" w:hAnsi="Cambria Math"/>
                  <w:color w:val="000000" w:themeColor="text1"/>
                  <w:sz w:val="22"/>
                  <w:szCs w:val="22"/>
                </w:rPr>
              </m:ctrlPr>
            </m:fPr>
            <m:num>
              <m:sSub>
                <m:sSubPr>
                  <m:ctrlPr>
                    <w:rPr>
                      <w:rFonts w:ascii="Cambria Math" w:eastAsia="Times New Roman" w:hAnsi="Cambria Math"/>
                      <w:i/>
                      <w:color w:val="000000" w:themeColor="text1"/>
                      <w:sz w:val="22"/>
                      <w:szCs w:val="22"/>
                    </w:rPr>
                  </m:ctrlPr>
                </m:sSubPr>
                <m:e>
                  <m:r>
                    <w:rPr>
                      <w:rFonts w:ascii="Cambria Math" w:eastAsia="Times New Roman" w:hAnsi="Cambria Math"/>
                      <w:color w:val="000000" w:themeColor="text1"/>
                      <w:sz w:val="22"/>
                      <w:szCs w:val="22"/>
                    </w:rPr>
                    <m:t>K</m:t>
                  </m:r>
                </m:e>
                <m:sub>
                  <m:r>
                    <w:rPr>
                      <w:rFonts w:ascii="Cambria Math" w:eastAsia="Times New Roman" w:hAnsi="Cambria Math"/>
                      <w:color w:val="000000" w:themeColor="text1"/>
                      <w:sz w:val="22"/>
                      <w:szCs w:val="22"/>
                    </w:rPr>
                    <m:t>min</m:t>
                  </m:r>
                </m:sub>
              </m:sSub>
            </m:num>
            <m:den>
              <m:sSub>
                <m:sSubPr>
                  <m:ctrlPr>
                    <w:rPr>
                      <w:rFonts w:ascii="Cambria Math" w:eastAsia="Times New Roman" w:hAnsi="Cambria Math"/>
                      <w:i/>
                      <w:color w:val="000000" w:themeColor="text1"/>
                      <w:sz w:val="22"/>
                      <w:szCs w:val="22"/>
                    </w:rPr>
                  </m:ctrlPr>
                </m:sSubPr>
                <m:e>
                  <m:r>
                    <w:rPr>
                      <w:rFonts w:ascii="Cambria Math" w:eastAsia="Times New Roman" w:hAnsi="Cambria Math"/>
                      <w:color w:val="000000" w:themeColor="text1"/>
                      <w:sz w:val="22"/>
                      <w:szCs w:val="22"/>
                    </w:rPr>
                    <m:t>K</m:t>
                  </m:r>
                </m:e>
                <m:sub>
                  <m:r>
                    <w:rPr>
                      <w:rFonts w:ascii="Cambria Math" w:eastAsia="Times New Roman" w:hAnsi="Cambria Math"/>
                      <w:color w:val="000000" w:themeColor="text1"/>
                      <w:sz w:val="22"/>
                      <w:szCs w:val="22"/>
                    </w:rPr>
                    <m:t>v</m:t>
                  </m:r>
                </m:sub>
              </m:sSub>
            </m:den>
          </m:f>
          <m:r>
            <w:rPr>
              <w:rFonts w:ascii="Cambria Math" w:eastAsia="Times New Roman" w:hAnsi="Cambria Math"/>
              <w:color w:val="000000" w:themeColor="text1"/>
              <w:sz w:val="22"/>
              <w:szCs w:val="22"/>
            </w:rPr>
            <m:t xml:space="preserve"> ×X</m:t>
          </m:r>
        </m:oMath>
      </m:oMathPara>
    </w:p>
    <w:p w:rsidR="004A4C02" w:rsidRPr="004A4C02" w:rsidRDefault="004A4C02" w:rsidP="004A4C02">
      <w:pPr>
        <w:spacing w:line="276" w:lineRule="auto"/>
        <w:ind w:firstLine="284"/>
        <w:jc w:val="center"/>
        <w:rPr>
          <w:rFonts w:asciiTheme="majorHAnsi" w:eastAsia="Times New Roman" w:hAnsiTheme="majorHAnsi"/>
          <w:color w:val="000000" w:themeColor="text1"/>
          <w:sz w:val="22"/>
          <w:szCs w:val="22"/>
        </w:rPr>
      </w:pPr>
    </w:p>
    <w:p w:rsidR="004A4C02" w:rsidRPr="004A4C02" w:rsidRDefault="004A4C02" w:rsidP="004A4C02">
      <w:pPr>
        <w:spacing w:line="276" w:lineRule="auto"/>
        <w:ind w:firstLine="284"/>
        <w:jc w:val="both"/>
        <w:rPr>
          <w:rFonts w:asciiTheme="majorHAnsi" w:eastAsia="Times New Roman" w:hAnsiTheme="majorHAnsi"/>
          <w:color w:val="000000" w:themeColor="text1"/>
          <w:sz w:val="22"/>
          <w:szCs w:val="22"/>
        </w:rPr>
      </w:pPr>
      <w:r w:rsidRPr="004A4C02">
        <w:rPr>
          <w:rFonts w:asciiTheme="majorHAnsi" w:eastAsia="Times New Roman" w:hAnsiTheme="majorHAnsi"/>
          <w:color w:val="000000" w:themeColor="text1"/>
          <w:sz w:val="22"/>
          <w:szCs w:val="22"/>
        </w:rPr>
        <w:t>3. Siūlomo objekto T</w:t>
      </w:r>
      <w:r w:rsidRPr="004A4C02">
        <w:rPr>
          <w:rFonts w:asciiTheme="majorHAnsi" w:eastAsia="Times New Roman" w:hAnsiTheme="majorHAnsi"/>
          <w:color w:val="000000" w:themeColor="text1"/>
          <w:sz w:val="22"/>
          <w:szCs w:val="22"/>
          <w:vertAlign w:val="subscript"/>
        </w:rPr>
        <w:t>i</w:t>
      </w:r>
      <w:r w:rsidRPr="004A4C02">
        <w:rPr>
          <w:rFonts w:asciiTheme="majorHAnsi" w:eastAsia="Times New Roman" w:hAnsiTheme="majorHAnsi"/>
          <w:color w:val="000000" w:themeColor="text1"/>
          <w:sz w:val="22"/>
          <w:szCs w:val="22"/>
        </w:rPr>
        <w:t xml:space="preserve"> techninis parametras aprašomas statiniu vertinimo būdu ir neturi skaitinių išraiškų (yra arba nėra), todėl parametro įvertinimas apskaičiuojamas taip:</w:t>
      </w:r>
    </w:p>
    <w:p w:rsidR="004A4C02" w:rsidRPr="004A4C02" w:rsidRDefault="004A4C02" w:rsidP="004A4C02">
      <w:pPr>
        <w:spacing w:line="276" w:lineRule="auto"/>
        <w:ind w:firstLine="284"/>
        <w:jc w:val="both"/>
        <w:rPr>
          <w:rFonts w:asciiTheme="majorHAnsi" w:eastAsia="Times New Roman" w:hAnsiTheme="majorHAnsi"/>
          <w:color w:val="000000"/>
          <w:sz w:val="22"/>
          <w:szCs w:val="22"/>
          <w:lang w:val="it-IT"/>
        </w:rPr>
      </w:pPr>
      <w:r w:rsidRPr="004A4C02">
        <w:rPr>
          <w:rFonts w:asciiTheme="majorHAnsi" w:eastAsia="Times New Roman" w:hAnsiTheme="majorHAnsi"/>
          <w:color w:val="000000" w:themeColor="text1"/>
          <w:sz w:val="22"/>
          <w:szCs w:val="22"/>
          <w:lang w:val="it-IT"/>
        </w:rPr>
        <w:t xml:space="preserve">Jei siūlomas objektas turi nurodytą pranašumą: </w:t>
      </w:r>
      <w:r w:rsidRPr="004A4C02">
        <w:rPr>
          <w:rFonts w:asciiTheme="majorHAnsi" w:eastAsia="Times New Roman" w:hAnsiTheme="majorHAnsi"/>
          <w:i/>
          <w:color w:val="000000" w:themeColor="text1"/>
          <w:sz w:val="22"/>
          <w:szCs w:val="22"/>
          <w:lang w:val="it-IT"/>
        </w:rPr>
        <w:t>T</w:t>
      </w:r>
      <w:r w:rsidRPr="004A4C02">
        <w:rPr>
          <w:rFonts w:asciiTheme="majorHAnsi" w:eastAsia="Times New Roman" w:hAnsiTheme="majorHAnsi"/>
          <w:i/>
          <w:color w:val="000000" w:themeColor="text1"/>
          <w:sz w:val="22"/>
          <w:szCs w:val="22"/>
          <w:vertAlign w:val="subscript"/>
          <w:lang w:val="it-IT"/>
        </w:rPr>
        <w:t>i</w:t>
      </w:r>
      <w:r w:rsidRPr="004A4C02">
        <w:rPr>
          <w:rFonts w:asciiTheme="majorHAnsi" w:eastAsia="Times New Roman" w:hAnsiTheme="majorHAnsi"/>
          <w:i/>
          <w:color w:val="000000" w:themeColor="text1"/>
          <w:sz w:val="22"/>
          <w:szCs w:val="22"/>
          <w:lang w:val="it-IT"/>
        </w:rPr>
        <w:t xml:space="preserve"> = L</w:t>
      </w:r>
      <w:r w:rsidRPr="004A4C02">
        <w:rPr>
          <w:rFonts w:asciiTheme="majorHAnsi" w:eastAsia="Times New Roman" w:hAnsiTheme="majorHAnsi"/>
          <w:i/>
          <w:color w:val="000000" w:themeColor="text1"/>
          <w:sz w:val="22"/>
          <w:szCs w:val="22"/>
          <w:vertAlign w:val="subscript"/>
          <w:lang w:val="it-IT"/>
        </w:rPr>
        <w:t>i</w:t>
      </w:r>
      <w:r w:rsidRPr="004A4C02">
        <w:rPr>
          <w:rFonts w:asciiTheme="majorHAnsi" w:eastAsia="Times New Roman" w:hAnsiTheme="majorHAnsi"/>
          <w:i/>
          <w:color w:val="000000"/>
          <w:sz w:val="22"/>
          <w:szCs w:val="22"/>
          <w:lang w:val="it-IT"/>
        </w:rPr>
        <w:t>;</w:t>
      </w:r>
    </w:p>
    <w:p w:rsidR="004A4C02" w:rsidRPr="004A4C02" w:rsidRDefault="004A4C02" w:rsidP="004A4C02">
      <w:pPr>
        <w:spacing w:line="276" w:lineRule="auto"/>
        <w:ind w:firstLine="284"/>
        <w:rPr>
          <w:rFonts w:asciiTheme="majorHAnsi" w:eastAsia="Times New Roman" w:hAnsiTheme="majorHAnsi"/>
          <w:i/>
          <w:color w:val="000000"/>
          <w:sz w:val="22"/>
          <w:szCs w:val="22"/>
          <w:lang w:val="it-IT"/>
        </w:rPr>
      </w:pPr>
      <w:r w:rsidRPr="004A4C02">
        <w:rPr>
          <w:rFonts w:asciiTheme="majorHAnsi" w:eastAsia="Times New Roman" w:hAnsiTheme="majorHAnsi"/>
          <w:color w:val="000000"/>
          <w:sz w:val="22"/>
          <w:szCs w:val="22"/>
          <w:lang w:val="it-IT"/>
        </w:rPr>
        <w:t xml:space="preserve">Jei siūlomas objektas neturi nurodyto pranašumo: </w:t>
      </w:r>
      <w:r w:rsidRPr="004A4C02">
        <w:rPr>
          <w:rFonts w:asciiTheme="majorHAnsi" w:eastAsia="Times New Roman" w:hAnsiTheme="majorHAnsi"/>
          <w:i/>
          <w:color w:val="000000"/>
          <w:sz w:val="22"/>
          <w:szCs w:val="22"/>
          <w:lang w:val="it-IT"/>
        </w:rPr>
        <w:t>T</w:t>
      </w:r>
      <w:r w:rsidRPr="004A4C02">
        <w:rPr>
          <w:rFonts w:asciiTheme="majorHAnsi" w:eastAsia="Times New Roman" w:hAnsiTheme="majorHAnsi"/>
          <w:i/>
          <w:color w:val="000000"/>
          <w:sz w:val="22"/>
          <w:szCs w:val="22"/>
          <w:vertAlign w:val="subscript"/>
          <w:lang w:val="it-IT"/>
        </w:rPr>
        <w:t>i</w:t>
      </w:r>
      <w:r w:rsidRPr="004A4C02">
        <w:rPr>
          <w:rFonts w:asciiTheme="majorHAnsi" w:eastAsia="Times New Roman" w:hAnsiTheme="majorHAnsi"/>
          <w:i/>
          <w:color w:val="000000"/>
          <w:sz w:val="22"/>
          <w:szCs w:val="22"/>
          <w:lang w:val="it-IT"/>
        </w:rPr>
        <w:t xml:space="preserve"> = 0.</w:t>
      </w:r>
    </w:p>
    <w:p w:rsidR="004A4C02" w:rsidRPr="004A4C02" w:rsidRDefault="004A4C02" w:rsidP="004A4C02">
      <w:pPr>
        <w:spacing w:line="276" w:lineRule="auto"/>
        <w:ind w:firstLine="284"/>
        <w:rPr>
          <w:rFonts w:asciiTheme="majorHAnsi" w:eastAsia="Times New Roman" w:hAnsiTheme="majorHAnsi"/>
          <w:i/>
          <w:color w:val="000000"/>
          <w:sz w:val="22"/>
          <w:szCs w:val="22"/>
          <w:lang w:val="it-IT"/>
        </w:rPr>
      </w:pPr>
    </w:p>
    <w:p w:rsidR="004A4C02" w:rsidRPr="004A4C02" w:rsidRDefault="004A4C02" w:rsidP="004A4C02">
      <w:pPr>
        <w:spacing w:line="276" w:lineRule="auto"/>
        <w:ind w:firstLine="284"/>
        <w:rPr>
          <w:rFonts w:asciiTheme="majorHAnsi" w:eastAsia="Times New Roman" w:hAnsiTheme="majorHAnsi"/>
          <w:color w:val="000000" w:themeColor="text1"/>
          <w:sz w:val="22"/>
          <w:szCs w:val="22"/>
          <w:lang w:val="it-IT"/>
        </w:rPr>
      </w:pPr>
    </w:p>
    <w:p w:rsidR="004A4C02" w:rsidRPr="004A4C02" w:rsidRDefault="004A4C02" w:rsidP="004A4C02">
      <w:pPr>
        <w:spacing w:line="276" w:lineRule="auto"/>
        <w:ind w:firstLine="284"/>
        <w:rPr>
          <w:rFonts w:asciiTheme="majorHAnsi" w:eastAsia="Times New Roman" w:hAnsiTheme="majorHAnsi"/>
          <w:color w:val="000000" w:themeColor="text1"/>
          <w:sz w:val="22"/>
          <w:szCs w:val="22"/>
          <w:lang w:val="it-IT"/>
        </w:rPr>
      </w:pPr>
      <w:r w:rsidRPr="004A4C02">
        <w:rPr>
          <w:rFonts w:asciiTheme="majorHAnsi" w:eastAsia="Times New Roman" w:hAnsiTheme="majorHAnsi"/>
          <w:color w:val="000000" w:themeColor="text1"/>
          <w:sz w:val="22"/>
          <w:szCs w:val="22"/>
          <w:lang w:val="it-IT"/>
        </w:rPr>
        <w:t>Techninių pranašumų (T) balai apskaičiuojami visų techninių kriterijų parametrų įvertinimų sumą padauginant iš techninių pranašumų lyginamojo svorio (Y):</w:t>
      </w:r>
    </w:p>
    <w:p w:rsidR="004A4C02" w:rsidRPr="004A4C02" w:rsidRDefault="004A4C02" w:rsidP="004A4C02">
      <w:pPr>
        <w:shd w:val="clear" w:color="auto" w:fill="FFFFFF"/>
        <w:spacing w:line="276" w:lineRule="auto"/>
        <w:ind w:firstLine="284"/>
        <w:jc w:val="both"/>
        <w:rPr>
          <w:rFonts w:asciiTheme="majorHAnsi" w:eastAsia="Times New Roman" w:hAnsiTheme="majorHAnsi"/>
          <w:color w:val="000000" w:themeColor="text1"/>
          <w:sz w:val="22"/>
          <w:szCs w:val="22"/>
          <w:lang w:val="it-IT"/>
        </w:rPr>
      </w:pPr>
    </w:p>
    <w:p w:rsidR="004A4C02" w:rsidRPr="004A4C02" w:rsidRDefault="004A4C02" w:rsidP="004A4C02">
      <w:pPr>
        <w:spacing w:line="276" w:lineRule="auto"/>
        <w:ind w:firstLine="284"/>
        <w:jc w:val="center"/>
        <w:rPr>
          <w:rFonts w:asciiTheme="majorHAnsi" w:eastAsia="Times New Roman" w:hAnsiTheme="majorHAnsi"/>
          <w:color w:val="000000" w:themeColor="text1"/>
          <w:sz w:val="22"/>
          <w:szCs w:val="22"/>
        </w:rPr>
      </w:pPr>
      <m:oMathPara>
        <m:oMath>
          <m:r>
            <w:rPr>
              <w:rFonts w:ascii="Cambria Math" w:eastAsiaTheme="minorHAnsi" w:hAnsi="Cambria Math"/>
              <w:color w:val="000000" w:themeColor="text1"/>
              <w:sz w:val="22"/>
              <w:szCs w:val="22"/>
            </w:rPr>
            <m:t xml:space="preserve">T= </m:t>
          </m:r>
          <m:d>
            <m:dPr>
              <m:ctrlPr>
                <w:rPr>
                  <w:rFonts w:ascii="Cambria Math" w:eastAsiaTheme="minorHAnsi" w:hAnsi="Cambria Math"/>
                  <w:i/>
                  <w:color w:val="000000" w:themeColor="text1"/>
                  <w:sz w:val="22"/>
                  <w:szCs w:val="22"/>
                </w:rPr>
              </m:ctrlPr>
            </m:dPr>
            <m:e>
              <m:nary>
                <m:naryPr>
                  <m:chr m:val="∑"/>
                  <m:grow m:val="1"/>
                  <m:ctrlPr>
                    <w:rPr>
                      <w:rFonts w:ascii="Cambria Math" w:eastAsiaTheme="minorHAnsi" w:hAnsi="Cambria Math"/>
                      <w:color w:val="000000" w:themeColor="text1"/>
                      <w:sz w:val="22"/>
                      <w:szCs w:val="22"/>
                    </w:rPr>
                  </m:ctrlPr>
                </m:naryPr>
                <m:sub>
                  <m:r>
                    <w:rPr>
                      <w:rFonts w:ascii="Cambria Math" w:eastAsia="Cambria Math" w:hAnsi="Cambria Math"/>
                      <w:color w:val="000000" w:themeColor="text1"/>
                      <w:sz w:val="22"/>
                      <w:szCs w:val="22"/>
                    </w:rPr>
                    <m:t>i=1</m:t>
                  </m:r>
                </m:sub>
                <m:sup>
                  <m:r>
                    <w:rPr>
                      <w:rFonts w:ascii="Cambria Math" w:eastAsiaTheme="minorHAnsi" w:hAnsi="Cambria Math"/>
                      <w:color w:val="000000" w:themeColor="text1"/>
                      <w:sz w:val="22"/>
                      <w:szCs w:val="22"/>
                    </w:rPr>
                    <m:t>5</m:t>
                  </m:r>
                </m:sup>
                <m:e>
                  <m:sSub>
                    <m:sSubPr>
                      <m:ctrlPr>
                        <w:rPr>
                          <w:rFonts w:ascii="Cambria Math" w:eastAsiaTheme="minorHAnsi" w:hAnsi="Cambria Math"/>
                          <w:i/>
                          <w:color w:val="000000" w:themeColor="text1"/>
                          <w:sz w:val="22"/>
                          <w:szCs w:val="22"/>
                        </w:rPr>
                      </m:ctrlPr>
                    </m:sSubPr>
                    <m:e>
                      <m:r>
                        <w:rPr>
                          <w:rFonts w:ascii="Cambria Math" w:eastAsiaTheme="minorHAnsi" w:hAnsi="Cambria Math"/>
                          <w:color w:val="000000" w:themeColor="text1"/>
                          <w:sz w:val="22"/>
                          <w:szCs w:val="22"/>
                        </w:rPr>
                        <m:t>T</m:t>
                      </m:r>
                    </m:e>
                    <m:sub>
                      <m:r>
                        <w:rPr>
                          <w:rFonts w:ascii="Cambria Math" w:eastAsiaTheme="minorHAnsi" w:hAnsi="Cambria Math"/>
                          <w:color w:val="000000" w:themeColor="text1"/>
                          <w:sz w:val="22"/>
                          <w:szCs w:val="22"/>
                        </w:rPr>
                        <m:t>i</m:t>
                      </m:r>
                    </m:sub>
                  </m:sSub>
                </m:e>
              </m:nary>
            </m:e>
          </m:d>
          <m:r>
            <w:rPr>
              <w:rFonts w:ascii="Cambria Math" w:eastAsiaTheme="minorHAnsi" w:hAnsi="Cambria Math"/>
              <w:color w:val="000000" w:themeColor="text1"/>
              <w:sz w:val="22"/>
              <w:szCs w:val="22"/>
            </w:rPr>
            <m:t>×Y</m:t>
          </m:r>
        </m:oMath>
      </m:oMathPara>
    </w:p>
    <w:p w:rsidR="004A4C02" w:rsidRPr="004A4C02" w:rsidRDefault="004A4C02" w:rsidP="004A4C02">
      <w:pPr>
        <w:spacing w:line="276" w:lineRule="auto"/>
        <w:ind w:firstLine="284"/>
        <w:jc w:val="center"/>
        <w:rPr>
          <w:rFonts w:asciiTheme="majorHAnsi" w:eastAsia="Times New Roman" w:hAnsiTheme="majorHAnsi"/>
          <w:color w:val="000000" w:themeColor="text1"/>
          <w:sz w:val="22"/>
          <w:szCs w:val="22"/>
        </w:rPr>
      </w:pPr>
    </w:p>
    <w:p w:rsidR="004A4C02" w:rsidRPr="004A4C02" w:rsidRDefault="008A429B" w:rsidP="008A429B">
      <w:pPr>
        <w:pStyle w:val="Skaiiai2lygis"/>
        <w:numPr>
          <w:ilvl w:val="0"/>
          <w:numId w:val="0"/>
        </w:numPr>
        <w:spacing w:line="276" w:lineRule="auto"/>
        <w:ind w:firstLine="1134"/>
        <w:rPr>
          <w:rFonts w:asciiTheme="majorHAnsi" w:eastAsia="Calibri" w:hAnsiTheme="majorHAnsi"/>
          <w:color w:val="000000" w:themeColor="text1"/>
          <w:lang w:val="lt-LT"/>
        </w:rPr>
      </w:pPr>
      <w:r>
        <w:rPr>
          <w:rFonts w:asciiTheme="majorHAnsi" w:hAnsiTheme="majorHAnsi"/>
          <w:color w:val="000000" w:themeColor="text1"/>
          <w:lang w:bidi="hi-IN"/>
        </w:rPr>
        <w:t xml:space="preserve">14.3. </w:t>
      </w:r>
      <w:r w:rsidR="004A4C02" w:rsidRPr="004A4C02">
        <w:rPr>
          <w:rFonts w:asciiTheme="majorHAnsi" w:hAnsiTheme="majorHAnsi"/>
          <w:color w:val="000000" w:themeColor="text1"/>
          <w:lang w:bidi="hi-IN"/>
        </w:rPr>
        <w:t>Laimėjusiu Pasiūlymu bus pripažintas Pasiūlymas, atitinkantis visus Pirkimo dokumentuose nustatytus reikalavimus ir kurio ekonominio naudingumo kriterijus bus didžiausias.</w:t>
      </w:r>
    </w:p>
    <w:p w:rsidR="004A4C02" w:rsidRPr="004A4C02" w:rsidRDefault="008A429B" w:rsidP="008A429B">
      <w:pPr>
        <w:pStyle w:val="Skaiiai2lygis"/>
        <w:numPr>
          <w:ilvl w:val="0"/>
          <w:numId w:val="0"/>
        </w:numPr>
        <w:spacing w:line="276" w:lineRule="auto"/>
        <w:ind w:firstLine="1134"/>
        <w:rPr>
          <w:rFonts w:asciiTheme="majorHAnsi" w:hAnsiTheme="majorHAnsi"/>
          <w:color w:val="000000" w:themeColor="text1"/>
          <w:lang w:val="lt-LT"/>
        </w:rPr>
      </w:pPr>
      <w:r>
        <w:rPr>
          <w:rFonts w:asciiTheme="majorHAnsi" w:eastAsia="Calibri" w:hAnsiTheme="majorHAnsi"/>
          <w:color w:val="000000" w:themeColor="text1"/>
          <w:lang w:val="lt-LT"/>
        </w:rPr>
        <w:t xml:space="preserve">14.4. </w:t>
      </w:r>
      <w:r w:rsidR="004A4C02" w:rsidRPr="004A4C02">
        <w:rPr>
          <w:rFonts w:asciiTheme="majorHAnsi" w:eastAsia="Calibri" w:hAnsiTheme="majorHAnsi"/>
          <w:color w:val="000000" w:themeColor="text1"/>
          <w:lang w:val="lt-LT"/>
        </w:rPr>
        <w:t>Tais atvejais, kai kelių dalyvių pasiūlymų ekonominis naudingumas yra vienodas, nustatant pasiūlymų eilę, pirmesnis į šią eilę įrašomas dalyvis, kurio pasiūlymas pateiktas anksčiausiai.</w:t>
      </w:r>
      <w:r w:rsidR="004A4C02" w:rsidRPr="004A4C02">
        <w:rPr>
          <w:rFonts w:asciiTheme="majorHAnsi" w:hAnsiTheme="majorHAnsi"/>
          <w:color w:val="000000" w:themeColor="text1"/>
          <w:lang w:val="lt-LT"/>
        </w:rPr>
        <w:t xml:space="preserve"> </w:t>
      </w:r>
    </w:p>
    <w:p w:rsidR="008A429B" w:rsidRPr="00853566" w:rsidRDefault="008A429B" w:rsidP="008A429B">
      <w:pPr>
        <w:pStyle w:val="Body2"/>
        <w:ind w:firstLine="1134"/>
        <w:rPr>
          <w:rFonts w:asciiTheme="majorHAnsi" w:hAnsiTheme="majorHAnsi" w:cs="Times New Roman"/>
          <w:lang w:val="lt-LT"/>
        </w:rPr>
      </w:pPr>
      <w:r w:rsidRPr="00853566">
        <w:rPr>
          <w:rFonts w:asciiTheme="majorHAnsi" w:hAnsiTheme="majorHAnsi" w:cs="Times New Roman"/>
          <w:lang w:val="lt-LT"/>
        </w:rPr>
        <w:t>14.</w:t>
      </w:r>
      <w:r>
        <w:rPr>
          <w:rFonts w:asciiTheme="majorHAnsi" w:hAnsiTheme="majorHAnsi" w:cs="Times New Roman"/>
          <w:lang w:val="lt-LT"/>
        </w:rPr>
        <w:t>5</w:t>
      </w:r>
      <w:r w:rsidRPr="00853566">
        <w:rPr>
          <w:rFonts w:asciiTheme="majorHAnsi" w:hAnsiTheme="majorHAnsi"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4A4C02" w:rsidRPr="004A4C02" w:rsidRDefault="004A4C02" w:rsidP="004A4C02">
      <w:pPr>
        <w:pStyle w:val="Skaiiai2lygis"/>
        <w:numPr>
          <w:ilvl w:val="0"/>
          <w:numId w:val="0"/>
        </w:numPr>
        <w:spacing w:line="276" w:lineRule="auto"/>
        <w:ind w:firstLine="284"/>
        <w:rPr>
          <w:rFonts w:asciiTheme="majorHAnsi" w:hAnsiTheme="majorHAnsi"/>
          <w:color w:val="000000" w:themeColor="text1"/>
          <w:sz w:val="24"/>
          <w:szCs w:val="24"/>
          <w:lang w:val="lt-LT"/>
        </w:rPr>
      </w:pPr>
    </w:p>
    <w:p w:rsidR="004A4C02" w:rsidRPr="004A4C02" w:rsidRDefault="004A4C02" w:rsidP="00F5373C">
      <w:pPr>
        <w:pStyle w:val="Body2"/>
        <w:ind w:firstLine="1276"/>
        <w:rPr>
          <w:rFonts w:asciiTheme="majorHAnsi" w:hAnsiTheme="majorHAnsi" w:cs="Times New Roman"/>
          <w:sz w:val="24"/>
          <w:szCs w:val="24"/>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lastRenderedPageBreak/>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525890">
        <w:rPr>
          <w:rFonts w:asciiTheme="majorHAnsi" w:hAnsiTheme="majorHAnsi" w:cs="Times New Roman"/>
          <w:lang w:val="lt-LT"/>
        </w:rPr>
        <w:t>bei priima sprendim</w:t>
      </w:r>
      <w:r w:rsidRPr="00700B84">
        <w:rPr>
          <w:rFonts w:asciiTheme="majorHAnsi" w:hAnsiTheme="majorHAnsi" w:cs="Times New Roman"/>
          <w:lang w:val="lt-LT"/>
        </w:rPr>
        <w:t>ą dė</w:t>
      </w:r>
      <w:r w:rsidRPr="00525890">
        <w:rPr>
          <w:rFonts w:asciiTheme="majorHAnsi" w:hAnsiTheme="majorHAnsi" w:cs="Times New Roman"/>
          <w:lang w:val="lt-LT"/>
        </w:rPr>
        <w:t>l sutarties sudarymo.</w:t>
      </w:r>
    </w:p>
    <w:p w:rsidR="007C7568" w:rsidRPr="00525890"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525890">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525890">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525890">
        <w:rPr>
          <w:rFonts w:asciiTheme="majorHAnsi" w:hAnsiTheme="majorHAnsi" w:cs="Times New Roman"/>
          <w:lang w:val="it-IT"/>
        </w:rPr>
        <w:t xml:space="preserve">į šią </w:t>
      </w:r>
      <w:r w:rsidRPr="00700B84">
        <w:rPr>
          <w:rFonts w:asciiTheme="majorHAnsi" w:hAnsiTheme="majorHAnsi" w:cs="Times New Roman"/>
          <w:lang w:val="de-DE"/>
        </w:rPr>
        <w:t>eil</w:t>
      </w:r>
      <w:r w:rsidRPr="00525890">
        <w:rPr>
          <w:rFonts w:asciiTheme="majorHAnsi" w:hAnsiTheme="majorHAnsi" w:cs="Times New Roman"/>
          <w:lang w:val="it-IT"/>
        </w:rPr>
        <w:t>ę įraš</w:t>
      </w:r>
      <w:r w:rsidRPr="00700B84">
        <w:rPr>
          <w:rFonts w:asciiTheme="majorHAnsi" w:hAnsiTheme="majorHAnsi" w:cs="Times New Roman"/>
          <w:lang w:val="nl-NL"/>
        </w:rPr>
        <w:t>omas tiek</w:t>
      </w:r>
      <w:r w:rsidRPr="00525890">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525890">
        <w:rPr>
          <w:rFonts w:asciiTheme="majorHAnsi" w:hAnsiTheme="majorHAnsi" w:cs="Times New Roman"/>
          <w:lang w:val="it-IT"/>
        </w:rPr>
        <w:t>šių pirkimo dokumentų nustatyta tvarka. Jei pirkimas vykdomas dalimis, laimėtojas nustatomas kiekvienai pirkimo daliai atskirai.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15.4. Tais atvejais, kai pasiūlymą pateikė</w:t>
      </w:r>
      <w:r w:rsidR="00CC03D0" w:rsidRPr="00525890">
        <w:rPr>
          <w:rFonts w:asciiTheme="majorHAnsi" w:hAnsiTheme="majorHAnsi"/>
          <w:lang w:val="it-IT"/>
        </w:rPr>
        <w:t xml:space="preserve"> </w:t>
      </w:r>
      <w:r w:rsidR="00CC03D0" w:rsidRPr="00525890">
        <w:rPr>
          <w:rFonts w:asciiTheme="majorHAnsi" w:hAnsiTheme="majorHAnsi" w:cs="Times New Roman"/>
          <w:lang w:val="it-IT"/>
        </w:rPr>
        <w:t>arba įvertinus pasiūlymus liko</w:t>
      </w:r>
      <w:r w:rsidRPr="00525890">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525890">
        <w:rPr>
          <w:rFonts w:asciiTheme="majorHAnsi" w:hAnsiTheme="majorHAnsi" w:cs="Times New Roman"/>
          <w:lang w:val="it-IT"/>
        </w:rPr>
        <w:t>ė</w:t>
      </w:r>
      <w:r w:rsidRPr="00700B84">
        <w:rPr>
          <w:rFonts w:asciiTheme="majorHAnsi" w:hAnsiTheme="majorHAnsi" w:cs="Times New Roman"/>
          <w:lang w:val="es-ES_tradnl"/>
        </w:rPr>
        <w:t>jas,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525890">
        <w:rPr>
          <w:rFonts w:asciiTheme="majorHAnsi" w:hAnsiTheme="majorHAnsi" w:cs="Times New Roman"/>
          <w:lang w:val="it-IT"/>
        </w:rPr>
        <w:t>šių pirkimo dokumentų sąlygas.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525890">
        <w:rPr>
          <w:rFonts w:asciiTheme="majorHAnsi" w:hAnsiTheme="majorHAnsi" w:cs="Times New Roman"/>
          <w:lang w:val="it-IT"/>
        </w:rPr>
        <w:t>ė</w:t>
      </w:r>
      <w:r w:rsidRPr="00700B84">
        <w:rPr>
          <w:rFonts w:asciiTheme="majorHAnsi" w:hAnsiTheme="majorHAnsi" w:cs="Times New Roman"/>
          <w:lang w:val="es-ES_tradnl"/>
        </w:rPr>
        <w:t>s ir laim</w:t>
      </w:r>
      <w:r w:rsidRPr="00525890">
        <w:rPr>
          <w:rFonts w:asciiTheme="majorHAnsi" w:hAnsiTheme="majorHAnsi" w:cs="Times New Roman"/>
          <w:lang w:val="it-IT"/>
        </w:rPr>
        <w:t>ė</w:t>
      </w:r>
      <w:r w:rsidRPr="00700B84">
        <w:rPr>
          <w:rFonts w:asciiTheme="majorHAnsi" w:hAnsiTheme="majorHAnsi" w:cs="Times New Roman"/>
          <w:lang w:val="es-ES_tradnl"/>
        </w:rPr>
        <w:t>jusio pasi</w:t>
      </w:r>
      <w:r w:rsidRPr="00525890">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 xml:space="preserve">į, nedelsiant, bet ne vėliau kaip per </w:t>
      </w:r>
      <w:r w:rsidR="00CC03D0" w:rsidRPr="00525890">
        <w:rPr>
          <w:rFonts w:asciiTheme="majorHAnsi" w:hAnsiTheme="majorHAnsi" w:cs="Times New Roman"/>
          <w:lang w:val="it-IT"/>
        </w:rPr>
        <w:t xml:space="preserve">3 </w:t>
      </w:r>
      <w:r w:rsidRPr="00525890">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525890">
        <w:rPr>
          <w:rFonts w:asciiTheme="majorHAnsi" w:hAnsiTheme="majorHAnsi" w:cs="Times New Roman"/>
          <w:lang w:val="it-IT"/>
        </w:rPr>
        <w:t>štu CPV IS priemonė</w:t>
      </w:r>
      <w:r w:rsidRPr="00700B84">
        <w:rPr>
          <w:rFonts w:asciiTheme="majorHAnsi" w:hAnsiTheme="majorHAnsi" w:cs="Times New Roman"/>
          <w:lang w:val="fr-FR"/>
        </w:rPr>
        <w:t>mis prane</w:t>
      </w:r>
      <w:r w:rsidRPr="00525890">
        <w:rPr>
          <w:rFonts w:asciiTheme="majorHAnsi" w:hAnsiTheme="majorHAnsi" w:cs="Times New Roman"/>
          <w:lang w:val="it-IT"/>
        </w:rPr>
        <w:t>šama pasiū</w:t>
      </w:r>
      <w:r w:rsidRPr="00700B84">
        <w:rPr>
          <w:rFonts w:asciiTheme="majorHAnsi" w:hAnsiTheme="majorHAnsi" w:cs="Times New Roman"/>
          <w:lang w:val="nl-NL"/>
        </w:rPr>
        <w:t>lymus pateikusiems tiek</w:t>
      </w:r>
      <w:r w:rsidRPr="00525890">
        <w:rPr>
          <w:rFonts w:asciiTheme="majorHAnsi" w:hAnsiTheme="majorHAnsi" w:cs="Times New Roman"/>
          <w:lang w:val="it-IT"/>
        </w:rPr>
        <w:t>ėjams. Tiekė</w:t>
      </w:r>
      <w:r w:rsidRPr="00700B84">
        <w:rPr>
          <w:rFonts w:asciiTheme="majorHAnsi" w:hAnsiTheme="majorHAnsi" w:cs="Times New Roman"/>
          <w:lang w:val="de-DE"/>
        </w:rPr>
        <w:t>jams, kuri</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525890">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525890">
        <w:rPr>
          <w:rFonts w:asciiTheme="majorHAnsi" w:hAnsiTheme="majorHAnsi" w:cs="Times New Roman"/>
          <w:lang w:val="it-IT"/>
        </w:rPr>
        <w:t>ę ir laimė</w:t>
      </w:r>
      <w:r w:rsidRPr="00700B84">
        <w:rPr>
          <w:rFonts w:asciiTheme="majorHAnsi" w:hAnsiTheme="majorHAnsi" w:cs="Times New Roman"/>
          <w:lang w:val="es-ES_tradnl"/>
        </w:rPr>
        <w:t>jus</w:t>
      </w:r>
      <w:r w:rsidRPr="00525890">
        <w:rPr>
          <w:rFonts w:asciiTheme="majorHAnsi" w:hAnsiTheme="majorHAnsi" w:cs="Times New Roman"/>
          <w:lang w:val="it-IT"/>
        </w:rPr>
        <w:t xml:space="preserve">į </w:t>
      </w:r>
      <w:r w:rsidRPr="00700B84">
        <w:rPr>
          <w:rFonts w:asciiTheme="majorHAnsi" w:hAnsiTheme="majorHAnsi" w:cs="Times New Roman"/>
          <w:lang w:val="es-ES_tradnl"/>
        </w:rPr>
        <w:t>pasi</w:t>
      </w:r>
      <w:r w:rsidRPr="00525890">
        <w:rPr>
          <w:rFonts w:asciiTheme="majorHAnsi" w:hAnsiTheme="majorHAnsi" w:cs="Times New Roman"/>
          <w:lang w:val="it-IT"/>
        </w:rPr>
        <w:t>ūlymą</w:t>
      </w:r>
      <w:r w:rsidRPr="00700B84">
        <w:rPr>
          <w:rFonts w:asciiTheme="majorHAnsi" w:hAnsiTheme="majorHAnsi" w:cs="Times New Roman"/>
          <w:lang w:val="fr-FR"/>
        </w:rPr>
        <w:t>, ra</w:t>
      </w:r>
      <w:r w:rsidRPr="00525890">
        <w:rPr>
          <w:rFonts w:asciiTheme="majorHAnsi" w:hAnsiTheme="majorHAnsi" w:cs="Times New Roman"/>
          <w:lang w:val="it-IT"/>
        </w:rPr>
        <w:t>štu CVP IS priemonė</w:t>
      </w:r>
      <w:r w:rsidRPr="00700B84">
        <w:rPr>
          <w:rFonts w:asciiTheme="majorHAnsi" w:hAnsiTheme="majorHAnsi" w:cs="Times New Roman"/>
          <w:lang w:val="fr-FR"/>
        </w:rPr>
        <w:t>mis prane</w:t>
      </w:r>
      <w:r w:rsidRPr="00525890">
        <w:rPr>
          <w:rFonts w:asciiTheme="majorHAnsi" w:hAnsiTheme="majorHAnsi" w:cs="Times New Roman"/>
          <w:lang w:val="it-IT"/>
        </w:rPr>
        <w:t>š</w:t>
      </w:r>
      <w:r w:rsidRPr="00700B84">
        <w:rPr>
          <w:rFonts w:asciiTheme="majorHAnsi" w:hAnsiTheme="majorHAnsi" w:cs="Times New Roman"/>
          <w:lang w:val="pt-PT"/>
        </w:rPr>
        <w:t>ama ir apie j</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525890">
        <w:rPr>
          <w:rFonts w:asciiTheme="majorHAnsi" w:hAnsiTheme="majorHAnsi" w:cs="Times New Roman"/>
          <w:lang w:val="it-IT"/>
        </w:rPr>
        <w:t>ž</w:t>
      </w:r>
      <w:r w:rsidRPr="00700B84">
        <w:rPr>
          <w:rFonts w:asciiTheme="majorHAnsi" w:hAnsiTheme="majorHAnsi" w:cs="Times New Roman"/>
          <w:lang w:val="it-IT"/>
        </w:rPr>
        <w:t>astis. Jei bus nuspr</w:t>
      </w:r>
      <w:r w:rsidRPr="00525890">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525890">
        <w:rPr>
          <w:rFonts w:asciiTheme="majorHAnsi" w:hAnsiTheme="majorHAnsi" w:cs="Times New Roman"/>
          <w:lang w:val="it-IT"/>
        </w:rPr>
        <w:t>ėtame pranešime nurodomos tokio sprendimo priežastys.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525890">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525890">
        <w:rPr>
          <w:rFonts w:asciiTheme="majorHAnsi" w:hAnsiTheme="majorHAnsi" w:cs="Times New Roman"/>
          <w:lang w:val="it-IT"/>
        </w:rPr>
        <w:t xml:space="preserve">ų </w:t>
      </w:r>
      <w:r w:rsidRPr="00700B84">
        <w:rPr>
          <w:rFonts w:asciiTheme="majorHAnsi" w:hAnsiTheme="majorHAnsi" w:cs="Times New Roman"/>
          <w:lang w:val="it-IT"/>
        </w:rPr>
        <w:t>nuo prane</w:t>
      </w:r>
      <w:r w:rsidRPr="00525890">
        <w:rPr>
          <w:rFonts w:asciiTheme="majorHAnsi" w:hAnsiTheme="majorHAnsi" w:cs="Times New Roman"/>
          <w:lang w:val="it-IT"/>
        </w:rPr>
        <w:t>š</w:t>
      </w:r>
      <w:r w:rsidRPr="00700B84">
        <w:rPr>
          <w:rFonts w:asciiTheme="majorHAnsi" w:hAnsiTheme="majorHAnsi" w:cs="Times New Roman"/>
          <w:lang w:val="it-IT"/>
        </w:rPr>
        <w:t>imo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į iš</w:t>
      </w:r>
      <w:r w:rsidRPr="00700B84">
        <w:rPr>
          <w:rFonts w:asciiTheme="majorHAnsi" w:hAnsiTheme="majorHAnsi" w:cs="Times New Roman"/>
          <w:lang w:val="it-IT"/>
        </w:rPr>
        <w:t>siuntimo i</w:t>
      </w:r>
      <w:r w:rsidRPr="00525890">
        <w:rPr>
          <w:rFonts w:asciiTheme="majorHAnsi" w:hAnsiTheme="majorHAnsi" w:cs="Times New Roman"/>
          <w:lang w:val="it-IT"/>
        </w:rPr>
        <w:t xml:space="preserve">š </w:t>
      </w:r>
      <w:r w:rsidRPr="00700B84">
        <w:rPr>
          <w:rFonts w:asciiTheme="majorHAnsi" w:hAnsiTheme="majorHAnsi" w:cs="Times New Roman"/>
          <w:lang w:val="nl-NL"/>
        </w:rPr>
        <w:t>perkan</w:t>
      </w:r>
      <w:r w:rsidRPr="00525890">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525890">
        <w:rPr>
          <w:rFonts w:asciiTheme="majorHAnsi" w:hAnsiTheme="majorHAnsi" w:cs="Times New Roman"/>
          <w:lang w:val="it-IT"/>
        </w:rPr>
        <w:t>šskyrus atvejus, kai vienintelis suinteresuotas dalyvis yra tas, su kuriuo sudaroma pirkimo sutartis.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15.7. </w:t>
      </w:r>
      <w:r w:rsidR="00CC03D0" w:rsidRPr="00525890">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9"/>
    <w:bookmarkEnd w:id="40"/>
    <w:bookmarkEnd w:id="41"/>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525890">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525890">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525890"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525890">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525890">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525890">
        <w:rPr>
          <w:rFonts w:asciiTheme="majorHAnsi" w:hAnsiTheme="majorHAnsi" w:cs="Times New Roman"/>
          <w:lang w:val="lt-LT"/>
        </w:rPr>
        <w:t>čiosios organizacijos priimtus sprendimus.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525890">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525890">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525890">
        <w:rPr>
          <w:rFonts w:asciiTheme="majorHAnsi" w:hAnsiTheme="majorHAnsi" w:cs="Times New Roman"/>
          <w:lang w:val="lt-LT"/>
        </w:rPr>
        <w:t>ų pakartotinai dė</w:t>
      </w:r>
      <w:r w:rsidRPr="00700B84">
        <w:rPr>
          <w:rFonts w:asciiTheme="majorHAnsi" w:hAnsiTheme="majorHAnsi" w:cs="Times New Roman"/>
          <w:lang w:val="nl-NL"/>
        </w:rPr>
        <w:t>l to paties perkan</w:t>
      </w:r>
      <w:r w:rsidRPr="00525890">
        <w:rPr>
          <w:rFonts w:asciiTheme="majorHAnsi" w:hAnsiTheme="majorHAnsi" w:cs="Times New Roman"/>
          <w:lang w:val="lt-LT"/>
        </w:rPr>
        <w:t>čiosios organizacijos priimto sprendimo arba atlikto veiksmo.</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lastRenderedPageBreak/>
        <w:tab/>
        <w:t xml:space="preserve">16.4. </w:t>
      </w:r>
      <w:r w:rsidR="00CC03D0" w:rsidRPr="00525890">
        <w:rPr>
          <w:rFonts w:asciiTheme="majorHAnsi" w:hAnsiTheme="majorHAnsi" w:cs="Times New Roman"/>
          <w:lang w:val="lt-LT"/>
        </w:rPr>
        <w:t xml:space="preserve">Perkančioji organizacija, gavusi pretenziją, sudaro pirkimo sutartį ar preliminariąją sutartį ne anksčiau kaip po </w:t>
      </w:r>
      <w:r w:rsidR="00E719D9" w:rsidRPr="00525890">
        <w:rPr>
          <w:rFonts w:asciiTheme="majorHAnsi" w:hAnsiTheme="majorHAnsi" w:cs="Times New Roman"/>
          <w:lang w:val="lt-LT"/>
        </w:rPr>
        <w:t>5</w:t>
      </w:r>
      <w:r w:rsidR="00CC03D0" w:rsidRPr="00525890">
        <w:rPr>
          <w:rFonts w:asciiTheme="majorHAnsi" w:hAnsiTheme="majorHAnsi" w:cs="Times New Roman"/>
          <w:lang w:val="lt-LT"/>
        </w:rPr>
        <w:t xml:space="preserve"> </w:t>
      </w:r>
      <w:r w:rsidR="00E719D9" w:rsidRPr="00525890">
        <w:rPr>
          <w:rFonts w:asciiTheme="majorHAnsi" w:hAnsiTheme="majorHAnsi" w:cs="Times New Roman"/>
          <w:lang w:val="lt-LT"/>
        </w:rPr>
        <w:t xml:space="preserve">darbo </w:t>
      </w:r>
      <w:r w:rsidR="00CC03D0" w:rsidRPr="00525890">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525890">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525890">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525890">
        <w:rPr>
          <w:rFonts w:asciiTheme="majorHAnsi" w:hAnsiTheme="majorHAnsi" w:cs="Times New Roman"/>
          <w:lang w:val="lt-LT"/>
        </w:rPr>
        <w:t>ir suinteresuotiems dalyviams ne vėliau kaip per 6 darbo dienas nuo pretenzijos gavimo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525890">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525890">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525890">
        <w:rPr>
          <w:rFonts w:asciiTheme="majorHAnsi" w:hAnsiTheme="majorHAnsi" w:cs="Times New Roman"/>
          <w:lang w:val="lt-LT"/>
        </w:rPr>
        <w:t xml:space="preserve">ą </w:t>
      </w:r>
      <w:r w:rsidRPr="00700B84">
        <w:rPr>
          <w:rFonts w:asciiTheme="majorHAnsi" w:hAnsiTheme="majorHAnsi" w:cs="Times New Roman"/>
          <w:lang w:val="nl-NL"/>
        </w:rPr>
        <w:t>perkan</w:t>
      </w:r>
      <w:r w:rsidRPr="00525890">
        <w:rPr>
          <w:rFonts w:asciiTheme="majorHAnsi" w:hAnsiTheme="majorHAnsi" w:cs="Times New Roman"/>
          <w:lang w:val="lt-LT"/>
        </w:rPr>
        <w:t>čioji organizacija turė</w:t>
      </w:r>
      <w:r w:rsidRPr="00700B84">
        <w:rPr>
          <w:rFonts w:asciiTheme="majorHAnsi" w:hAnsiTheme="majorHAnsi" w:cs="Times New Roman"/>
          <w:lang w:val="es-ES_tradnl"/>
        </w:rPr>
        <w:t>jo ra</w:t>
      </w:r>
      <w:r w:rsidRPr="00525890">
        <w:rPr>
          <w:rFonts w:asciiTheme="majorHAnsi" w:hAnsiTheme="majorHAnsi" w:cs="Times New Roman"/>
          <w:lang w:val="lt-LT"/>
        </w:rPr>
        <w:t>štu pranešti apie priimtą sprendimą pretenziją pateikusiam tiekėjui, suinteresuotiems kandidatams ir suinteresuotiems dalyviams.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525890">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525890">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525890">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525890">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525890">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525890">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25890">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525890">
        <w:rPr>
          <w:rFonts w:asciiTheme="majorHAnsi" w:hAnsiTheme="majorHAnsi" w:cs="Times New Roman"/>
          <w:lang w:val="nl-NL"/>
        </w:rPr>
        <w:t>kimo teismui prat</w:t>
      </w:r>
      <w:r w:rsidRPr="00700B84">
        <w:rPr>
          <w:rFonts w:asciiTheme="majorHAnsi" w:hAnsiTheme="majorHAnsi" w:cs="Times New Roman"/>
          <w:lang w:val="nl-NL"/>
        </w:rPr>
        <w:t>ę</w:t>
      </w:r>
      <w:r w:rsidRPr="00525890">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525890">
        <w:rPr>
          <w:rFonts w:asciiTheme="majorHAnsi" w:hAnsiTheme="majorHAnsi" w:cs="Times New Roman"/>
          <w:lang w:val="nl-NL"/>
        </w:rPr>
        <w:t>prat</w:t>
      </w:r>
      <w:r w:rsidRPr="00700B84">
        <w:rPr>
          <w:rFonts w:asciiTheme="majorHAnsi" w:hAnsiTheme="majorHAnsi" w:cs="Times New Roman"/>
          <w:lang w:val="nl-NL"/>
        </w:rPr>
        <w:t>ę</w:t>
      </w:r>
      <w:r w:rsidRPr="00525890">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525890">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525890">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525890"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25890">
        <w:rPr>
          <w:rFonts w:asciiTheme="majorHAnsi" w:hAnsiTheme="majorHAnsi"/>
          <w:color w:val="000000"/>
          <w:sz w:val="22"/>
          <w:szCs w:val="22"/>
        </w:rPr>
        <w:t>2</w:t>
      </w:r>
      <w:r w:rsidR="00525890" w:rsidRPr="00F5373C">
        <w:rPr>
          <w:rFonts w:asciiTheme="majorHAnsi" w:hAnsiTheme="majorHAnsi"/>
          <w:color w:val="000000"/>
          <w:sz w:val="22"/>
          <w:szCs w:val="22"/>
        </w:rPr>
        <w:t xml:space="preserve"> priedas) </w:t>
      </w:r>
      <w:r w:rsidR="00F5373C" w:rsidRPr="00F5373C">
        <w:rPr>
          <w:rFonts w:asciiTheme="majorHAnsi" w:hAnsiTheme="majorHAnsi"/>
          <w:color w:val="000000"/>
          <w:sz w:val="22"/>
          <w:szCs w:val="22"/>
        </w:rPr>
        <w:t>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525890"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525890">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667D63" w:rsidTr="007C7568">
        <w:tc>
          <w:tcPr>
            <w:tcW w:w="2937" w:type="dxa"/>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020316" w:rsidRPr="00020316">
        <w:rPr>
          <w:rFonts w:asciiTheme="majorHAnsi" w:hAnsiTheme="majorHAnsi"/>
          <w:b/>
          <w:sz w:val="22"/>
          <w:szCs w:val="22"/>
        </w:rPr>
        <w:t>REAGENT</w:t>
      </w:r>
      <w:r w:rsidR="00020316">
        <w:rPr>
          <w:rFonts w:asciiTheme="majorHAnsi" w:hAnsiTheme="majorHAnsi"/>
          <w:b/>
          <w:sz w:val="22"/>
          <w:szCs w:val="22"/>
        </w:rPr>
        <w:t>Ų</w:t>
      </w:r>
      <w:r w:rsidR="00020316" w:rsidRPr="00020316">
        <w:rPr>
          <w:rFonts w:asciiTheme="majorHAnsi" w:hAnsiTheme="majorHAnsi"/>
          <w:b/>
          <w:sz w:val="22"/>
          <w:szCs w:val="22"/>
        </w:rPr>
        <w:t xml:space="preserve"> IR PAPILDOM</w:t>
      </w:r>
      <w:r w:rsidR="00020316">
        <w:rPr>
          <w:rFonts w:asciiTheme="majorHAnsi" w:hAnsiTheme="majorHAnsi"/>
          <w:b/>
          <w:sz w:val="22"/>
          <w:szCs w:val="22"/>
        </w:rPr>
        <w:t>Ų</w:t>
      </w:r>
      <w:r w:rsidR="00020316" w:rsidRPr="00020316">
        <w:rPr>
          <w:rFonts w:asciiTheme="majorHAnsi" w:hAnsiTheme="majorHAnsi"/>
          <w:b/>
          <w:sz w:val="22"/>
          <w:szCs w:val="22"/>
        </w:rPr>
        <w:t xml:space="preserve"> PRIEMON</w:t>
      </w:r>
      <w:r w:rsidR="00020316">
        <w:rPr>
          <w:rFonts w:asciiTheme="majorHAnsi" w:hAnsiTheme="majorHAnsi"/>
          <w:b/>
          <w:sz w:val="22"/>
          <w:szCs w:val="22"/>
        </w:rPr>
        <w:t>IŲ</w:t>
      </w:r>
      <w:r w:rsidR="00020316" w:rsidRPr="00020316">
        <w:rPr>
          <w:rFonts w:asciiTheme="majorHAnsi" w:hAnsiTheme="majorHAnsi"/>
          <w:b/>
          <w:sz w:val="22"/>
          <w:szCs w:val="22"/>
        </w:rPr>
        <w:t xml:space="preserve"> </w:t>
      </w:r>
      <w:r w:rsidR="003A43C4" w:rsidRPr="003A43C4">
        <w:rPr>
          <w:rFonts w:asciiTheme="majorHAnsi" w:hAnsiTheme="majorHAnsi"/>
          <w:b/>
          <w:sz w:val="22"/>
          <w:szCs w:val="22"/>
        </w:rPr>
        <w:t xml:space="preserve">TULŽIES RŪGŠČIŲ </w:t>
      </w:r>
      <w:proofErr w:type="gramStart"/>
      <w:r w:rsidR="003A43C4" w:rsidRPr="003A43C4">
        <w:rPr>
          <w:rFonts w:asciiTheme="majorHAnsi" w:hAnsiTheme="majorHAnsi"/>
          <w:b/>
          <w:sz w:val="22"/>
          <w:szCs w:val="22"/>
        </w:rPr>
        <w:t>KONCENTRACIJOS  NUSTATYMUI</w:t>
      </w:r>
      <w:proofErr w:type="gramEnd"/>
      <w:r w:rsidR="003A43C4" w:rsidRPr="003A43C4">
        <w:rPr>
          <w:rFonts w:asciiTheme="majorHAnsi" w:hAnsiTheme="majorHAnsi"/>
          <w:b/>
          <w:sz w:val="22"/>
          <w:szCs w:val="22"/>
        </w:rPr>
        <w:t xml:space="preserve"> KARTU SU ĮRANGOS ĮSIGIJIMU PANAUDOS BŪDU</w:t>
      </w:r>
      <w:r w:rsidR="003A43C4">
        <w:rPr>
          <w:rFonts w:asciiTheme="majorHAnsi" w:hAnsiTheme="majorHAnsi"/>
          <w:b/>
          <w:sz w:val="22"/>
          <w:szCs w:val="22"/>
        </w:rPr>
        <w:t xml:space="preserve">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525890" w:rsidRDefault="007C7568" w:rsidP="007C7568">
      <w:pPr>
        <w:shd w:val="clear" w:color="auto" w:fill="FFFFFF"/>
        <w:jc w:val="center"/>
        <w:rPr>
          <w:rFonts w:asciiTheme="majorHAnsi" w:hAnsiTheme="majorHAnsi"/>
          <w:b/>
          <w:bCs/>
          <w:sz w:val="22"/>
          <w:szCs w:val="22"/>
          <w:lang w:val="it-IT"/>
        </w:rPr>
      </w:pPr>
      <w:r w:rsidRPr="00525890">
        <w:rPr>
          <w:rFonts w:asciiTheme="majorHAnsi" w:hAnsiTheme="majorHAnsi"/>
          <w:sz w:val="22"/>
          <w:szCs w:val="22"/>
          <w:lang w:val="it-IT"/>
        </w:rPr>
        <w:t>____________Nr.______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(Data)</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_____________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(Sudarymo vieta)</w:t>
      </w:r>
    </w:p>
    <w:p w:rsidR="007C7568" w:rsidRPr="00525890" w:rsidRDefault="007C7568" w:rsidP="007C7568">
      <w:pPr>
        <w:jc w:val="right"/>
        <w:rPr>
          <w:rFonts w:asciiTheme="majorHAnsi" w:hAnsiTheme="majorHAnsi"/>
          <w:sz w:val="22"/>
          <w:szCs w:val="22"/>
          <w:lang w:val="it-IT"/>
        </w:rPr>
      </w:pP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t>1 lentelė</w:t>
      </w:r>
    </w:p>
    <w:p w:rsidR="007C7568" w:rsidRPr="00525890" w:rsidRDefault="007C7568" w:rsidP="007C7568">
      <w:pPr>
        <w:jc w:val="center"/>
        <w:rPr>
          <w:rFonts w:asciiTheme="majorHAnsi" w:hAnsiTheme="majorHAnsi"/>
          <w:b/>
          <w:sz w:val="22"/>
          <w:szCs w:val="22"/>
          <w:lang w:val="it-IT"/>
        </w:rPr>
      </w:pPr>
      <w:r w:rsidRPr="00525890">
        <w:rPr>
          <w:rFonts w:asciiTheme="majorHAnsi" w:hAnsiTheme="majorHAnsi"/>
          <w:b/>
          <w:sz w:val="22"/>
          <w:szCs w:val="22"/>
          <w:lang w:val="it-IT"/>
        </w:rPr>
        <w:t>TIEKĖJO REKVIZITAI</w:t>
      </w:r>
    </w:p>
    <w:p w:rsidR="007C7568" w:rsidRPr="00525890"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667D6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i/>
                <w:sz w:val="22"/>
                <w:szCs w:val="22"/>
                <w:lang w:val="it-IT"/>
              </w:rPr>
            </w:pPr>
            <w:r w:rsidRPr="00525890">
              <w:rPr>
                <w:rFonts w:asciiTheme="majorHAnsi" w:hAnsiTheme="majorHAnsi"/>
                <w:sz w:val="22"/>
                <w:szCs w:val="22"/>
                <w:lang w:val="it-IT"/>
              </w:rPr>
              <w:t xml:space="preserve">Tiekėjo pavadinimas </w:t>
            </w:r>
            <w:r w:rsidRPr="00525890">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p w:rsidR="007C7568" w:rsidRPr="00525890" w:rsidRDefault="007C7568" w:rsidP="007C7568">
            <w:pPr>
              <w:jc w:val="both"/>
              <w:rPr>
                <w:rFonts w:asciiTheme="majorHAnsi" w:hAnsiTheme="majorHAnsi"/>
                <w:sz w:val="22"/>
                <w:szCs w:val="22"/>
                <w:lang w:val="it-IT"/>
              </w:rPr>
            </w:pPr>
          </w:p>
        </w:tc>
      </w:tr>
      <w:tr w:rsidR="007C7568" w:rsidRPr="00667D6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Tiekėjo adresas</w:t>
            </w:r>
            <w:r w:rsidRPr="00525890">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667D6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667D6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667D6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667D6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 xml:space="preserve">Už sutarties vykdymą atsakingo asmens </w:t>
            </w:r>
            <w:r w:rsidRPr="00937026">
              <w:rPr>
                <w:rFonts w:asciiTheme="majorHAnsi" w:hAnsiTheme="majorHAnsi"/>
                <w:b/>
                <w:sz w:val="22"/>
                <w:szCs w:val="22"/>
                <w:lang w:val="it-IT"/>
              </w:rPr>
              <w:t>pareigos, vardas, pavardė</w:t>
            </w:r>
            <w:r w:rsidR="0079052B" w:rsidRPr="00937026">
              <w:rPr>
                <w:rFonts w:asciiTheme="majorHAnsi" w:hAnsiTheme="majorHAnsi"/>
                <w:b/>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52589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25890">
        <w:rPr>
          <w:rFonts w:asciiTheme="majorHAnsi" w:eastAsia="Calibri" w:hAnsiTheme="majorHAnsi"/>
          <w:sz w:val="22"/>
          <w:szCs w:val="22"/>
          <w:bdr w:val="none" w:sz="0" w:space="0" w:color="auto"/>
          <w:lang w:val="lt-LT"/>
        </w:rPr>
        <w:tab/>
        <w:t>P</w:t>
      </w:r>
      <w:r w:rsidRPr="00525890">
        <w:rPr>
          <w:rFonts w:asciiTheme="majorHAnsi" w:eastAsia="Calibri" w:hAnsiTheme="majorHAnsi"/>
          <w:spacing w:val="-4"/>
          <w:sz w:val="22"/>
          <w:szCs w:val="22"/>
          <w:bdr w:val="none" w:sz="0" w:space="0" w:color="auto"/>
          <w:lang w:val="lt-LT"/>
        </w:rPr>
        <w:t>atvirtiname, kad pasiūlyme pateiktos dokumentų skaitmeninės</w:t>
      </w:r>
      <w:r w:rsidRPr="00525890">
        <w:rPr>
          <w:rFonts w:asciiTheme="majorHAnsi" w:eastAsia="Calibri" w:hAnsiTheme="majorHAnsi"/>
          <w:sz w:val="22"/>
          <w:szCs w:val="22"/>
          <w:bdr w:val="none" w:sz="0" w:space="0" w:color="auto"/>
          <w:lang w:val="lt-LT"/>
        </w:rPr>
        <w:t xml:space="preserve"> kopijos ir elektroninėmis priemonėmis pateikti duomenys yra tikri.</w:t>
      </w:r>
      <w:r w:rsidRPr="00525890">
        <w:rPr>
          <w:rFonts w:asciiTheme="majorHAnsi" w:eastAsia="Calibri" w:hAnsiTheme="majorHAnsi"/>
          <w:b/>
          <w:sz w:val="22"/>
          <w:szCs w:val="22"/>
          <w:bdr w:val="none" w:sz="0" w:space="0" w:color="auto"/>
          <w:lang w:val="lt-LT"/>
        </w:rPr>
        <w:tab/>
      </w:r>
    </w:p>
    <w:p w:rsidR="00476F8E" w:rsidRPr="00525890"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 xml:space="preserve">Sutarties objekto dalies, </w:t>
            </w:r>
            <w:r w:rsidRPr="003A43C4">
              <w:rPr>
                <w:rFonts w:asciiTheme="majorHAnsi" w:hAnsiTheme="majorHAnsi"/>
                <w:b/>
                <w:bCs/>
                <w:color w:val="FF0000"/>
                <w:sz w:val="22"/>
                <w:szCs w:val="22"/>
              </w:rPr>
              <w:t>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667D63"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525890">
              <w:rPr>
                <w:rFonts w:asciiTheme="majorHAnsi" w:hAnsiTheme="majorHAnsi"/>
                <w:sz w:val="22"/>
                <w:szCs w:val="22"/>
                <w:lang w:val="lt-LT"/>
              </w:rPr>
              <w:t xml:space="preserve">                                                                                                                                                         </w:t>
            </w:r>
            <w:r w:rsidRPr="00F562E4">
              <w:rPr>
                <w:rFonts w:asciiTheme="majorHAnsi" w:hAnsiTheme="majorHAnsi"/>
                <w:sz w:val="22"/>
                <w:szCs w:val="22"/>
              </w:rPr>
              <w:t>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937026" w:rsidRPr="00937026">
              <w:rPr>
                <w:rFonts w:asciiTheme="majorHAnsi" w:eastAsia="Times New Roman" w:hAnsiTheme="majorHAnsi"/>
                <w:i/>
                <w:sz w:val="22"/>
                <w:szCs w:val="22"/>
                <w:bdr w:val="none" w:sz="0" w:space="0" w:color="auto"/>
                <w:lang w:val="lt-LT"/>
              </w:rPr>
              <w:t>Reikalavimų atitikimas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525890" w:rsidRDefault="00476F8E" w:rsidP="008F6BE5">
            <w:pPr>
              <w:ind w:right="138" w:firstLine="720"/>
              <w:jc w:val="right"/>
              <w:rPr>
                <w:rFonts w:asciiTheme="majorHAnsi" w:hAnsiTheme="majorHAnsi"/>
                <w:sz w:val="22"/>
                <w:szCs w:val="22"/>
                <w:lang w:val="lt-LT"/>
              </w:rPr>
            </w:pPr>
          </w:p>
          <w:p w:rsidR="008F6BE5" w:rsidRPr="00525890" w:rsidRDefault="008F6BE5" w:rsidP="008F6BE5">
            <w:pPr>
              <w:ind w:right="-18" w:firstLine="720"/>
              <w:jc w:val="right"/>
              <w:rPr>
                <w:rFonts w:asciiTheme="majorHAnsi" w:hAnsiTheme="majorHAnsi"/>
                <w:sz w:val="22"/>
                <w:szCs w:val="22"/>
                <w:lang w:val="lt-LT"/>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F6BE5" w:rsidRDefault="008F6BE5" w:rsidP="007C7568">
            <w:pPr>
              <w:ind w:right="318" w:firstLine="720"/>
              <w:jc w:val="right"/>
              <w:rPr>
                <w:rFonts w:asciiTheme="majorHAnsi" w:hAnsiTheme="majorHAnsi"/>
                <w:sz w:val="22"/>
                <w:szCs w:val="22"/>
              </w:rPr>
            </w:pPr>
          </w:p>
          <w:p w:rsidR="008A429B" w:rsidRDefault="008A429B" w:rsidP="008A429B">
            <w:pPr>
              <w:ind w:right="-18" w:firstLine="720"/>
              <w:jc w:val="center"/>
              <w:rPr>
                <w:rFonts w:asciiTheme="majorHAnsi" w:hAnsiTheme="majorHAnsi"/>
                <w:b/>
                <w:sz w:val="22"/>
                <w:szCs w:val="22"/>
              </w:rPr>
            </w:pPr>
            <w:r w:rsidRPr="008D1C53">
              <w:rPr>
                <w:rFonts w:asciiTheme="majorHAnsi" w:hAnsiTheme="majorHAnsi"/>
                <w:b/>
                <w:sz w:val="22"/>
                <w:szCs w:val="22"/>
              </w:rPr>
              <w:t>PASIŪLYMO KOKYBINIAI PARAMETRAI</w:t>
            </w:r>
          </w:p>
          <w:p w:rsidR="008A429B" w:rsidRDefault="008A429B" w:rsidP="00CC03D0">
            <w:pPr>
              <w:ind w:right="-108" w:firstLine="720"/>
              <w:jc w:val="center"/>
              <w:rPr>
                <w:rFonts w:asciiTheme="majorHAnsi" w:hAnsiTheme="majorHAnsi"/>
                <w:b/>
                <w:sz w:val="22"/>
                <w:szCs w:val="22"/>
              </w:rPr>
            </w:pPr>
          </w:p>
          <w:tbl>
            <w:tblP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4112"/>
              <w:gridCol w:w="1700"/>
              <w:gridCol w:w="1559"/>
              <w:gridCol w:w="1710"/>
            </w:tblGrid>
            <w:tr w:rsidR="008A429B" w:rsidRPr="008D1C53" w:rsidTr="008A429B">
              <w:trPr>
                <w:trHeight w:val="534"/>
              </w:trPr>
              <w:tc>
                <w:tcPr>
                  <w:tcW w:w="305" w:type="pct"/>
                  <w:vMerge w:val="restart"/>
                  <w:shd w:val="clear" w:color="auto" w:fill="auto"/>
                  <w:vAlign w:val="center"/>
                </w:tcPr>
                <w:p w:rsidR="008A429B" w:rsidRPr="008D1C53" w:rsidRDefault="008A429B" w:rsidP="008A429B">
                  <w:pPr>
                    <w:jc w:val="center"/>
                    <w:rPr>
                      <w:rFonts w:asciiTheme="majorHAnsi" w:hAnsiTheme="majorHAnsi"/>
                      <w:bCs/>
                      <w:sz w:val="22"/>
                      <w:szCs w:val="22"/>
                    </w:rPr>
                  </w:pPr>
                  <w:r w:rsidRPr="008D1C53">
                    <w:rPr>
                      <w:rFonts w:asciiTheme="majorHAnsi" w:hAnsiTheme="majorHAnsi"/>
                      <w:b/>
                      <w:sz w:val="22"/>
                      <w:szCs w:val="22"/>
                    </w:rPr>
                    <w:t>Eil. Nr.</w:t>
                  </w:r>
                </w:p>
              </w:tc>
              <w:tc>
                <w:tcPr>
                  <w:tcW w:w="2126" w:type="pct"/>
                  <w:vMerge w:val="restart"/>
                  <w:shd w:val="clear" w:color="auto" w:fill="auto"/>
                  <w:vAlign w:val="center"/>
                </w:tcPr>
                <w:p w:rsidR="008A429B" w:rsidRPr="008D1C53" w:rsidRDefault="008A429B" w:rsidP="008A429B">
                  <w:pPr>
                    <w:jc w:val="center"/>
                    <w:rPr>
                      <w:rFonts w:asciiTheme="majorHAnsi" w:hAnsiTheme="majorHAnsi"/>
                      <w:bCs/>
                      <w:sz w:val="22"/>
                      <w:szCs w:val="22"/>
                    </w:rPr>
                  </w:pPr>
                  <w:r w:rsidRPr="008D1C53">
                    <w:rPr>
                      <w:rFonts w:asciiTheme="majorHAnsi" w:hAnsiTheme="majorHAnsi"/>
                      <w:b/>
                      <w:sz w:val="22"/>
                      <w:szCs w:val="22"/>
                    </w:rPr>
                    <w:t>Kriterijaus (T) parametrai</w:t>
                  </w:r>
                </w:p>
              </w:tc>
              <w:tc>
                <w:tcPr>
                  <w:tcW w:w="2569" w:type="pct"/>
                  <w:gridSpan w:val="3"/>
                  <w:vAlign w:val="center"/>
                </w:tcPr>
                <w:p w:rsidR="008A429B" w:rsidRPr="008D1C53" w:rsidRDefault="008A429B" w:rsidP="008A429B">
                  <w:pPr>
                    <w:widowControl w:val="0"/>
                    <w:suppressAutoHyphens/>
                    <w:snapToGrid w:val="0"/>
                    <w:jc w:val="center"/>
                    <w:rPr>
                      <w:rFonts w:asciiTheme="majorHAnsi" w:eastAsia="Andale Sans UI" w:hAnsiTheme="majorHAnsi"/>
                      <w:sz w:val="20"/>
                      <w:szCs w:val="20"/>
                      <w:lang w:eastAsia="zh-CN"/>
                    </w:rPr>
                  </w:pPr>
                  <w:r w:rsidRPr="008D1C53">
                    <w:rPr>
                      <w:rFonts w:asciiTheme="majorHAnsi" w:eastAsia="Andale Sans UI" w:hAnsiTheme="majorHAnsi"/>
                      <w:b/>
                      <w:bCs/>
                      <w:color w:val="000000"/>
                      <w:sz w:val="20"/>
                      <w:szCs w:val="20"/>
                      <w:lang w:eastAsia="zh-CN"/>
                    </w:rPr>
                    <w:t>Atitikimas kokybiniams reikalavimams.</w:t>
                  </w:r>
                </w:p>
                <w:p w:rsidR="008A429B" w:rsidRPr="008D1C53" w:rsidRDefault="008A429B" w:rsidP="008A429B">
                  <w:pPr>
                    <w:jc w:val="center"/>
                    <w:rPr>
                      <w:rFonts w:asciiTheme="majorHAnsi" w:hAnsiTheme="majorHAnsi"/>
                      <w:b/>
                      <w:sz w:val="22"/>
                      <w:szCs w:val="22"/>
                    </w:rPr>
                  </w:pPr>
                  <w:r w:rsidRPr="008D1C53">
                    <w:rPr>
                      <w:rFonts w:asciiTheme="majorHAnsi" w:eastAsia="Andale Sans UI" w:hAnsiTheme="majorHAnsi"/>
                      <w:b/>
                      <w:bCs/>
                      <w:color w:val="000000"/>
                      <w:sz w:val="20"/>
                      <w:szCs w:val="20"/>
                      <w:lang w:eastAsia="zh-CN"/>
                    </w:rPr>
                    <w:t>Nuoroda į pridedamus, prekės atitikimą charakteristikoms įrodančius, dokumentus (bukletų, techninių aprašų puslapių Nr.)</w:t>
                  </w:r>
                </w:p>
              </w:tc>
            </w:tr>
            <w:tr w:rsidR="008A429B" w:rsidRPr="008D1C53" w:rsidTr="008A429B">
              <w:trPr>
                <w:trHeight w:val="84"/>
              </w:trPr>
              <w:tc>
                <w:tcPr>
                  <w:tcW w:w="305" w:type="pct"/>
                  <w:vMerge/>
                  <w:shd w:val="clear" w:color="auto" w:fill="auto"/>
                  <w:vAlign w:val="center"/>
                </w:tcPr>
                <w:p w:rsidR="008A429B" w:rsidRPr="008D1C53" w:rsidRDefault="008A429B" w:rsidP="008A429B">
                  <w:pPr>
                    <w:jc w:val="center"/>
                    <w:rPr>
                      <w:rFonts w:asciiTheme="majorHAnsi" w:hAnsiTheme="majorHAnsi"/>
                      <w:b/>
                      <w:sz w:val="22"/>
                      <w:szCs w:val="22"/>
                    </w:rPr>
                  </w:pPr>
                </w:p>
              </w:tc>
              <w:tc>
                <w:tcPr>
                  <w:tcW w:w="2126" w:type="pct"/>
                  <w:vMerge/>
                  <w:shd w:val="clear" w:color="auto" w:fill="auto"/>
                  <w:vAlign w:val="center"/>
                </w:tcPr>
                <w:p w:rsidR="008A429B" w:rsidRPr="008D1C53" w:rsidRDefault="008A429B" w:rsidP="008A429B">
                  <w:pPr>
                    <w:jc w:val="center"/>
                    <w:rPr>
                      <w:rFonts w:asciiTheme="majorHAnsi" w:hAnsiTheme="majorHAnsi"/>
                      <w:b/>
                      <w:sz w:val="22"/>
                      <w:szCs w:val="22"/>
                    </w:rPr>
                  </w:pPr>
                </w:p>
              </w:tc>
              <w:tc>
                <w:tcPr>
                  <w:tcW w:w="879" w:type="pct"/>
                  <w:vMerge w:val="restart"/>
                  <w:vAlign w:val="center"/>
                </w:tcPr>
                <w:p w:rsidR="008A429B" w:rsidRPr="008D1C53" w:rsidRDefault="008A429B" w:rsidP="008A429B">
                  <w:pPr>
                    <w:jc w:val="center"/>
                    <w:rPr>
                      <w:rFonts w:asciiTheme="majorHAnsi" w:hAnsiTheme="majorHAnsi"/>
                      <w:sz w:val="22"/>
                      <w:szCs w:val="22"/>
                    </w:rPr>
                  </w:pPr>
                  <w:r w:rsidRPr="008D1C53">
                    <w:rPr>
                      <w:rFonts w:asciiTheme="majorHAnsi" w:hAnsiTheme="majorHAnsi"/>
                      <w:sz w:val="22"/>
                      <w:szCs w:val="22"/>
                    </w:rPr>
                    <w:t>Siūlomos prekės techniniai parametrai</w:t>
                  </w:r>
                </w:p>
              </w:tc>
              <w:tc>
                <w:tcPr>
                  <w:tcW w:w="1690" w:type="pct"/>
                  <w:gridSpan w:val="2"/>
                </w:tcPr>
                <w:p w:rsidR="008A429B" w:rsidRPr="008D1C53" w:rsidRDefault="008A429B" w:rsidP="008A429B">
                  <w:pPr>
                    <w:jc w:val="center"/>
                    <w:rPr>
                      <w:rFonts w:asciiTheme="majorHAnsi" w:hAnsiTheme="majorHAnsi"/>
                      <w:sz w:val="22"/>
                      <w:szCs w:val="22"/>
                    </w:rPr>
                  </w:pPr>
                  <w:r w:rsidRPr="008D1C53">
                    <w:rPr>
                      <w:rFonts w:asciiTheme="majorHAnsi" w:hAnsiTheme="majorHAnsi"/>
                      <w:bCs/>
                      <w:sz w:val="20"/>
                      <w:szCs w:val="20"/>
                    </w:rPr>
                    <w:t>Pasiūlymo dokumentai, patvirtinantys siūlomos prekės techninius parametrus</w:t>
                  </w:r>
                </w:p>
              </w:tc>
            </w:tr>
            <w:tr w:rsidR="008A429B" w:rsidRPr="008D1C53" w:rsidTr="008A429B">
              <w:trPr>
                <w:trHeight w:val="84"/>
              </w:trPr>
              <w:tc>
                <w:tcPr>
                  <w:tcW w:w="305" w:type="pct"/>
                  <w:vMerge/>
                  <w:shd w:val="clear" w:color="auto" w:fill="auto"/>
                  <w:vAlign w:val="center"/>
                </w:tcPr>
                <w:p w:rsidR="008A429B" w:rsidRPr="008D1C53" w:rsidRDefault="008A429B" w:rsidP="008A429B">
                  <w:pPr>
                    <w:jc w:val="center"/>
                    <w:rPr>
                      <w:rFonts w:asciiTheme="majorHAnsi" w:hAnsiTheme="majorHAnsi"/>
                      <w:b/>
                      <w:sz w:val="22"/>
                      <w:szCs w:val="22"/>
                    </w:rPr>
                  </w:pPr>
                </w:p>
              </w:tc>
              <w:tc>
                <w:tcPr>
                  <w:tcW w:w="2126" w:type="pct"/>
                  <w:vMerge/>
                  <w:shd w:val="clear" w:color="auto" w:fill="auto"/>
                  <w:vAlign w:val="center"/>
                </w:tcPr>
                <w:p w:rsidR="008A429B" w:rsidRPr="008D1C53" w:rsidRDefault="008A429B" w:rsidP="008A429B">
                  <w:pPr>
                    <w:jc w:val="center"/>
                    <w:rPr>
                      <w:rFonts w:asciiTheme="majorHAnsi" w:hAnsiTheme="majorHAnsi"/>
                      <w:b/>
                      <w:sz w:val="22"/>
                      <w:szCs w:val="22"/>
                    </w:rPr>
                  </w:pPr>
                </w:p>
              </w:tc>
              <w:tc>
                <w:tcPr>
                  <w:tcW w:w="879" w:type="pct"/>
                  <w:vMerge/>
                </w:tcPr>
                <w:p w:rsidR="008A429B" w:rsidRPr="008D1C53" w:rsidRDefault="008A429B" w:rsidP="008A429B">
                  <w:pPr>
                    <w:jc w:val="center"/>
                    <w:rPr>
                      <w:rFonts w:asciiTheme="majorHAnsi" w:hAnsiTheme="majorHAnsi"/>
                      <w:sz w:val="22"/>
                      <w:szCs w:val="22"/>
                    </w:rPr>
                  </w:pPr>
                </w:p>
              </w:tc>
              <w:tc>
                <w:tcPr>
                  <w:tcW w:w="806" w:type="pct"/>
                  <w:shd w:val="clear" w:color="auto" w:fill="auto"/>
                  <w:vAlign w:val="center"/>
                </w:tcPr>
                <w:p w:rsidR="008A429B" w:rsidRPr="008D1C53" w:rsidRDefault="008A429B" w:rsidP="008A429B">
                  <w:pPr>
                    <w:jc w:val="center"/>
                    <w:rPr>
                      <w:rFonts w:asciiTheme="majorHAnsi" w:hAnsiTheme="majorHAnsi"/>
                      <w:sz w:val="22"/>
                      <w:szCs w:val="22"/>
                    </w:rPr>
                  </w:pPr>
                  <w:r w:rsidRPr="008D1C53">
                    <w:rPr>
                      <w:rFonts w:asciiTheme="majorHAnsi" w:hAnsiTheme="majorHAnsi"/>
                      <w:bCs/>
                      <w:sz w:val="20"/>
                      <w:szCs w:val="20"/>
                    </w:rPr>
                    <w:t>Dokumento pavadinimas</w:t>
                  </w:r>
                </w:p>
              </w:tc>
              <w:tc>
                <w:tcPr>
                  <w:tcW w:w="884" w:type="pct"/>
                  <w:shd w:val="clear" w:color="auto" w:fill="auto"/>
                </w:tcPr>
                <w:p w:rsidR="008A429B" w:rsidRPr="008D1C53" w:rsidRDefault="008A429B" w:rsidP="008A429B">
                  <w:pPr>
                    <w:jc w:val="center"/>
                    <w:rPr>
                      <w:rFonts w:asciiTheme="majorHAnsi" w:hAnsiTheme="majorHAnsi"/>
                      <w:b/>
                      <w:sz w:val="22"/>
                      <w:szCs w:val="22"/>
                    </w:rPr>
                  </w:pPr>
                  <w:r w:rsidRPr="008D1C53">
                    <w:rPr>
                      <w:rFonts w:asciiTheme="majorHAnsi" w:hAnsiTheme="majorHAnsi"/>
                      <w:bCs/>
                      <w:sz w:val="20"/>
                      <w:szCs w:val="20"/>
                    </w:rPr>
                    <w:t xml:space="preserve">Dokumento </w:t>
                  </w:r>
                  <w:proofErr w:type="gramStart"/>
                  <w:r w:rsidRPr="008D1C53">
                    <w:rPr>
                      <w:rFonts w:asciiTheme="majorHAnsi" w:hAnsiTheme="majorHAnsi"/>
                      <w:bCs/>
                      <w:sz w:val="20"/>
                      <w:szCs w:val="20"/>
                    </w:rPr>
                    <w:t>puslapio  numeris</w:t>
                  </w:r>
                  <w:proofErr w:type="gramEnd"/>
                </w:p>
              </w:tc>
            </w:tr>
            <w:tr w:rsidR="008A429B" w:rsidRPr="000C6375" w:rsidTr="008A4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05" w:type="pct"/>
                  <w:shd w:val="clear" w:color="auto" w:fill="auto"/>
                  <w:vAlign w:val="center"/>
                </w:tcPr>
                <w:p w:rsidR="008A429B" w:rsidRPr="008D1C53" w:rsidRDefault="008A429B" w:rsidP="008A429B">
                  <w:pPr>
                    <w:jc w:val="center"/>
                    <w:rPr>
                      <w:rFonts w:asciiTheme="majorHAnsi" w:hAnsiTheme="majorHAnsi"/>
                      <w:sz w:val="22"/>
                      <w:szCs w:val="22"/>
                    </w:rPr>
                  </w:pPr>
                  <w:r w:rsidRPr="008D1C53">
                    <w:rPr>
                      <w:rFonts w:asciiTheme="majorHAnsi" w:hAnsiTheme="majorHAnsi"/>
                      <w:sz w:val="22"/>
                      <w:szCs w:val="22"/>
                    </w:rPr>
                    <w:t>1</w:t>
                  </w:r>
                </w:p>
              </w:tc>
              <w:tc>
                <w:tcPr>
                  <w:tcW w:w="2126" w:type="pct"/>
                </w:tcPr>
                <w:p w:rsidR="008A429B" w:rsidRPr="008A429B" w:rsidRDefault="008A429B" w:rsidP="008A429B">
                  <w:pPr>
                    <w:rPr>
                      <w:rFonts w:asciiTheme="majorHAnsi" w:hAnsiTheme="majorHAnsi"/>
                    </w:rPr>
                  </w:pPr>
                  <w:r w:rsidRPr="008A429B">
                    <w:rPr>
                      <w:rFonts w:asciiTheme="majorHAnsi" w:hAnsiTheme="majorHAnsi"/>
                      <w:sz w:val="22"/>
                      <w:szCs w:val="22"/>
                    </w:rPr>
                    <w:t>Viršutinė tulžies rūgščių koncentracijos matavimo riba (neskiedžiant mėginio) ne mažesnė kaip 270 µmol/</w:t>
                  </w:r>
                  <w:proofErr w:type="gramStart"/>
                  <w:r w:rsidRPr="008A429B">
                    <w:rPr>
                      <w:rFonts w:asciiTheme="majorHAnsi" w:hAnsiTheme="majorHAnsi"/>
                      <w:sz w:val="22"/>
                      <w:szCs w:val="22"/>
                    </w:rPr>
                    <w:t>l  (</w:t>
                  </w:r>
                  <w:proofErr w:type="gramEnd"/>
                  <w:r w:rsidRPr="008A429B">
                    <w:rPr>
                      <w:rFonts w:asciiTheme="majorHAnsi" w:hAnsiTheme="majorHAnsi"/>
                      <w:sz w:val="22"/>
                      <w:szCs w:val="22"/>
                    </w:rPr>
                    <w:t>nurodyta tyrimo metodikoje, pritaikytoje siūlomam analizatoriui).</w:t>
                  </w:r>
                </w:p>
              </w:tc>
              <w:tc>
                <w:tcPr>
                  <w:tcW w:w="879"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c>
                <w:tcPr>
                  <w:tcW w:w="806"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c>
                <w:tcPr>
                  <w:tcW w:w="884"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r>
            <w:tr w:rsidR="008A429B" w:rsidRPr="000C6375" w:rsidTr="008A4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05" w:type="pct"/>
                  <w:shd w:val="clear" w:color="auto" w:fill="auto"/>
                  <w:vAlign w:val="center"/>
                </w:tcPr>
                <w:p w:rsidR="008A429B" w:rsidRPr="008D1C53" w:rsidRDefault="008A429B" w:rsidP="008A429B">
                  <w:pPr>
                    <w:jc w:val="center"/>
                    <w:rPr>
                      <w:rFonts w:asciiTheme="majorHAnsi" w:hAnsiTheme="majorHAnsi"/>
                      <w:color w:val="000000"/>
                      <w:sz w:val="22"/>
                      <w:szCs w:val="22"/>
                    </w:rPr>
                  </w:pPr>
                  <w:r w:rsidRPr="008D1C53">
                    <w:rPr>
                      <w:rFonts w:asciiTheme="majorHAnsi" w:hAnsiTheme="majorHAnsi"/>
                      <w:color w:val="000000"/>
                      <w:sz w:val="22"/>
                      <w:szCs w:val="22"/>
                    </w:rPr>
                    <w:t>2</w:t>
                  </w:r>
                </w:p>
              </w:tc>
              <w:tc>
                <w:tcPr>
                  <w:tcW w:w="2126" w:type="pct"/>
                </w:tcPr>
                <w:p w:rsidR="008A429B" w:rsidRPr="008A429B" w:rsidRDefault="008A429B" w:rsidP="008A429B">
                  <w:pPr>
                    <w:rPr>
                      <w:rFonts w:asciiTheme="majorHAnsi" w:hAnsiTheme="majorHAnsi"/>
                    </w:rPr>
                  </w:pPr>
                  <w:r w:rsidRPr="008A429B">
                    <w:rPr>
                      <w:rFonts w:asciiTheme="majorHAnsi" w:hAnsiTheme="majorHAnsi"/>
                      <w:sz w:val="22"/>
                      <w:szCs w:val="22"/>
                    </w:rPr>
                    <w:t>Reagentų stabilumas atidarius ne trumpesnis kaip 60 d. (nurodyta tyrimo metodikoje, pritaikytoje siūlomam analizatoriui).</w:t>
                  </w:r>
                </w:p>
              </w:tc>
              <w:tc>
                <w:tcPr>
                  <w:tcW w:w="879"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c>
                <w:tcPr>
                  <w:tcW w:w="806"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c>
                <w:tcPr>
                  <w:tcW w:w="884"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r>
            <w:tr w:rsidR="008A429B" w:rsidRPr="000C6375" w:rsidTr="008A4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05" w:type="pct"/>
                  <w:shd w:val="clear" w:color="auto" w:fill="auto"/>
                  <w:vAlign w:val="center"/>
                </w:tcPr>
                <w:p w:rsidR="008A429B" w:rsidRPr="008D1C53" w:rsidRDefault="008A429B" w:rsidP="008A429B">
                  <w:pPr>
                    <w:jc w:val="center"/>
                    <w:rPr>
                      <w:rFonts w:asciiTheme="majorHAnsi" w:hAnsiTheme="majorHAnsi"/>
                      <w:color w:val="000000"/>
                      <w:sz w:val="22"/>
                      <w:szCs w:val="22"/>
                    </w:rPr>
                  </w:pPr>
                  <w:r w:rsidRPr="008D1C53">
                    <w:rPr>
                      <w:rFonts w:asciiTheme="majorHAnsi" w:hAnsiTheme="majorHAnsi"/>
                      <w:color w:val="000000"/>
                      <w:sz w:val="22"/>
                      <w:szCs w:val="22"/>
                    </w:rPr>
                    <w:t>3</w:t>
                  </w:r>
                </w:p>
              </w:tc>
              <w:tc>
                <w:tcPr>
                  <w:tcW w:w="2126" w:type="pct"/>
                </w:tcPr>
                <w:p w:rsidR="008A429B" w:rsidRPr="008A429B" w:rsidRDefault="008A429B" w:rsidP="008A429B">
                  <w:pPr>
                    <w:rPr>
                      <w:rFonts w:asciiTheme="majorHAnsi" w:hAnsiTheme="majorHAnsi"/>
                    </w:rPr>
                  </w:pPr>
                  <w:r w:rsidRPr="008A429B">
                    <w:rPr>
                      <w:rFonts w:asciiTheme="majorHAnsi" w:hAnsiTheme="majorHAnsi"/>
                      <w:sz w:val="22"/>
                      <w:szCs w:val="22"/>
                    </w:rPr>
                    <w:t>Galimybė iš vienos reagento talpos atlikti ne mažiau kaip 125 tyrimus (nurodyta tyrimo metodikoje, pritaikytoje siūlomam analizatoriui).</w:t>
                  </w:r>
                </w:p>
              </w:tc>
              <w:tc>
                <w:tcPr>
                  <w:tcW w:w="879"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c>
                <w:tcPr>
                  <w:tcW w:w="806"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c>
                <w:tcPr>
                  <w:tcW w:w="884"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r>
            <w:tr w:rsidR="008A429B" w:rsidRPr="000C6375" w:rsidTr="008A4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05" w:type="pct"/>
                  <w:shd w:val="clear" w:color="auto" w:fill="auto"/>
                  <w:vAlign w:val="center"/>
                </w:tcPr>
                <w:p w:rsidR="008A429B" w:rsidRPr="008D1C53" w:rsidRDefault="008A429B" w:rsidP="008A429B">
                  <w:pPr>
                    <w:jc w:val="center"/>
                    <w:rPr>
                      <w:rFonts w:asciiTheme="majorHAnsi" w:hAnsiTheme="majorHAnsi"/>
                      <w:color w:val="000000"/>
                      <w:sz w:val="22"/>
                      <w:szCs w:val="22"/>
                    </w:rPr>
                  </w:pPr>
                  <w:r w:rsidRPr="008D1C53">
                    <w:rPr>
                      <w:rFonts w:asciiTheme="majorHAnsi" w:hAnsiTheme="majorHAnsi"/>
                      <w:color w:val="000000"/>
                      <w:sz w:val="22"/>
                      <w:szCs w:val="22"/>
                    </w:rPr>
                    <w:lastRenderedPageBreak/>
                    <w:t>4</w:t>
                  </w:r>
                </w:p>
              </w:tc>
              <w:tc>
                <w:tcPr>
                  <w:tcW w:w="2126" w:type="pct"/>
                </w:tcPr>
                <w:p w:rsidR="008A429B" w:rsidRPr="008A429B" w:rsidRDefault="008A429B" w:rsidP="008A429B">
                  <w:pPr>
                    <w:rPr>
                      <w:rFonts w:asciiTheme="majorHAnsi" w:hAnsiTheme="majorHAnsi"/>
                      <w:color w:val="000000"/>
                    </w:rPr>
                  </w:pPr>
                  <w:r w:rsidRPr="008A429B">
                    <w:rPr>
                      <w:rFonts w:asciiTheme="majorHAnsi" w:hAnsiTheme="majorHAnsi"/>
                      <w:color w:val="000000"/>
                      <w:sz w:val="22"/>
                      <w:szCs w:val="22"/>
                    </w:rPr>
                    <w:t>Automatinis mėginio hemolizės, lipemijos, bilirubino (angl. icterus) indeksų nustatymas.</w:t>
                  </w:r>
                </w:p>
              </w:tc>
              <w:tc>
                <w:tcPr>
                  <w:tcW w:w="879"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c>
                <w:tcPr>
                  <w:tcW w:w="806"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c>
                <w:tcPr>
                  <w:tcW w:w="884"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r>
            <w:tr w:rsidR="008A429B" w:rsidRPr="000C6375" w:rsidTr="008A4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05" w:type="pct"/>
                  <w:shd w:val="clear" w:color="auto" w:fill="auto"/>
                  <w:vAlign w:val="center"/>
                </w:tcPr>
                <w:p w:rsidR="008A429B" w:rsidRPr="008D1C53" w:rsidRDefault="008A429B" w:rsidP="008A429B">
                  <w:pPr>
                    <w:jc w:val="center"/>
                    <w:rPr>
                      <w:rFonts w:asciiTheme="majorHAnsi" w:hAnsiTheme="majorHAnsi"/>
                      <w:color w:val="000000"/>
                      <w:sz w:val="22"/>
                      <w:szCs w:val="22"/>
                    </w:rPr>
                  </w:pPr>
                  <w:r>
                    <w:rPr>
                      <w:rFonts w:asciiTheme="majorHAnsi" w:hAnsiTheme="majorHAnsi"/>
                      <w:color w:val="000000"/>
                      <w:sz w:val="22"/>
                      <w:szCs w:val="22"/>
                    </w:rPr>
                    <w:t>5</w:t>
                  </w:r>
                </w:p>
              </w:tc>
              <w:tc>
                <w:tcPr>
                  <w:tcW w:w="2126" w:type="pct"/>
                </w:tcPr>
                <w:p w:rsidR="008A429B" w:rsidRPr="008A429B" w:rsidRDefault="008A429B" w:rsidP="008A429B">
                  <w:pPr>
                    <w:rPr>
                      <w:rFonts w:asciiTheme="majorHAnsi" w:hAnsiTheme="majorHAnsi"/>
                    </w:rPr>
                  </w:pPr>
                  <w:r w:rsidRPr="008A429B">
                    <w:rPr>
                      <w:rFonts w:asciiTheme="majorHAnsi" w:hAnsiTheme="majorHAnsi"/>
                      <w:sz w:val="22"/>
                      <w:szCs w:val="22"/>
                    </w:rPr>
                    <w:t>Galimybė iš to paties mėgintuvėlio, nepernešant mėgintuvėlio į kitą analizatorių, automatizuotai atlikti ne tik tulžies rūgščių koncentracijos matavimą, bet ir kitus klinikinės chemijos tyrimus.</w:t>
                  </w:r>
                </w:p>
              </w:tc>
              <w:tc>
                <w:tcPr>
                  <w:tcW w:w="879"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c>
                <w:tcPr>
                  <w:tcW w:w="806"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c>
                <w:tcPr>
                  <w:tcW w:w="884" w:type="pct"/>
                  <w:shd w:val="clear" w:color="auto" w:fill="auto"/>
                  <w:vAlign w:val="center"/>
                </w:tcPr>
                <w:p w:rsidR="008A429B" w:rsidRPr="000C6375" w:rsidRDefault="008A429B" w:rsidP="008A429B">
                  <w:pPr>
                    <w:jc w:val="center"/>
                    <w:rPr>
                      <w:rFonts w:ascii="Cambria" w:hAnsi="Cambria"/>
                      <w:color w:val="FF0000"/>
                      <w:sz w:val="22"/>
                      <w:szCs w:val="22"/>
                    </w:rPr>
                  </w:pPr>
                  <w:r w:rsidRPr="000C6375">
                    <w:rPr>
                      <w:rFonts w:ascii="Cambria" w:hAnsi="Cambria"/>
                      <w:i/>
                      <w:color w:val="FF0000"/>
                      <w:sz w:val="22"/>
                      <w:szCs w:val="22"/>
                    </w:rPr>
                    <w:t>įrašyti</w:t>
                  </w:r>
                </w:p>
              </w:tc>
            </w:tr>
          </w:tbl>
          <w:p w:rsidR="008A429B" w:rsidRDefault="008A429B" w:rsidP="00CC03D0">
            <w:pPr>
              <w:ind w:right="-108" w:firstLine="720"/>
              <w:jc w:val="center"/>
              <w:rPr>
                <w:rFonts w:asciiTheme="majorHAnsi" w:hAnsiTheme="majorHAnsi"/>
                <w:b/>
                <w:sz w:val="22"/>
                <w:szCs w:val="22"/>
              </w:rPr>
            </w:pPr>
          </w:p>
          <w:p w:rsidR="008A429B" w:rsidRPr="008D1C53" w:rsidRDefault="008A429B" w:rsidP="008A429B">
            <w:pPr>
              <w:ind w:right="-18" w:firstLine="720"/>
              <w:jc w:val="right"/>
              <w:rPr>
                <w:rFonts w:asciiTheme="majorHAnsi" w:hAnsiTheme="majorHAnsi"/>
                <w:sz w:val="22"/>
                <w:szCs w:val="22"/>
              </w:rPr>
            </w:pPr>
            <w:r>
              <w:rPr>
                <w:rFonts w:asciiTheme="majorHAnsi" w:hAnsiTheme="majorHAnsi"/>
                <w:sz w:val="22"/>
                <w:szCs w:val="22"/>
              </w:rPr>
              <w:t>6</w:t>
            </w:r>
            <w:r w:rsidRPr="008D1C53">
              <w:rPr>
                <w:rFonts w:asciiTheme="majorHAnsi" w:hAnsiTheme="majorHAnsi"/>
                <w:sz w:val="22"/>
                <w:szCs w:val="22"/>
              </w:rPr>
              <w:t xml:space="preserve"> lentelė</w:t>
            </w:r>
          </w:p>
          <w:p w:rsidR="008A429B" w:rsidRDefault="008A429B" w:rsidP="00CC03D0">
            <w:pPr>
              <w:ind w:right="-108" w:firstLine="720"/>
              <w:jc w:val="center"/>
              <w:rPr>
                <w:rFonts w:asciiTheme="majorHAnsi" w:hAnsiTheme="majorHAnsi"/>
                <w:b/>
                <w:sz w:val="22"/>
                <w:szCs w:val="22"/>
                <w:lang w:val="it-IT"/>
              </w:rPr>
            </w:pPr>
          </w:p>
          <w:p w:rsidR="00476F8E" w:rsidRPr="008A429B" w:rsidRDefault="00476F8E" w:rsidP="00CC03D0">
            <w:pPr>
              <w:ind w:right="-108" w:firstLine="720"/>
              <w:jc w:val="center"/>
              <w:rPr>
                <w:rFonts w:asciiTheme="majorHAnsi" w:hAnsiTheme="majorHAnsi"/>
                <w:b/>
                <w:sz w:val="22"/>
                <w:szCs w:val="22"/>
                <w:lang w:val="it-IT"/>
              </w:rPr>
            </w:pPr>
            <w:r w:rsidRPr="008A429B">
              <w:rPr>
                <w:rFonts w:asciiTheme="majorHAnsi" w:hAnsiTheme="majorHAnsi"/>
                <w:b/>
                <w:sz w:val="22"/>
                <w:szCs w:val="22"/>
                <w:lang w:val="it-IT"/>
              </w:rPr>
              <w:t>SIŪLOMA ĮRANGA PANAUDOS SUTARTIES PAGRINDU</w:t>
            </w:r>
          </w:p>
          <w:p w:rsidR="00476F8E" w:rsidRPr="008A429B" w:rsidRDefault="00476F8E" w:rsidP="00476F8E">
            <w:pPr>
              <w:ind w:right="-108" w:firstLine="720"/>
              <w:jc w:val="both"/>
              <w:rPr>
                <w:rFonts w:asciiTheme="majorHAnsi" w:hAnsiTheme="majorHAnsi"/>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8A429B" w:rsidRDefault="00476F8E" w:rsidP="00476F8E">
                  <w:pPr>
                    <w:tabs>
                      <w:tab w:val="left" w:pos="1276"/>
                    </w:tabs>
                    <w:rPr>
                      <w:rFonts w:asciiTheme="majorHAnsi" w:hAnsiTheme="majorHAnsi"/>
                      <w:sz w:val="22"/>
                      <w:szCs w:val="22"/>
                      <w:lang w:val="it-IT"/>
                    </w:rPr>
                  </w:pPr>
                  <w:r w:rsidRPr="008A429B">
                    <w:rPr>
                      <w:rFonts w:asciiTheme="majorHAnsi" w:hAnsiTheme="majorHAnsi"/>
                      <w:sz w:val="22"/>
                      <w:szCs w:val="22"/>
                      <w:lang w:val="it-IT"/>
                    </w:rPr>
                    <w:t>Eil.</w:t>
                  </w:r>
                </w:p>
                <w:p w:rsidR="00476F8E" w:rsidRPr="008A429B" w:rsidRDefault="00476F8E" w:rsidP="00476F8E">
                  <w:pPr>
                    <w:tabs>
                      <w:tab w:val="left" w:pos="1276"/>
                    </w:tabs>
                    <w:rPr>
                      <w:rFonts w:asciiTheme="majorHAnsi" w:hAnsiTheme="majorHAnsi"/>
                      <w:sz w:val="22"/>
                      <w:szCs w:val="22"/>
                      <w:lang w:val="it-IT"/>
                    </w:rPr>
                  </w:pPr>
                  <w:r w:rsidRPr="008A429B">
                    <w:rPr>
                      <w:rFonts w:asciiTheme="majorHAnsi" w:hAnsiTheme="majorHAnsi"/>
                      <w:sz w:val="22"/>
                      <w:szCs w:val="22"/>
                      <w:lang w:val="it-IT"/>
                    </w:rPr>
                    <w:t>Nr.</w:t>
                  </w: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Perduodamo turto (Panaudos) aprašas</w:t>
                  </w:r>
                  <w:r w:rsidR="00F562E4" w:rsidRPr="00F562E4">
                    <w:rPr>
                      <w:rFonts w:asciiTheme="majorHAnsi" w:hAnsiTheme="majorHAnsi"/>
                      <w:sz w:val="22"/>
                      <w:szCs w:val="22"/>
                    </w:rPr>
                    <w:t xml:space="preserve"> (gamintojas ir </w:t>
                  </w:r>
                  <w:r w:rsidR="00F562E4" w:rsidRPr="004B70BF">
                    <w:rPr>
                      <w:rFonts w:asciiTheme="majorHAnsi" w:hAnsiTheme="majorHAnsi"/>
                      <w:i/>
                      <w:sz w:val="22"/>
                      <w:szCs w:val="22"/>
                    </w:rPr>
                    <w:t>modelis)</w:t>
                  </w:r>
                  <w:r w:rsidR="003A43C4" w:rsidRPr="004B70BF">
                    <w:rPr>
                      <w:rFonts w:asciiTheme="majorHAnsi" w:hAnsiTheme="majorHAnsi"/>
                      <w:i/>
                      <w:sz w:val="22"/>
                      <w:szCs w:val="22"/>
                    </w:rPr>
                    <w:t xml:space="preserve"> </w:t>
                  </w:r>
                  <w:r w:rsidR="003A43C4" w:rsidRPr="004B70BF">
                    <w:rPr>
                      <w:rFonts w:asciiTheme="majorHAnsi" w:hAnsiTheme="majorHAnsi"/>
                      <w:i/>
                      <w:color w:val="FF0000"/>
                      <w:sz w:val="22"/>
                      <w:szCs w:val="22"/>
                    </w:rPr>
                    <w:t>(Būtina nurodyti kompiuterinės įrangos</w:t>
                  </w:r>
                  <w:r w:rsidR="004B70BF" w:rsidRPr="004B70BF">
                    <w:rPr>
                      <w:rFonts w:asciiTheme="majorHAnsi" w:hAnsiTheme="majorHAnsi"/>
                      <w:i/>
                      <w:color w:val="FF0000"/>
                      <w:sz w:val="22"/>
                      <w:szCs w:val="22"/>
                    </w:rPr>
                    <w:t xml:space="preserve"> </w:t>
                  </w:r>
                  <w:r w:rsidR="004B70BF" w:rsidRPr="004B70BF">
                    <w:rPr>
                      <w:rFonts w:ascii="Cambria" w:hAnsi="Cambria"/>
                      <w:i/>
                      <w:color w:val="FF0000"/>
                      <w:sz w:val="22"/>
                      <w:szCs w:val="22"/>
                    </w:rPr>
                    <w:t>(jeigu ji nėra integruota),</w:t>
                  </w:r>
                  <w:r w:rsidR="003A43C4" w:rsidRPr="004B70BF">
                    <w:rPr>
                      <w:rFonts w:asciiTheme="majorHAnsi" w:hAnsiTheme="majorHAnsi"/>
                      <w:i/>
                      <w:color w:val="FF0000"/>
                      <w:sz w:val="22"/>
                      <w:szCs w:val="22"/>
                    </w:rPr>
                    <w:t xml:space="preserve"> programinės įrangos ir nenutrūkstamojo maitinimo šaltinio gamintoją ir kilmės</w:t>
                  </w:r>
                  <w:r w:rsidR="003A43C4" w:rsidRPr="003A43C4">
                    <w:rPr>
                      <w:rFonts w:asciiTheme="majorHAnsi" w:hAnsiTheme="majorHAnsi"/>
                      <w:color w:val="FF0000"/>
                      <w:sz w:val="22"/>
                      <w:szCs w:val="22"/>
                    </w:rPr>
                    <w:t xml:space="preserve"> šalį)</w:t>
                  </w:r>
                </w:p>
              </w:tc>
              <w:tc>
                <w:tcPr>
                  <w:tcW w:w="2097" w:type="dxa"/>
                  <w:shd w:val="clear" w:color="auto" w:fill="auto"/>
                </w:tcPr>
                <w:p w:rsidR="00476F8E"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p w:rsidR="00F91682" w:rsidRDefault="00F91682" w:rsidP="00476F8E">
                  <w:pPr>
                    <w:tabs>
                      <w:tab w:val="left" w:pos="1276"/>
                    </w:tabs>
                    <w:rPr>
                      <w:rFonts w:asciiTheme="majorHAnsi" w:hAnsiTheme="majorHAnsi"/>
                      <w:sz w:val="22"/>
                      <w:szCs w:val="22"/>
                    </w:rPr>
                  </w:pPr>
                </w:p>
                <w:p w:rsidR="00F91682" w:rsidRPr="00F91682" w:rsidRDefault="00F91682" w:rsidP="00476F8E">
                  <w:pPr>
                    <w:tabs>
                      <w:tab w:val="left" w:pos="1276"/>
                    </w:tabs>
                    <w:rPr>
                      <w:rFonts w:asciiTheme="majorHAnsi" w:hAnsiTheme="majorHAnsi"/>
                      <w:sz w:val="22"/>
                      <w:szCs w:val="22"/>
                    </w:rPr>
                  </w:pPr>
                  <w:bookmarkStart w:id="48" w:name="_GoBack"/>
                  <w:bookmarkEnd w:id="48"/>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3A43C4" w:rsidRPr="00F562E4" w:rsidTr="001149A0">
              <w:trPr>
                <w:trHeight w:val="178"/>
              </w:trPr>
              <w:tc>
                <w:tcPr>
                  <w:tcW w:w="713" w:type="dxa"/>
                  <w:shd w:val="clear" w:color="auto" w:fill="auto"/>
                </w:tcPr>
                <w:p w:rsidR="003A43C4" w:rsidRPr="00F562E4" w:rsidRDefault="003A43C4" w:rsidP="003A43C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097"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426"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246" w:type="dxa"/>
                  <w:shd w:val="clear" w:color="auto" w:fill="auto"/>
                </w:tcPr>
                <w:p w:rsidR="003A43C4" w:rsidRPr="00F562E4" w:rsidRDefault="003A43C4" w:rsidP="00476F8E">
                  <w:pPr>
                    <w:tabs>
                      <w:tab w:val="left" w:pos="1276"/>
                    </w:tabs>
                    <w:rPr>
                      <w:rFonts w:asciiTheme="majorHAnsi" w:hAnsiTheme="majorHAnsi"/>
                      <w:sz w:val="22"/>
                      <w:szCs w:val="22"/>
                    </w:rPr>
                  </w:pPr>
                </w:p>
              </w:tc>
            </w:tr>
            <w:tr w:rsidR="003A43C4" w:rsidRPr="00F562E4" w:rsidTr="001149A0">
              <w:trPr>
                <w:trHeight w:val="178"/>
              </w:trPr>
              <w:tc>
                <w:tcPr>
                  <w:tcW w:w="713" w:type="dxa"/>
                  <w:shd w:val="clear" w:color="auto" w:fill="auto"/>
                </w:tcPr>
                <w:p w:rsidR="003A43C4" w:rsidRPr="00F562E4" w:rsidRDefault="003A43C4" w:rsidP="003A43C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097"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426"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246" w:type="dxa"/>
                  <w:shd w:val="clear" w:color="auto" w:fill="auto"/>
                </w:tcPr>
                <w:p w:rsidR="003A43C4" w:rsidRPr="00F562E4" w:rsidRDefault="003A43C4"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8A429B" w:rsidP="002A39EE">
            <w:pPr>
              <w:ind w:right="318" w:firstLine="720"/>
              <w:jc w:val="right"/>
              <w:rPr>
                <w:rFonts w:asciiTheme="majorHAnsi" w:hAnsiTheme="majorHAnsi"/>
                <w:sz w:val="22"/>
                <w:szCs w:val="22"/>
              </w:rPr>
            </w:pPr>
            <w:r>
              <w:rPr>
                <w:rFonts w:asciiTheme="majorHAnsi" w:hAnsiTheme="majorHAnsi"/>
                <w:sz w:val="22"/>
                <w:szCs w:val="22"/>
              </w:rPr>
              <w:t>7</w:t>
            </w:r>
            <w:r w:rsidR="00476F8E" w:rsidRPr="00F562E4">
              <w:rPr>
                <w:rFonts w:asciiTheme="majorHAnsi" w:hAnsiTheme="majorHAnsi"/>
                <w:sz w:val="22"/>
                <w:szCs w:val="22"/>
              </w:rPr>
              <w:t xml:space="preserve"> 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25890"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003F7F8D" w:rsidRPr="00525890">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525890">
              <w:rPr>
                <w:rFonts w:asciiTheme="majorHAnsi" w:hAnsiTheme="majorHAnsi"/>
                <w:sz w:val="22"/>
                <w:szCs w:val="22"/>
                <w:bdr w:val="none" w:sz="0" w:space="0" w:color="auto" w:frame="1"/>
                <w:lang w:val="lt-LT" w:eastAsia="lt-LT"/>
              </w:rPr>
              <w:t xml:space="preserve">pasiūlyme nurodytos </w:t>
            </w:r>
            <w:r w:rsidR="00F562E4" w:rsidRPr="00525890">
              <w:rPr>
                <w:rFonts w:asciiTheme="majorHAnsi" w:hAnsiTheme="majorHAnsi"/>
                <w:b/>
                <w:sz w:val="22"/>
                <w:szCs w:val="22"/>
                <w:u w:val="single"/>
                <w:bdr w:val="none" w:sz="0" w:space="0" w:color="auto" w:frame="1"/>
                <w:lang w:val="lt-LT" w:eastAsia="lt-LT"/>
              </w:rPr>
              <w:t xml:space="preserve">kainos bei įkainiai, </w:t>
            </w:r>
            <w:r w:rsidR="00F562E4" w:rsidRPr="00525890">
              <w:rPr>
                <w:rFonts w:asciiTheme="majorHAnsi" w:hAnsiTheme="majorHAnsi"/>
                <w:sz w:val="22"/>
                <w:szCs w:val="22"/>
                <w:bdr w:val="none" w:sz="0" w:space="0" w:color="auto" w:frame="1"/>
                <w:lang w:val="lt-LT" w:eastAsia="lt-LT"/>
              </w:rPr>
              <w:t>taip pat</w:t>
            </w:r>
            <w:r w:rsidR="00F562E4" w:rsidRPr="00525890">
              <w:rPr>
                <w:rFonts w:asciiTheme="majorHAnsi" w:hAnsiTheme="majorHAnsi"/>
                <w:b/>
                <w:sz w:val="22"/>
                <w:szCs w:val="22"/>
                <w:u w:val="single"/>
                <w:bdr w:val="none" w:sz="0" w:space="0" w:color="auto" w:frame="1"/>
                <w:lang w:val="lt-LT" w:eastAsia="lt-LT"/>
              </w:rPr>
              <w:t xml:space="preserve"> nuolaidos dydis ar įkainio bazė,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techninės specifikacijos, </w:t>
            </w:r>
            <w:r w:rsidR="00F562E4" w:rsidRPr="00525890">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525890">
              <w:rPr>
                <w:rFonts w:asciiTheme="majorHAnsi" w:hAnsiTheme="majorHAnsi"/>
                <w:b/>
                <w:sz w:val="22"/>
                <w:szCs w:val="22"/>
                <w:u w:val="single"/>
                <w:bdr w:val="none" w:sz="0" w:space="0" w:color="auto" w:frame="1"/>
                <w:lang w:val="lt-LT" w:eastAsia="lt-LT"/>
              </w:rPr>
              <w:t>gaminio naudotojo instrukcija</w:t>
            </w:r>
            <w:r w:rsidR="00F562E4" w:rsidRPr="00525890">
              <w:rPr>
                <w:rFonts w:asciiTheme="majorHAnsi" w:hAnsiTheme="majorHAnsi"/>
                <w:sz w:val="22"/>
                <w:szCs w:val="22"/>
                <w:bdr w:val="none" w:sz="0" w:space="0" w:color="auto" w:frame="1"/>
                <w:lang w:val="lt-LT" w:eastAsia="lt-LT"/>
              </w:rPr>
              <w:t>, tiekėjo</w:t>
            </w:r>
            <w:r w:rsidR="00F562E4" w:rsidRPr="00525890">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525890">
              <w:rPr>
                <w:rFonts w:asciiTheme="majorHAnsi" w:hAnsiTheme="majorHAnsi"/>
                <w:sz w:val="22"/>
                <w:szCs w:val="22"/>
                <w:u w:val="single"/>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nėra konfidenciali</w:t>
            </w:r>
            <w:r w:rsidR="00F562E4" w:rsidRPr="00525890">
              <w:rPr>
                <w:rFonts w:asciiTheme="majorHAnsi" w:hAnsiTheme="majorHAnsi"/>
                <w:b/>
                <w:sz w:val="22"/>
                <w:szCs w:val="22"/>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informacija</w:t>
            </w:r>
          </w:p>
        </w:tc>
      </w:tr>
    </w:tbl>
    <w:p w:rsidR="00476F8E" w:rsidRPr="00525890" w:rsidRDefault="00476F8E" w:rsidP="00476F8E">
      <w:pPr>
        <w:ind w:right="-108" w:firstLine="720"/>
        <w:jc w:val="both"/>
        <w:rPr>
          <w:rFonts w:asciiTheme="majorHAnsi" w:hAnsiTheme="majorHAnsi"/>
          <w:sz w:val="22"/>
          <w:szCs w:val="22"/>
          <w:lang w:val="lt-LT"/>
        </w:rPr>
      </w:pPr>
      <w:r w:rsidRPr="00525890">
        <w:rPr>
          <w:rFonts w:asciiTheme="majorHAnsi" w:hAnsiTheme="majorHAnsi"/>
          <w:b/>
          <w:sz w:val="22"/>
          <w:szCs w:val="22"/>
          <w:lang w:val="lt-LT"/>
        </w:rPr>
        <w:t>PASTABA.</w:t>
      </w:r>
      <w:r w:rsidRPr="00525890">
        <w:rPr>
          <w:rFonts w:asciiTheme="majorHAnsi" w:hAnsiTheme="majorHAnsi"/>
          <w:sz w:val="22"/>
          <w:szCs w:val="22"/>
          <w:lang w:val="lt-LT"/>
        </w:rPr>
        <w:t xml:space="preserve"> Tiekėjui nenurodžius, kokia informacija yra konfidenciali, laikoma, kad konfidencialios informacijos pasiūlyme nėra.</w:t>
      </w:r>
    </w:p>
    <w:p w:rsidR="007C7568" w:rsidRPr="00525890" w:rsidRDefault="007C7568"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lastRenderedPageBreak/>
              <w:t>(</w:t>
            </w:r>
            <w:r w:rsidR="006D5F3C" w:rsidRPr="00525890">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525890">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9E4" w:rsidRDefault="005B39E4" w:rsidP="000D1449">
      <w:r>
        <w:separator/>
      </w:r>
    </w:p>
  </w:endnote>
  <w:endnote w:type="continuationSeparator" w:id="0">
    <w:p w:rsidR="005B39E4" w:rsidRDefault="005B39E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9E4" w:rsidRDefault="005B39E4" w:rsidP="000D1449">
      <w:r>
        <w:separator/>
      </w:r>
    </w:p>
  </w:footnote>
  <w:footnote w:type="continuationSeparator" w:id="0">
    <w:p w:rsidR="005B39E4" w:rsidRDefault="005B39E4" w:rsidP="000D1449">
      <w:r>
        <w:continuationSeparator/>
      </w:r>
    </w:p>
  </w:footnote>
  <w:footnote w:id="1">
    <w:p w:rsidR="004A4C02" w:rsidRPr="00BA5459" w:rsidRDefault="004A4C02"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A4C02" w:rsidRPr="00BA5459" w:rsidRDefault="004A4C02"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4A4C02" w:rsidRPr="00BA5459" w:rsidRDefault="004A4C02"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A4C02" w:rsidRDefault="004A4C02" w:rsidP="00401E0B">
      <w:pPr>
        <w:pStyle w:val="FootnoteText"/>
      </w:pPr>
    </w:p>
  </w:footnote>
  <w:footnote w:id="2">
    <w:p w:rsidR="004A4C02" w:rsidRPr="00344E3D" w:rsidRDefault="004A4C02"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A4C02" w:rsidRPr="00344E3D" w:rsidRDefault="004A4C02" w:rsidP="00401E0B">
      <w:pPr>
        <w:pStyle w:val="FootnoteText"/>
        <w:numPr>
          <w:ilvl w:val="0"/>
          <w:numId w:val="14"/>
        </w:numPr>
        <w:spacing w:after="0"/>
        <w:rPr>
          <w:i/>
          <w:iCs/>
          <w:sz w:val="18"/>
          <w:szCs w:val="18"/>
        </w:rPr>
      </w:pPr>
      <w:r w:rsidRPr="00344E3D">
        <w:rPr>
          <w:i/>
          <w:iCs/>
          <w:sz w:val="18"/>
          <w:szCs w:val="18"/>
        </w:rPr>
        <w:t xml:space="preserve">priesaikos deklaracija; </w:t>
      </w:r>
    </w:p>
    <w:p w:rsidR="004A4C02" w:rsidRPr="00344E3D" w:rsidRDefault="004A4C02"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A4C02" w:rsidRDefault="004A4C02" w:rsidP="00401E0B">
      <w:pPr>
        <w:pStyle w:val="FootnoteText"/>
      </w:pPr>
    </w:p>
  </w:footnote>
  <w:footnote w:id="3">
    <w:p w:rsidR="004A4C02" w:rsidRPr="00D76940" w:rsidRDefault="004A4C02"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A4C02" w:rsidRPr="00D76940" w:rsidRDefault="004A4C02" w:rsidP="00401E0B">
      <w:pPr>
        <w:pStyle w:val="FootnoteText"/>
        <w:numPr>
          <w:ilvl w:val="0"/>
          <w:numId w:val="15"/>
        </w:numPr>
        <w:spacing w:after="0"/>
        <w:rPr>
          <w:i/>
          <w:iCs/>
          <w:sz w:val="18"/>
          <w:szCs w:val="18"/>
        </w:rPr>
      </w:pPr>
      <w:r w:rsidRPr="00D76940">
        <w:rPr>
          <w:i/>
          <w:iCs/>
          <w:sz w:val="18"/>
          <w:szCs w:val="18"/>
        </w:rPr>
        <w:t xml:space="preserve">priesaikos deklaracija; </w:t>
      </w:r>
    </w:p>
    <w:p w:rsidR="004A4C02" w:rsidRPr="00D76940" w:rsidRDefault="004A4C02"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A4C02" w:rsidRDefault="004A4C02" w:rsidP="00401E0B">
      <w:pPr>
        <w:pStyle w:val="FootnoteText"/>
      </w:pPr>
    </w:p>
  </w:footnote>
  <w:footnote w:id="4">
    <w:p w:rsidR="004A4C02" w:rsidRDefault="004A4C02"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86" w:hanging="360"/>
      </w:pPr>
    </w:lvl>
    <w:lvl w:ilvl="1">
      <w:start w:val="1"/>
      <w:numFmt w:val="decimal"/>
      <w:isLgl/>
      <w:lvlText w:val="%1.%2."/>
      <w:lvlJc w:val="left"/>
      <w:pPr>
        <w:ind w:left="1683" w:hanging="1050"/>
      </w:pPr>
      <w:rPr>
        <w:rFonts w:hint="default"/>
      </w:rPr>
    </w:lvl>
    <w:lvl w:ilvl="2">
      <w:start w:val="1"/>
      <w:numFmt w:val="decimal"/>
      <w:isLgl/>
      <w:lvlText w:val="%1.%2.%3."/>
      <w:lvlJc w:val="left"/>
      <w:pPr>
        <w:ind w:left="1890" w:hanging="1050"/>
      </w:pPr>
      <w:rPr>
        <w:rFonts w:hint="default"/>
      </w:rPr>
    </w:lvl>
    <w:lvl w:ilvl="3">
      <w:start w:val="1"/>
      <w:numFmt w:val="decimal"/>
      <w:isLgl/>
      <w:lvlText w:val="%1.%2.%3.%4."/>
      <w:lvlJc w:val="left"/>
      <w:pPr>
        <w:ind w:left="2097" w:hanging="105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3"/>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2"/>
  </w:num>
  <w:num w:numId="15">
    <w:abstractNumId w:val="1"/>
  </w:num>
  <w:num w:numId="16">
    <w:abstractNumId w:val="4"/>
  </w:num>
  <w:num w:numId="17">
    <w:abstractNumId w:val="16"/>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656B"/>
    <w:rsid w:val="00012C71"/>
    <w:rsid w:val="000135BA"/>
    <w:rsid w:val="00013B61"/>
    <w:rsid w:val="00020316"/>
    <w:rsid w:val="000227D7"/>
    <w:rsid w:val="000279E6"/>
    <w:rsid w:val="00040551"/>
    <w:rsid w:val="00044A7F"/>
    <w:rsid w:val="0005434D"/>
    <w:rsid w:val="00067FAC"/>
    <w:rsid w:val="00090C5D"/>
    <w:rsid w:val="000976C3"/>
    <w:rsid w:val="000B2124"/>
    <w:rsid w:val="000B46F4"/>
    <w:rsid w:val="000C3124"/>
    <w:rsid w:val="000D1449"/>
    <w:rsid w:val="000E238D"/>
    <w:rsid w:val="000E2ECE"/>
    <w:rsid w:val="000E44F2"/>
    <w:rsid w:val="000F4ECE"/>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371B"/>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3620A"/>
    <w:rsid w:val="00341EFE"/>
    <w:rsid w:val="003423EE"/>
    <w:rsid w:val="003511F3"/>
    <w:rsid w:val="0035260B"/>
    <w:rsid w:val="0036742D"/>
    <w:rsid w:val="003762CE"/>
    <w:rsid w:val="00376D16"/>
    <w:rsid w:val="0038449A"/>
    <w:rsid w:val="00390DAB"/>
    <w:rsid w:val="00394A73"/>
    <w:rsid w:val="00397B62"/>
    <w:rsid w:val="003A43C4"/>
    <w:rsid w:val="003B46B6"/>
    <w:rsid w:val="003C4DA8"/>
    <w:rsid w:val="003D09BE"/>
    <w:rsid w:val="003D3206"/>
    <w:rsid w:val="003F2B46"/>
    <w:rsid w:val="003F5E26"/>
    <w:rsid w:val="003F7F8D"/>
    <w:rsid w:val="00401E0B"/>
    <w:rsid w:val="00403A8A"/>
    <w:rsid w:val="00414815"/>
    <w:rsid w:val="00443D65"/>
    <w:rsid w:val="0046131D"/>
    <w:rsid w:val="00463A86"/>
    <w:rsid w:val="004740DF"/>
    <w:rsid w:val="00476F8E"/>
    <w:rsid w:val="004841E8"/>
    <w:rsid w:val="004857F4"/>
    <w:rsid w:val="00496649"/>
    <w:rsid w:val="004A4BBE"/>
    <w:rsid w:val="004A4C02"/>
    <w:rsid w:val="004B70BF"/>
    <w:rsid w:val="004C4258"/>
    <w:rsid w:val="004C65FE"/>
    <w:rsid w:val="004C7A82"/>
    <w:rsid w:val="004E3D3D"/>
    <w:rsid w:val="004E7A71"/>
    <w:rsid w:val="004F5E1B"/>
    <w:rsid w:val="00514B99"/>
    <w:rsid w:val="005176B6"/>
    <w:rsid w:val="00525890"/>
    <w:rsid w:val="00526317"/>
    <w:rsid w:val="005521B6"/>
    <w:rsid w:val="005550D2"/>
    <w:rsid w:val="0057194E"/>
    <w:rsid w:val="00583BDC"/>
    <w:rsid w:val="00583D0E"/>
    <w:rsid w:val="00595A67"/>
    <w:rsid w:val="005A06B1"/>
    <w:rsid w:val="005A22D5"/>
    <w:rsid w:val="005B39E4"/>
    <w:rsid w:val="005B6B2A"/>
    <w:rsid w:val="005C2D13"/>
    <w:rsid w:val="005C4F07"/>
    <w:rsid w:val="005D1381"/>
    <w:rsid w:val="005D1859"/>
    <w:rsid w:val="005D22F0"/>
    <w:rsid w:val="005D3BDB"/>
    <w:rsid w:val="005F07DF"/>
    <w:rsid w:val="005F45E0"/>
    <w:rsid w:val="005F5CDD"/>
    <w:rsid w:val="005F642D"/>
    <w:rsid w:val="00600AC5"/>
    <w:rsid w:val="00606D45"/>
    <w:rsid w:val="006209DB"/>
    <w:rsid w:val="0063219E"/>
    <w:rsid w:val="00651218"/>
    <w:rsid w:val="006621DA"/>
    <w:rsid w:val="00662C1E"/>
    <w:rsid w:val="00667D63"/>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6CB9"/>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E723E"/>
    <w:rsid w:val="007F0E32"/>
    <w:rsid w:val="007F502D"/>
    <w:rsid w:val="00800C77"/>
    <w:rsid w:val="00820D79"/>
    <w:rsid w:val="00824502"/>
    <w:rsid w:val="00825338"/>
    <w:rsid w:val="0083000C"/>
    <w:rsid w:val="00837DE7"/>
    <w:rsid w:val="0084787D"/>
    <w:rsid w:val="0085367C"/>
    <w:rsid w:val="008A2A1A"/>
    <w:rsid w:val="008A429B"/>
    <w:rsid w:val="008A66D4"/>
    <w:rsid w:val="008A6852"/>
    <w:rsid w:val="008B746A"/>
    <w:rsid w:val="008C19B4"/>
    <w:rsid w:val="008D7E40"/>
    <w:rsid w:val="008F6181"/>
    <w:rsid w:val="008F6BE5"/>
    <w:rsid w:val="00906428"/>
    <w:rsid w:val="00912CAB"/>
    <w:rsid w:val="00937026"/>
    <w:rsid w:val="00937DFB"/>
    <w:rsid w:val="0094019A"/>
    <w:rsid w:val="00950782"/>
    <w:rsid w:val="00950F0E"/>
    <w:rsid w:val="00954292"/>
    <w:rsid w:val="00954DF8"/>
    <w:rsid w:val="00963C5A"/>
    <w:rsid w:val="009641A4"/>
    <w:rsid w:val="00974B98"/>
    <w:rsid w:val="009755C5"/>
    <w:rsid w:val="009835BD"/>
    <w:rsid w:val="00987CF8"/>
    <w:rsid w:val="00993F01"/>
    <w:rsid w:val="009B6345"/>
    <w:rsid w:val="009D18C6"/>
    <w:rsid w:val="009F3455"/>
    <w:rsid w:val="00A13BB1"/>
    <w:rsid w:val="00A267EC"/>
    <w:rsid w:val="00A31A90"/>
    <w:rsid w:val="00A31BEF"/>
    <w:rsid w:val="00A359AF"/>
    <w:rsid w:val="00A80E1B"/>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1AFF"/>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2E0C"/>
    <w:rsid w:val="00EE48A7"/>
    <w:rsid w:val="00F05F67"/>
    <w:rsid w:val="00F21F06"/>
    <w:rsid w:val="00F2614C"/>
    <w:rsid w:val="00F2760D"/>
    <w:rsid w:val="00F34F90"/>
    <w:rsid w:val="00F351E6"/>
    <w:rsid w:val="00F36160"/>
    <w:rsid w:val="00F4205C"/>
    <w:rsid w:val="00F44C8D"/>
    <w:rsid w:val="00F5373C"/>
    <w:rsid w:val="00F55619"/>
    <w:rsid w:val="00F562E4"/>
    <w:rsid w:val="00F61E65"/>
    <w:rsid w:val="00F67163"/>
    <w:rsid w:val="00F71376"/>
    <w:rsid w:val="00F817B9"/>
    <w:rsid w:val="00F82F38"/>
    <w:rsid w:val="00F91682"/>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7A6C"/>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 w:type="paragraph" w:customStyle="1" w:styleId="Skaiiai2lygis">
    <w:name w:val="Skaičiai_2 lygis"/>
    <w:basedOn w:val="Normal"/>
    <w:link w:val="Skaiiai2lygisChar"/>
    <w:qFormat/>
    <w:rsid w:val="004A4C02"/>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4A4C02"/>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1066BD-E820-44B7-A80A-2CF0DB8F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26</Pages>
  <Words>48670</Words>
  <Characters>27743</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88</cp:revision>
  <cp:lastPrinted>2024-04-03T12:29:00Z</cp:lastPrinted>
  <dcterms:created xsi:type="dcterms:W3CDTF">2020-10-05T13:26:00Z</dcterms:created>
  <dcterms:modified xsi:type="dcterms:W3CDTF">2026-02-02T12:06:00Z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