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1643" w14:textId="77777777" w:rsidR="008145E0" w:rsidRDefault="008145E0" w:rsidP="008145E0">
      <w:pPr>
        <w:rPr>
          <w:lang w:val="lt-LT"/>
        </w:rPr>
      </w:pPr>
    </w:p>
    <w:p w14:paraId="5ABDE7CC" w14:textId="77777777" w:rsidR="008145E0" w:rsidRDefault="008145E0" w:rsidP="008145E0">
      <w:pPr>
        <w:rPr>
          <w:lang w:val="lt-LT"/>
        </w:rPr>
      </w:pPr>
    </w:p>
    <w:p w14:paraId="427266AF" w14:textId="77777777" w:rsidR="008145E0" w:rsidRDefault="008145E0" w:rsidP="008145E0">
      <w:pPr>
        <w:rPr>
          <w:lang w:val="lt-LT"/>
        </w:rPr>
      </w:pPr>
    </w:p>
    <w:p w14:paraId="39DA1ECB" w14:textId="74A8E1B4" w:rsidR="008145E0" w:rsidRPr="002E75F8" w:rsidRDefault="008145E0" w:rsidP="008145E0">
      <w:pPr>
        <w:jc w:val="center"/>
        <w:rPr>
          <w:b/>
          <w:lang w:val="lt-LT"/>
        </w:rPr>
      </w:pPr>
      <w:r>
        <w:rPr>
          <w:b/>
          <w:lang w:val="lt-LT"/>
        </w:rPr>
        <w:t>INTELEKTINĖS NUOSAVYBĖS</w:t>
      </w:r>
      <w:r w:rsidRPr="002E75F8">
        <w:rPr>
          <w:b/>
          <w:lang w:val="lt-LT"/>
        </w:rPr>
        <w:t xml:space="preserve"> PERDAVIMO-PRIĖMIMO AKTAS</w:t>
      </w:r>
    </w:p>
    <w:p w14:paraId="7FDC15B4" w14:textId="77777777" w:rsidR="008145E0" w:rsidRDefault="008145E0" w:rsidP="008145E0">
      <w:pPr>
        <w:rPr>
          <w:lang w:val="lt-LT"/>
        </w:rPr>
      </w:pPr>
    </w:p>
    <w:p w14:paraId="393990EE" w14:textId="5BE13110" w:rsidR="008145E0" w:rsidRDefault="008145E0" w:rsidP="008145E0">
      <w:pPr>
        <w:jc w:val="center"/>
        <w:rPr>
          <w:lang w:val="lt-LT"/>
        </w:rPr>
      </w:pPr>
      <w:r>
        <w:rPr>
          <w:lang w:val="lt-LT"/>
        </w:rPr>
        <w:t xml:space="preserve">Pagal sutartį Nr. ________ </w:t>
      </w:r>
    </w:p>
    <w:p w14:paraId="7079BBB9" w14:textId="296A78CC" w:rsidR="008145E0" w:rsidRDefault="008145E0" w:rsidP="008145E0">
      <w:pPr>
        <w:jc w:val="center"/>
        <w:rPr>
          <w:lang w:val="lt-LT"/>
        </w:rPr>
      </w:pPr>
      <w:r>
        <w:rPr>
          <w:lang w:val="lt-LT"/>
        </w:rPr>
        <w:t>2026 m. __________  __   d. Nr. 1</w:t>
      </w:r>
    </w:p>
    <w:p w14:paraId="09238A11" w14:textId="77777777" w:rsidR="008145E0" w:rsidRPr="000C0093" w:rsidRDefault="008145E0" w:rsidP="008145E0">
      <w:pPr>
        <w:jc w:val="center"/>
        <w:rPr>
          <w:sz w:val="22"/>
          <w:szCs w:val="22"/>
          <w:lang w:val="lt-LT"/>
        </w:rPr>
      </w:pPr>
      <w:r w:rsidRPr="000C0093">
        <w:rPr>
          <w:sz w:val="22"/>
          <w:szCs w:val="22"/>
          <w:lang w:val="lt-LT"/>
        </w:rPr>
        <w:t>Vilnius</w:t>
      </w:r>
    </w:p>
    <w:p w14:paraId="33746A58" w14:textId="77777777" w:rsidR="008145E0" w:rsidRDefault="008145E0" w:rsidP="008145E0">
      <w:pPr>
        <w:rPr>
          <w:lang w:val="lt-LT"/>
        </w:rPr>
      </w:pPr>
    </w:p>
    <w:p w14:paraId="14208657" w14:textId="77777777" w:rsidR="008145E0" w:rsidRDefault="008145E0" w:rsidP="008145E0">
      <w:pPr>
        <w:rPr>
          <w:lang w:val="lt-LT"/>
        </w:rPr>
      </w:pPr>
    </w:p>
    <w:p w14:paraId="3ECE7F50" w14:textId="33BB691A" w:rsidR="008145E0" w:rsidRDefault="008145E0" w:rsidP="008145E0">
      <w:pPr>
        <w:jc w:val="both"/>
        <w:rPr>
          <w:szCs w:val="24"/>
          <w:lang w:val="lt-LT"/>
        </w:rPr>
      </w:pPr>
      <w:r>
        <w:rPr>
          <w:b/>
          <w:bCs/>
          <w:szCs w:val="24"/>
          <w:lang w:val="lt-LT"/>
        </w:rPr>
        <w:t xml:space="preserve">Perkančioji organizacija - </w:t>
      </w:r>
      <w:r w:rsidRPr="00B47235">
        <w:rPr>
          <w:b/>
          <w:bCs/>
          <w:szCs w:val="24"/>
          <w:lang w:val="lt-LT"/>
        </w:rPr>
        <w:t>Lietuvos nacionalinis dailės muziejus</w:t>
      </w:r>
      <w:r>
        <w:rPr>
          <w:szCs w:val="24"/>
          <w:lang w:val="lt-LT"/>
        </w:rPr>
        <w:t xml:space="preserve">, atstovaujamas ____________, veikiančio pagal sutarties Nr. ______ (toliau – Sutartis) nuostatas, ir </w:t>
      </w:r>
    </w:p>
    <w:p w14:paraId="12F6F363" w14:textId="0C3C1D45" w:rsidR="008145E0" w:rsidRDefault="008145E0" w:rsidP="008145E0">
      <w:pPr>
        <w:jc w:val="both"/>
        <w:rPr>
          <w:szCs w:val="24"/>
          <w:lang w:val="lt-LT"/>
        </w:rPr>
      </w:pPr>
      <w:r w:rsidRPr="008145E0">
        <w:rPr>
          <w:b/>
          <w:bCs/>
          <w:szCs w:val="24"/>
          <w:lang w:val="lt-LT"/>
        </w:rPr>
        <w:t>Paslaugų teikėjas</w:t>
      </w:r>
      <w:r>
        <w:rPr>
          <w:szCs w:val="24"/>
          <w:lang w:val="lt-LT"/>
        </w:rPr>
        <w:t xml:space="preserve"> - ________________ , toliau kartu vadinami Šalimis, o kiekviena atskirai – Šalimi, remiantis Sutartimi sudarė šį intelektinės nuosavybės perdavimo – priėmimo aktą:</w:t>
      </w:r>
    </w:p>
    <w:p w14:paraId="26E3CFD8" w14:textId="77777777" w:rsidR="008145E0" w:rsidRPr="00BD332B" w:rsidRDefault="008145E0" w:rsidP="008145E0">
      <w:pPr>
        <w:jc w:val="both"/>
        <w:rPr>
          <w:szCs w:val="24"/>
          <w:lang w:val="lt-LT"/>
        </w:rPr>
      </w:pPr>
    </w:p>
    <w:p w14:paraId="0CA951C3" w14:textId="493EF753" w:rsidR="008145E0" w:rsidRDefault="008145E0" w:rsidP="008145E0">
      <w:pPr>
        <w:jc w:val="both"/>
        <w:rPr>
          <w:szCs w:val="24"/>
          <w:lang w:val="lt-LT"/>
        </w:rPr>
      </w:pPr>
      <w:r>
        <w:rPr>
          <w:lang w:val="lt-LT"/>
        </w:rPr>
        <w:t xml:space="preserve">1. Paslaugų teikėjas </w:t>
      </w:r>
      <w:r w:rsidR="00014F6A">
        <w:rPr>
          <w:szCs w:val="24"/>
          <w:lang w:val="lt-LT"/>
        </w:rPr>
        <w:t>perduoda, o Perkančioji organizacija priima v</w:t>
      </w:r>
      <w:r w:rsidR="00014F6A" w:rsidRPr="00014F6A">
        <w:rPr>
          <w:szCs w:val="24"/>
          <w:lang w:val="lt-LT"/>
        </w:rPr>
        <w:t>is</w:t>
      </w:r>
      <w:r w:rsidR="009E3DDC">
        <w:rPr>
          <w:szCs w:val="24"/>
          <w:lang w:val="lt-LT"/>
        </w:rPr>
        <w:t>as turtines autorių teises ir kitas intelektinės nuosavybės teises į</w:t>
      </w:r>
      <w:r w:rsidR="00014F6A" w:rsidRPr="00014F6A">
        <w:rPr>
          <w:szCs w:val="24"/>
          <w:lang w:val="lt-LT"/>
        </w:rPr>
        <w:t xml:space="preserve"> pagal </w:t>
      </w:r>
      <w:r w:rsidR="00014F6A">
        <w:rPr>
          <w:szCs w:val="24"/>
          <w:lang w:val="lt-LT"/>
        </w:rPr>
        <w:t>S</w:t>
      </w:r>
      <w:r w:rsidR="00014F6A" w:rsidRPr="00014F6A">
        <w:rPr>
          <w:szCs w:val="24"/>
          <w:lang w:val="lt-LT"/>
        </w:rPr>
        <w:t>utartį sukurt</w:t>
      </w:r>
      <w:r w:rsidR="00014F6A">
        <w:rPr>
          <w:szCs w:val="24"/>
          <w:lang w:val="lt-LT"/>
        </w:rPr>
        <w:t>ą</w:t>
      </w:r>
      <w:r w:rsidR="00014F6A" w:rsidRPr="00014F6A">
        <w:rPr>
          <w:szCs w:val="24"/>
          <w:lang w:val="lt-LT"/>
        </w:rPr>
        <w:t xml:space="preserve"> programin</w:t>
      </w:r>
      <w:r w:rsidR="00014F6A">
        <w:rPr>
          <w:szCs w:val="24"/>
          <w:lang w:val="lt-LT"/>
        </w:rPr>
        <w:t>ę</w:t>
      </w:r>
      <w:r w:rsidR="00014F6A" w:rsidRPr="00014F6A">
        <w:rPr>
          <w:szCs w:val="24"/>
          <w:lang w:val="lt-LT"/>
        </w:rPr>
        <w:t xml:space="preserve"> įrang</w:t>
      </w:r>
      <w:r w:rsidR="00014F6A">
        <w:rPr>
          <w:szCs w:val="24"/>
          <w:lang w:val="lt-LT"/>
        </w:rPr>
        <w:t>ą</w:t>
      </w:r>
      <w:r w:rsidR="00014F6A" w:rsidRPr="00014F6A">
        <w:rPr>
          <w:szCs w:val="24"/>
          <w:lang w:val="lt-LT"/>
        </w:rPr>
        <w:t>, šaltinio kod</w:t>
      </w:r>
      <w:r w:rsidR="00014F6A">
        <w:rPr>
          <w:szCs w:val="24"/>
          <w:lang w:val="lt-LT"/>
        </w:rPr>
        <w:t>ą</w:t>
      </w:r>
      <w:r w:rsidR="00014F6A" w:rsidRPr="00014F6A">
        <w:rPr>
          <w:szCs w:val="24"/>
          <w:lang w:val="lt-LT"/>
        </w:rPr>
        <w:t xml:space="preserve">, dizaino </w:t>
      </w:r>
      <w:proofErr w:type="spellStart"/>
      <w:r w:rsidR="00014F6A" w:rsidRPr="00014F6A">
        <w:rPr>
          <w:szCs w:val="24"/>
          <w:lang w:val="lt-LT"/>
        </w:rPr>
        <w:t>implementacij</w:t>
      </w:r>
      <w:r w:rsidR="00014F6A">
        <w:rPr>
          <w:szCs w:val="24"/>
          <w:lang w:val="lt-LT"/>
        </w:rPr>
        <w:t>ą</w:t>
      </w:r>
      <w:proofErr w:type="spellEnd"/>
      <w:r w:rsidR="00014F6A" w:rsidRPr="00014F6A">
        <w:rPr>
          <w:szCs w:val="24"/>
          <w:lang w:val="lt-LT"/>
        </w:rPr>
        <w:t xml:space="preserve"> ir dokumentacij</w:t>
      </w:r>
      <w:r w:rsidR="00014F6A">
        <w:rPr>
          <w:szCs w:val="24"/>
          <w:lang w:val="lt-LT"/>
        </w:rPr>
        <w:t>ą (įskaitant, bet neapsiribojant struktūrinius, vizualinius, funkcinius sprendimus, kitus Sutartyje ar techninėje specifikacijoje numatytus rezultatus)</w:t>
      </w:r>
      <w:r w:rsidR="0097379C">
        <w:rPr>
          <w:szCs w:val="24"/>
          <w:lang w:val="lt-LT"/>
        </w:rPr>
        <w:t xml:space="preserve"> (toliau – Rezultatus)</w:t>
      </w:r>
      <w:r>
        <w:rPr>
          <w:szCs w:val="24"/>
          <w:lang w:val="lt-LT"/>
        </w:rPr>
        <w:t>.</w:t>
      </w:r>
    </w:p>
    <w:p w14:paraId="56B25378" w14:textId="77777777" w:rsidR="008145E0" w:rsidRDefault="008145E0" w:rsidP="008145E0">
      <w:pPr>
        <w:jc w:val="both"/>
        <w:rPr>
          <w:szCs w:val="24"/>
          <w:lang w:val="lt-LT"/>
        </w:rPr>
      </w:pPr>
      <w:r w:rsidRPr="005B1FAF">
        <w:rPr>
          <w:sz w:val="16"/>
          <w:szCs w:val="16"/>
          <w:lang w:val="lt-LT"/>
        </w:rPr>
        <w:t xml:space="preserve">                      </w:t>
      </w:r>
      <w:r>
        <w:rPr>
          <w:sz w:val="16"/>
          <w:szCs w:val="16"/>
          <w:lang w:val="lt-LT"/>
        </w:rPr>
        <w:tab/>
      </w:r>
    </w:p>
    <w:p w14:paraId="12391430" w14:textId="1CD4FE50" w:rsidR="008145E0" w:rsidRDefault="008145E0" w:rsidP="008145E0">
      <w:pPr>
        <w:jc w:val="both"/>
        <w:rPr>
          <w:szCs w:val="24"/>
          <w:lang w:val="lt-LT"/>
        </w:rPr>
      </w:pPr>
      <w:r w:rsidRPr="00BD332B">
        <w:rPr>
          <w:szCs w:val="24"/>
          <w:lang w:val="lt-LT"/>
        </w:rPr>
        <w:t xml:space="preserve">2. </w:t>
      </w:r>
      <w:r w:rsidR="009E3DDC" w:rsidRPr="009E3DDC">
        <w:rPr>
          <w:szCs w:val="24"/>
          <w:lang w:val="lt-LT"/>
        </w:rPr>
        <w:t xml:space="preserve">Šalys susitaria, kad šis </w:t>
      </w:r>
      <w:r w:rsidR="009E3DDC">
        <w:rPr>
          <w:szCs w:val="24"/>
          <w:lang w:val="lt-LT"/>
        </w:rPr>
        <w:t>a</w:t>
      </w:r>
      <w:r w:rsidR="009E3DDC" w:rsidRPr="009E3DDC">
        <w:rPr>
          <w:szCs w:val="24"/>
          <w:lang w:val="lt-LT"/>
        </w:rPr>
        <w:t>ktas skirtas tik turtinių autorių teisių ir kitų intelektinės nuosavybės teisių perdavimui. Darbų atlikimo faktas, jų atitiktis Sutarties ir techninės specifikacijos reikalavimams bei tinkamumas naudoti pagal paskirtį patvirtinami atskiru atliktų darbų priėmimo–perdavimo aktu</w:t>
      </w:r>
      <w:r>
        <w:rPr>
          <w:szCs w:val="24"/>
          <w:lang w:val="lt-LT"/>
        </w:rPr>
        <w:t>.</w:t>
      </w:r>
    </w:p>
    <w:p w14:paraId="32C83700" w14:textId="77777777" w:rsidR="008145E0" w:rsidRDefault="008145E0" w:rsidP="008145E0">
      <w:pPr>
        <w:jc w:val="both"/>
        <w:rPr>
          <w:szCs w:val="24"/>
          <w:lang w:val="lt-LT"/>
        </w:rPr>
      </w:pPr>
    </w:p>
    <w:p w14:paraId="7ACA040A" w14:textId="77777777" w:rsidR="0097379C" w:rsidRDefault="008145E0" w:rsidP="008145E0">
      <w:pPr>
        <w:jc w:val="both"/>
        <w:rPr>
          <w:szCs w:val="24"/>
          <w:lang w:val="lt-LT"/>
        </w:rPr>
      </w:pPr>
      <w:r>
        <w:rPr>
          <w:szCs w:val="24"/>
          <w:lang w:val="lt-LT"/>
        </w:rPr>
        <w:t xml:space="preserve">3. </w:t>
      </w:r>
      <w:r w:rsidR="0097379C" w:rsidRPr="0097379C">
        <w:rPr>
          <w:szCs w:val="24"/>
          <w:lang w:val="lt-LT"/>
        </w:rPr>
        <w:t xml:space="preserve">Nuo šio </w:t>
      </w:r>
      <w:r w:rsidR="0097379C">
        <w:rPr>
          <w:szCs w:val="24"/>
          <w:lang w:val="lt-LT"/>
        </w:rPr>
        <w:t>a</w:t>
      </w:r>
      <w:r w:rsidR="0097379C" w:rsidRPr="0097379C">
        <w:rPr>
          <w:szCs w:val="24"/>
          <w:lang w:val="lt-LT"/>
        </w:rPr>
        <w:t xml:space="preserve">kto pasirašymo </w:t>
      </w:r>
      <w:r w:rsidR="0097379C">
        <w:rPr>
          <w:szCs w:val="24"/>
          <w:lang w:val="lt-LT"/>
        </w:rPr>
        <w:t>dienos</w:t>
      </w:r>
      <w:r w:rsidR="0097379C" w:rsidRPr="0097379C">
        <w:rPr>
          <w:szCs w:val="24"/>
          <w:lang w:val="lt-LT"/>
        </w:rPr>
        <w:t xml:space="preserve"> </w:t>
      </w:r>
      <w:r w:rsidR="0097379C">
        <w:rPr>
          <w:szCs w:val="24"/>
          <w:lang w:val="lt-LT"/>
        </w:rPr>
        <w:t>Paslaugų teikėjas</w:t>
      </w:r>
      <w:r w:rsidR="0097379C" w:rsidRPr="0097379C">
        <w:rPr>
          <w:szCs w:val="24"/>
          <w:lang w:val="lt-LT"/>
        </w:rPr>
        <w:t xml:space="preserve"> visam teis</w:t>
      </w:r>
      <w:r w:rsidR="0097379C">
        <w:rPr>
          <w:szCs w:val="24"/>
          <w:lang w:val="lt-LT"/>
        </w:rPr>
        <w:t>ių</w:t>
      </w:r>
      <w:r w:rsidR="0097379C" w:rsidRPr="0097379C">
        <w:rPr>
          <w:szCs w:val="24"/>
          <w:lang w:val="lt-LT"/>
        </w:rPr>
        <w:t xml:space="preserve"> galiojimo laikotarpiui perduoda Perkančiajai organizacijai visas turtines autorių teises ir kitas intelektinės nuosavybės teises į Rezultatus, įskaitant, bet neapsiribojant, šias teises: </w:t>
      </w:r>
    </w:p>
    <w:p w14:paraId="6E876033" w14:textId="77777777" w:rsidR="0097379C" w:rsidRDefault="0097379C" w:rsidP="008145E0">
      <w:pPr>
        <w:jc w:val="both"/>
        <w:rPr>
          <w:szCs w:val="24"/>
          <w:lang w:val="lt-LT"/>
        </w:rPr>
      </w:pPr>
      <w:r>
        <w:rPr>
          <w:szCs w:val="24"/>
          <w:lang w:val="lt-LT"/>
        </w:rPr>
        <w:t xml:space="preserve">3.1. </w:t>
      </w:r>
      <w:r w:rsidRPr="0097379C">
        <w:rPr>
          <w:szCs w:val="24"/>
          <w:lang w:val="lt-LT"/>
        </w:rPr>
        <w:t xml:space="preserve">teisę atgaminti bet kokia forma ir bet kokiomis priemonėmis; </w:t>
      </w:r>
    </w:p>
    <w:p w14:paraId="4620B1B9" w14:textId="77777777" w:rsidR="0097379C" w:rsidRDefault="0097379C" w:rsidP="008145E0">
      <w:pPr>
        <w:jc w:val="both"/>
        <w:rPr>
          <w:szCs w:val="24"/>
          <w:lang w:val="lt-LT"/>
        </w:rPr>
      </w:pPr>
      <w:r>
        <w:rPr>
          <w:szCs w:val="24"/>
          <w:lang w:val="lt-LT"/>
        </w:rPr>
        <w:t xml:space="preserve">3.2. </w:t>
      </w:r>
      <w:r w:rsidRPr="0097379C">
        <w:rPr>
          <w:szCs w:val="24"/>
          <w:lang w:val="lt-LT"/>
        </w:rPr>
        <w:t xml:space="preserve">teisę viešai skelbti, rodyti, transliuoti, perduoti internetu ar kitais tinklais; </w:t>
      </w:r>
    </w:p>
    <w:p w14:paraId="6891B516" w14:textId="77777777" w:rsidR="0097379C" w:rsidRDefault="0097379C" w:rsidP="008145E0">
      <w:pPr>
        <w:jc w:val="both"/>
        <w:rPr>
          <w:szCs w:val="24"/>
          <w:lang w:val="lt-LT"/>
        </w:rPr>
      </w:pPr>
      <w:r>
        <w:rPr>
          <w:szCs w:val="24"/>
          <w:lang w:val="lt-LT"/>
        </w:rPr>
        <w:t>3.3.</w:t>
      </w:r>
      <w:r w:rsidRPr="0097379C">
        <w:rPr>
          <w:szCs w:val="24"/>
          <w:lang w:val="lt-LT"/>
        </w:rPr>
        <w:t xml:space="preserve"> teisę versti, adaptuoti, modifikuoti, perdirbti, integruoti su kitais kūriniais ar sistemomis; </w:t>
      </w:r>
    </w:p>
    <w:p w14:paraId="68631880" w14:textId="77777777" w:rsidR="0097379C" w:rsidRDefault="0097379C" w:rsidP="008145E0">
      <w:pPr>
        <w:jc w:val="both"/>
        <w:rPr>
          <w:szCs w:val="24"/>
          <w:lang w:val="lt-LT"/>
        </w:rPr>
      </w:pPr>
      <w:r>
        <w:rPr>
          <w:szCs w:val="24"/>
          <w:lang w:val="lt-LT"/>
        </w:rPr>
        <w:t xml:space="preserve">3.4. </w:t>
      </w:r>
      <w:r w:rsidRPr="0097379C">
        <w:rPr>
          <w:szCs w:val="24"/>
          <w:lang w:val="lt-LT"/>
        </w:rPr>
        <w:t xml:space="preserve">teisę kurti išvestinius kūrinius; </w:t>
      </w:r>
    </w:p>
    <w:p w14:paraId="45F2D25E" w14:textId="0B19E6B1" w:rsidR="008145E0" w:rsidRDefault="0097379C" w:rsidP="008145E0">
      <w:pPr>
        <w:jc w:val="both"/>
        <w:rPr>
          <w:szCs w:val="24"/>
          <w:lang w:val="lt-LT"/>
        </w:rPr>
      </w:pPr>
      <w:r>
        <w:rPr>
          <w:szCs w:val="24"/>
          <w:lang w:val="lt-LT"/>
        </w:rPr>
        <w:t xml:space="preserve">3.5. teisę </w:t>
      </w:r>
      <w:r w:rsidRPr="0097379C">
        <w:rPr>
          <w:szCs w:val="24"/>
          <w:lang w:val="lt-LT"/>
        </w:rPr>
        <w:t>perduoti teises tretiesiems asmenims</w:t>
      </w:r>
      <w:r w:rsidR="008145E0" w:rsidRPr="00BD332B">
        <w:rPr>
          <w:szCs w:val="24"/>
          <w:lang w:val="lt-LT"/>
        </w:rPr>
        <w:t>.</w:t>
      </w:r>
    </w:p>
    <w:p w14:paraId="0F7D320C" w14:textId="77777777" w:rsidR="008145E0" w:rsidRDefault="008145E0" w:rsidP="008145E0">
      <w:pPr>
        <w:jc w:val="both"/>
        <w:rPr>
          <w:szCs w:val="24"/>
          <w:lang w:val="lt-LT"/>
        </w:rPr>
      </w:pPr>
    </w:p>
    <w:p w14:paraId="3B3D6C61" w14:textId="05C37D95" w:rsidR="0097379C" w:rsidRDefault="008145E0" w:rsidP="008145E0">
      <w:pPr>
        <w:jc w:val="both"/>
        <w:rPr>
          <w:szCs w:val="24"/>
          <w:lang w:val="lt-LT"/>
        </w:rPr>
      </w:pPr>
      <w:r>
        <w:rPr>
          <w:szCs w:val="24"/>
          <w:lang w:val="lt-LT"/>
        </w:rPr>
        <w:t>4.</w:t>
      </w:r>
      <w:r w:rsidR="0097379C">
        <w:rPr>
          <w:szCs w:val="24"/>
          <w:lang w:val="lt-LT"/>
        </w:rPr>
        <w:t xml:space="preserve"> Pagal šį aktą</w:t>
      </w:r>
      <w:r w:rsidR="0097379C" w:rsidRPr="0097379C">
        <w:rPr>
          <w:szCs w:val="24"/>
          <w:lang w:val="lt-LT"/>
        </w:rPr>
        <w:t xml:space="preserve"> perduodamos</w:t>
      </w:r>
      <w:r w:rsidR="0097379C">
        <w:rPr>
          <w:szCs w:val="24"/>
          <w:lang w:val="lt-LT"/>
        </w:rPr>
        <w:t xml:space="preserve"> teisės yra</w:t>
      </w:r>
      <w:r w:rsidR="0097379C" w:rsidRPr="0097379C">
        <w:rPr>
          <w:szCs w:val="24"/>
          <w:lang w:val="lt-LT"/>
        </w:rPr>
        <w:t xml:space="preserve"> išimtinės, be jokių teritorinių, laiko ar naudojimo būdo apribojimų</w:t>
      </w:r>
      <w:r w:rsidR="0097379C">
        <w:rPr>
          <w:szCs w:val="24"/>
          <w:lang w:val="lt-LT"/>
        </w:rPr>
        <w:t>.</w:t>
      </w:r>
    </w:p>
    <w:p w14:paraId="37B57B9F" w14:textId="485448F8" w:rsidR="0097379C" w:rsidRDefault="0097379C" w:rsidP="008145E0">
      <w:pPr>
        <w:jc w:val="both"/>
        <w:rPr>
          <w:szCs w:val="24"/>
          <w:lang w:val="lt-LT"/>
        </w:rPr>
      </w:pPr>
    </w:p>
    <w:p w14:paraId="64803380" w14:textId="02E6A8E6" w:rsidR="0097379C" w:rsidRDefault="0097379C" w:rsidP="008145E0">
      <w:pPr>
        <w:jc w:val="both"/>
        <w:rPr>
          <w:szCs w:val="24"/>
          <w:lang w:val="lt-LT"/>
        </w:rPr>
      </w:pPr>
      <w:r>
        <w:rPr>
          <w:szCs w:val="24"/>
          <w:lang w:val="lt-LT"/>
        </w:rPr>
        <w:t>5. Paslaugų teikėjas</w:t>
      </w:r>
      <w:r w:rsidRPr="0097379C">
        <w:rPr>
          <w:szCs w:val="24"/>
          <w:lang w:val="lt-LT"/>
        </w:rPr>
        <w:t xml:space="preserve"> patvirtina, kad po teisių perdavimo jis neturi ir neįgis jokių turtinių teisių į Rezultatus</w:t>
      </w:r>
      <w:r>
        <w:rPr>
          <w:szCs w:val="24"/>
          <w:lang w:val="lt-LT"/>
        </w:rPr>
        <w:t xml:space="preserve">. </w:t>
      </w:r>
    </w:p>
    <w:p w14:paraId="65EA404A" w14:textId="66B154B0" w:rsidR="0097379C" w:rsidRDefault="0097379C" w:rsidP="008145E0">
      <w:pPr>
        <w:jc w:val="both"/>
        <w:rPr>
          <w:szCs w:val="24"/>
          <w:lang w:val="lt-LT"/>
        </w:rPr>
      </w:pPr>
    </w:p>
    <w:p w14:paraId="3C0AD3CE" w14:textId="63BB373B" w:rsidR="0097379C" w:rsidRDefault="0097379C" w:rsidP="008145E0">
      <w:pPr>
        <w:jc w:val="both"/>
        <w:rPr>
          <w:szCs w:val="24"/>
          <w:lang w:val="lt-LT"/>
        </w:rPr>
      </w:pPr>
      <w:r>
        <w:rPr>
          <w:szCs w:val="24"/>
          <w:lang w:val="lt-LT"/>
        </w:rPr>
        <w:t>6. N</w:t>
      </w:r>
      <w:r w:rsidRPr="0097379C">
        <w:rPr>
          <w:szCs w:val="24"/>
          <w:lang w:val="lt-LT"/>
        </w:rPr>
        <w:t xml:space="preserve">eturtinės autorių teisės įgyvendinamos tiek, kiek tai leidžiama pagal Lietuvos Respublikos autorių teisių ir gretutinių teisių įstatymą, o </w:t>
      </w:r>
      <w:r>
        <w:rPr>
          <w:szCs w:val="24"/>
          <w:lang w:val="lt-LT"/>
        </w:rPr>
        <w:t>Paslaugų teikėjas</w:t>
      </w:r>
      <w:r w:rsidRPr="0097379C">
        <w:rPr>
          <w:szCs w:val="24"/>
          <w:lang w:val="lt-LT"/>
        </w:rPr>
        <w:t xml:space="preserve"> įsipareigoja nepareikšti reikalavimų, kurie nepagrįstai ribotų Perkančiosios organizacijos teisėtą Rezultatų naudojimą.</w:t>
      </w:r>
    </w:p>
    <w:p w14:paraId="2042CEF7" w14:textId="3E0AAF39" w:rsidR="0097379C" w:rsidRDefault="0097379C" w:rsidP="008145E0">
      <w:pPr>
        <w:jc w:val="both"/>
        <w:rPr>
          <w:szCs w:val="24"/>
          <w:lang w:val="lt-LT"/>
        </w:rPr>
      </w:pPr>
    </w:p>
    <w:p w14:paraId="011E9087" w14:textId="77777777" w:rsidR="0097379C" w:rsidRDefault="0097379C" w:rsidP="008145E0">
      <w:pPr>
        <w:jc w:val="both"/>
        <w:rPr>
          <w:szCs w:val="24"/>
          <w:lang w:val="lt-LT"/>
        </w:rPr>
      </w:pPr>
      <w:r>
        <w:rPr>
          <w:szCs w:val="24"/>
          <w:lang w:val="lt-LT"/>
        </w:rPr>
        <w:t>7. Paslaugų teikėjas</w:t>
      </w:r>
      <w:r w:rsidRPr="0097379C">
        <w:rPr>
          <w:szCs w:val="24"/>
          <w:lang w:val="lt-LT"/>
        </w:rPr>
        <w:t xml:space="preserve"> garantuoja, kad: </w:t>
      </w:r>
    </w:p>
    <w:p w14:paraId="0D174449" w14:textId="77777777" w:rsidR="0097379C" w:rsidRDefault="0097379C" w:rsidP="008145E0">
      <w:pPr>
        <w:jc w:val="both"/>
        <w:rPr>
          <w:szCs w:val="24"/>
          <w:lang w:val="lt-LT"/>
        </w:rPr>
      </w:pPr>
      <w:r>
        <w:rPr>
          <w:szCs w:val="24"/>
          <w:lang w:val="lt-LT"/>
        </w:rPr>
        <w:t xml:space="preserve">7.1. </w:t>
      </w:r>
      <w:r w:rsidRPr="0097379C">
        <w:rPr>
          <w:szCs w:val="24"/>
          <w:lang w:val="lt-LT"/>
        </w:rPr>
        <w:t xml:space="preserve">Rezultatai yra originalūs ir sukurti </w:t>
      </w:r>
      <w:r>
        <w:rPr>
          <w:szCs w:val="24"/>
          <w:lang w:val="lt-LT"/>
        </w:rPr>
        <w:t>Paslaugų teikėjo</w:t>
      </w:r>
      <w:r w:rsidRPr="0097379C">
        <w:rPr>
          <w:szCs w:val="24"/>
          <w:lang w:val="lt-LT"/>
        </w:rPr>
        <w:t xml:space="preserve"> arba teisėtai panaudojant trečiųjų asmenų kūrinius; </w:t>
      </w:r>
    </w:p>
    <w:p w14:paraId="17F4B3BD" w14:textId="77777777" w:rsidR="0097379C" w:rsidRDefault="0097379C" w:rsidP="008145E0">
      <w:pPr>
        <w:jc w:val="both"/>
        <w:rPr>
          <w:szCs w:val="24"/>
          <w:lang w:val="lt-LT"/>
        </w:rPr>
      </w:pPr>
      <w:r>
        <w:rPr>
          <w:szCs w:val="24"/>
          <w:lang w:val="lt-LT"/>
        </w:rPr>
        <w:t xml:space="preserve">7.2. </w:t>
      </w:r>
      <w:r w:rsidRPr="0097379C">
        <w:rPr>
          <w:szCs w:val="24"/>
          <w:lang w:val="lt-LT"/>
        </w:rPr>
        <w:t>Rezultatų naudojimas nepažeidžia trečiųjų asmenų autorių</w:t>
      </w:r>
      <w:r>
        <w:rPr>
          <w:szCs w:val="24"/>
          <w:lang w:val="lt-LT"/>
        </w:rPr>
        <w:t xml:space="preserve"> </w:t>
      </w:r>
      <w:r w:rsidRPr="0097379C">
        <w:rPr>
          <w:szCs w:val="24"/>
          <w:lang w:val="lt-LT"/>
        </w:rPr>
        <w:t xml:space="preserve">ar kitų intelektinės nuosavybės teisių; </w:t>
      </w:r>
    </w:p>
    <w:p w14:paraId="4EF433CF" w14:textId="77777777" w:rsidR="00162058" w:rsidRDefault="0097379C" w:rsidP="008145E0">
      <w:pPr>
        <w:jc w:val="both"/>
        <w:rPr>
          <w:szCs w:val="24"/>
          <w:lang w:val="lt-LT"/>
        </w:rPr>
      </w:pPr>
      <w:r>
        <w:rPr>
          <w:szCs w:val="24"/>
          <w:lang w:val="lt-LT"/>
        </w:rPr>
        <w:t xml:space="preserve">7.3. </w:t>
      </w:r>
      <w:r w:rsidRPr="0097379C">
        <w:rPr>
          <w:szCs w:val="24"/>
          <w:lang w:val="lt-LT"/>
        </w:rPr>
        <w:t xml:space="preserve">visos trečiųjų asmenų naudojamos programinės įrangos dalys (jeigu tokių yra) turi galiojančias licencijas, leidžiančias jų naudojimą Perkančiajai organizacijai; </w:t>
      </w:r>
    </w:p>
    <w:p w14:paraId="645772FB" w14:textId="77777777" w:rsidR="00162058" w:rsidRDefault="00162058" w:rsidP="008145E0">
      <w:pPr>
        <w:jc w:val="both"/>
        <w:rPr>
          <w:szCs w:val="24"/>
          <w:lang w:val="lt-LT"/>
        </w:rPr>
      </w:pPr>
      <w:r>
        <w:rPr>
          <w:szCs w:val="24"/>
          <w:lang w:val="lt-LT"/>
        </w:rPr>
        <w:t xml:space="preserve">7.4. </w:t>
      </w:r>
      <w:r w:rsidR="0097379C" w:rsidRPr="0097379C">
        <w:rPr>
          <w:szCs w:val="24"/>
          <w:lang w:val="lt-LT"/>
        </w:rPr>
        <w:t xml:space="preserve">nėra jokių suvaržymų, įkeitimų ar ginčų dėl perduodamų teisių. </w:t>
      </w:r>
    </w:p>
    <w:p w14:paraId="63C7C7D8" w14:textId="77777777" w:rsidR="00162058" w:rsidRDefault="00162058" w:rsidP="008145E0">
      <w:pPr>
        <w:jc w:val="both"/>
        <w:rPr>
          <w:szCs w:val="24"/>
          <w:lang w:val="lt-LT"/>
        </w:rPr>
      </w:pPr>
    </w:p>
    <w:p w14:paraId="3AF10136" w14:textId="2F383A2B" w:rsidR="0097379C" w:rsidRDefault="00162058" w:rsidP="008145E0">
      <w:pPr>
        <w:jc w:val="both"/>
        <w:rPr>
          <w:szCs w:val="24"/>
          <w:lang w:val="lt-LT"/>
        </w:rPr>
      </w:pPr>
      <w:r>
        <w:rPr>
          <w:szCs w:val="24"/>
          <w:lang w:val="lt-LT"/>
        </w:rPr>
        <w:t>8</w:t>
      </w:r>
      <w:r w:rsidR="0097379C" w:rsidRPr="0097379C">
        <w:rPr>
          <w:szCs w:val="24"/>
          <w:lang w:val="lt-LT"/>
        </w:rPr>
        <w:t xml:space="preserve">. </w:t>
      </w:r>
      <w:r>
        <w:rPr>
          <w:szCs w:val="24"/>
          <w:lang w:val="lt-LT"/>
        </w:rPr>
        <w:t>Paslaugų teikėjas</w:t>
      </w:r>
      <w:r w:rsidR="0097379C" w:rsidRPr="0097379C">
        <w:rPr>
          <w:szCs w:val="24"/>
          <w:lang w:val="lt-LT"/>
        </w:rPr>
        <w:t xml:space="preserve"> įsipareigoja atlyginti Perkančiajai organizacijai nuostolius, patirtus dėl trečiųjų asmenų pretenzijų, susijusių su intelektinės nuosavybės teisėmis</w:t>
      </w:r>
      <w:r>
        <w:rPr>
          <w:szCs w:val="24"/>
          <w:lang w:val="lt-LT"/>
        </w:rPr>
        <w:t xml:space="preserve"> į Rezultatus, jei tokių būtų</w:t>
      </w:r>
      <w:r w:rsidR="0097379C" w:rsidRPr="0097379C">
        <w:rPr>
          <w:szCs w:val="24"/>
          <w:lang w:val="lt-LT"/>
        </w:rPr>
        <w:t>.</w:t>
      </w:r>
    </w:p>
    <w:p w14:paraId="1B1C5D03" w14:textId="2A290A51" w:rsidR="00162058" w:rsidRDefault="00162058" w:rsidP="008145E0">
      <w:pPr>
        <w:jc w:val="both"/>
        <w:rPr>
          <w:szCs w:val="24"/>
          <w:lang w:val="lt-LT"/>
        </w:rPr>
      </w:pPr>
    </w:p>
    <w:p w14:paraId="36679FFC" w14:textId="11599EEC" w:rsidR="0097379C" w:rsidRDefault="00162058" w:rsidP="008145E0">
      <w:pPr>
        <w:jc w:val="both"/>
        <w:rPr>
          <w:szCs w:val="24"/>
          <w:lang w:val="lt-LT"/>
        </w:rPr>
      </w:pPr>
      <w:r>
        <w:rPr>
          <w:szCs w:val="24"/>
          <w:lang w:val="lt-LT"/>
        </w:rPr>
        <w:lastRenderedPageBreak/>
        <w:t xml:space="preserve">9. </w:t>
      </w:r>
      <w:r w:rsidR="0097379C">
        <w:rPr>
          <w:szCs w:val="24"/>
          <w:lang w:val="lt-LT"/>
        </w:rPr>
        <w:t>Atsiskaitymas už perduotas autorių turtines teises ir kitas intelektinės nuosavybės teises vykdomas pagal Sutartyje numatytą tvarką.</w:t>
      </w:r>
    </w:p>
    <w:p w14:paraId="56E21AC7" w14:textId="77777777" w:rsidR="0097379C" w:rsidRDefault="0097379C" w:rsidP="008145E0">
      <w:pPr>
        <w:jc w:val="both"/>
        <w:rPr>
          <w:szCs w:val="24"/>
          <w:lang w:val="lt-LT"/>
        </w:rPr>
      </w:pPr>
    </w:p>
    <w:p w14:paraId="50F5BE4A" w14:textId="17B1D895" w:rsidR="008145E0" w:rsidRDefault="00162058" w:rsidP="008145E0">
      <w:pPr>
        <w:jc w:val="both"/>
        <w:rPr>
          <w:szCs w:val="24"/>
          <w:lang w:val="lt-LT"/>
        </w:rPr>
      </w:pPr>
      <w:r>
        <w:rPr>
          <w:szCs w:val="24"/>
          <w:lang w:val="lt-LT"/>
        </w:rPr>
        <w:t>10</w:t>
      </w:r>
      <w:r w:rsidR="0097379C">
        <w:rPr>
          <w:szCs w:val="24"/>
          <w:lang w:val="lt-LT"/>
        </w:rPr>
        <w:t xml:space="preserve">. </w:t>
      </w:r>
      <w:r w:rsidR="008145E0">
        <w:rPr>
          <w:szCs w:val="24"/>
          <w:lang w:val="lt-LT"/>
        </w:rPr>
        <w:t xml:space="preserve">Šis aktas sudaromas dviem egzemplioriais, kurių kiekvienas, pasirašytas abiejų Šalių, turi vienodą teisinę galią. Po vieną šio akto egzempliorių įteikiama kiekvienai Šaliai. </w:t>
      </w:r>
    </w:p>
    <w:p w14:paraId="380128E1" w14:textId="77777777" w:rsidR="009E3DDC" w:rsidRDefault="009E3DDC" w:rsidP="008145E0">
      <w:pPr>
        <w:jc w:val="both"/>
        <w:rPr>
          <w:szCs w:val="24"/>
          <w:lang w:val="lt-LT"/>
        </w:rPr>
      </w:pPr>
    </w:p>
    <w:p w14:paraId="05A6D385" w14:textId="13D0D29D" w:rsidR="009E3DDC" w:rsidRPr="00BD332B" w:rsidRDefault="00162058" w:rsidP="008145E0">
      <w:pPr>
        <w:jc w:val="both"/>
        <w:rPr>
          <w:szCs w:val="24"/>
          <w:lang w:val="lt-LT"/>
        </w:rPr>
      </w:pPr>
      <w:r>
        <w:rPr>
          <w:szCs w:val="24"/>
          <w:lang w:val="lt-LT"/>
        </w:rPr>
        <w:t>11</w:t>
      </w:r>
      <w:r w:rsidR="009E3DDC">
        <w:rPr>
          <w:szCs w:val="24"/>
          <w:lang w:val="lt-LT"/>
        </w:rPr>
        <w:t xml:space="preserve">. </w:t>
      </w:r>
      <w:r w:rsidR="009E3DDC" w:rsidRPr="009E3DDC">
        <w:rPr>
          <w:szCs w:val="24"/>
          <w:lang w:val="lt-LT"/>
        </w:rPr>
        <w:t xml:space="preserve">Šis </w:t>
      </w:r>
      <w:r w:rsidR="0097379C">
        <w:rPr>
          <w:szCs w:val="24"/>
          <w:lang w:val="lt-LT"/>
        </w:rPr>
        <w:t>a</w:t>
      </w:r>
      <w:r w:rsidR="009E3DDC" w:rsidRPr="009E3DDC">
        <w:rPr>
          <w:szCs w:val="24"/>
          <w:lang w:val="lt-LT"/>
        </w:rPr>
        <w:t xml:space="preserve">ktas įsigalioja nuo jo pasirašymo dienos. </w:t>
      </w:r>
    </w:p>
    <w:p w14:paraId="7E92051B" w14:textId="77777777" w:rsidR="008145E0" w:rsidRPr="00BD332B" w:rsidRDefault="008145E0" w:rsidP="008145E0">
      <w:pPr>
        <w:jc w:val="both"/>
        <w:rPr>
          <w:szCs w:val="24"/>
          <w:lang w:val="lt-LT"/>
        </w:rPr>
      </w:pPr>
      <w:r w:rsidRPr="00BD332B">
        <w:rPr>
          <w:szCs w:val="24"/>
          <w:lang w:val="lt-LT"/>
        </w:rPr>
        <w:t xml:space="preserve"> </w:t>
      </w:r>
    </w:p>
    <w:p w14:paraId="42DAD00C" w14:textId="77777777" w:rsidR="008145E0" w:rsidRDefault="008145E0" w:rsidP="008145E0">
      <w:pPr>
        <w:rPr>
          <w:lang w:val="lt-LT"/>
        </w:rPr>
      </w:pPr>
    </w:p>
    <w:p w14:paraId="5F6C4449" w14:textId="77777777" w:rsidR="008145E0" w:rsidRDefault="008145E0" w:rsidP="008145E0">
      <w:pPr>
        <w:rPr>
          <w:lang w:val="lt-LT"/>
        </w:rPr>
      </w:pPr>
    </w:p>
    <w:p w14:paraId="57847BE3" w14:textId="77777777" w:rsidR="008145E0" w:rsidRDefault="008145E0" w:rsidP="008145E0">
      <w:pPr>
        <w:rPr>
          <w:lang w:val="lt-LT"/>
        </w:rPr>
      </w:pPr>
    </w:p>
    <w:p w14:paraId="1091855D" w14:textId="77777777" w:rsidR="008145E0" w:rsidRPr="00C123D9" w:rsidRDefault="008145E0" w:rsidP="008145E0">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275"/>
        <w:gridCol w:w="3964"/>
      </w:tblGrid>
      <w:tr w:rsidR="008145E0" w14:paraId="1929E044" w14:textId="77777777" w:rsidTr="009A45E0">
        <w:tc>
          <w:tcPr>
            <w:tcW w:w="4390" w:type="dxa"/>
          </w:tcPr>
          <w:p w14:paraId="39B608B8" w14:textId="77777777" w:rsidR="008145E0" w:rsidRPr="00EF1DB0" w:rsidRDefault="008145E0" w:rsidP="009A45E0">
            <w:pPr>
              <w:rPr>
                <w:i/>
                <w:iCs/>
                <w:szCs w:val="24"/>
                <w:lang w:val="lt-LT"/>
              </w:rPr>
            </w:pPr>
            <w:r w:rsidRPr="00EF1DB0">
              <w:rPr>
                <w:i/>
                <w:iCs/>
                <w:szCs w:val="24"/>
                <w:lang w:val="lt-LT"/>
              </w:rPr>
              <w:t>Paslaugas priėmusio darbuotojo pareigos</w:t>
            </w:r>
          </w:p>
        </w:tc>
        <w:tc>
          <w:tcPr>
            <w:tcW w:w="1275" w:type="dxa"/>
          </w:tcPr>
          <w:p w14:paraId="17793CB5" w14:textId="77777777" w:rsidR="008145E0" w:rsidRDefault="008145E0" w:rsidP="009A45E0">
            <w:pPr>
              <w:rPr>
                <w:szCs w:val="24"/>
                <w:lang w:val="lt-LT"/>
              </w:rPr>
            </w:pPr>
          </w:p>
        </w:tc>
        <w:tc>
          <w:tcPr>
            <w:tcW w:w="3964" w:type="dxa"/>
          </w:tcPr>
          <w:p w14:paraId="211AB8A2" w14:textId="77777777" w:rsidR="008145E0" w:rsidRDefault="008145E0" w:rsidP="009A45E0">
            <w:pPr>
              <w:rPr>
                <w:szCs w:val="24"/>
                <w:lang w:val="lt-LT"/>
              </w:rPr>
            </w:pPr>
            <w:r>
              <w:rPr>
                <w:szCs w:val="24"/>
                <w:lang w:val="lt-LT"/>
              </w:rPr>
              <w:t>Paslaugų teikėjas</w:t>
            </w:r>
          </w:p>
        </w:tc>
      </w:tr>
      <w:tr w:rsidR="008145E0" w14:paraId="69E59778" w14:textId="77777777" w:rsidTr="009A45E0">
        <w:tc>
          <w:tcPr>
            <w:tcW w:w="4390" w:type="dxa"/>
          </w:tcPr>
          <w:p w14:paraId="768D5A21" w14:textId="77777777" w:rsidR="008145E0" w:rsidRPr="00EF1DB0" w:rsidRDefault="008145E0" w:rsidP="009A45E0">
            <w:pPr>
              <w:rPr>
                <w:i/>
                <w:iCs/>
                <w:szCs w:val="24"/>
                <w:lang w:val="lt-LT"/>
              </w:rPr>
            </w:pPr>
            <w:r w:rsidRPr="00EF1DB0">
              <w:rPr>
                <w:i/>
                <w:iCs/>
                <w:szCs w:val="24"/>
                <w:lang w:val="lt-LT"/>
              </w:rPr>
              <w:t>Vardas, pavardė</w:t>
            </w:r>
          </w:p>
          <w:p w14:paraId="27C7A47E" w14:textId="77777777" w:rsidR="008145E0" w:rsidRDefault="008145E0" w:rsidP="009A45E0">
            <w:pPr>
              <w:rPr>
                <w:szCs w:val="24"/>
                <w:lang w:val="lt-LT"/>
              </w:rPr>
            </w:pPr>
          </w:p>
          <w:p w14:paraId="30FE3D08" w14:textId="77777777" w:rsidR="008145E0" w:rsidRDefault="008145E0" w:rsidP="009A45E0">
            <w:pPr>
              <w:rPr>
                <w:szCs w:val="24"/>
                <w:lang w:val="lt-LT"/>
              </w:rPr>
            </w:pPr>
            <w:r>
              <w:rPr>
                <w:szCs w:val="24"/>
                <w:lang w:val="lt-LT"/>
              </w:rPr>
              <w:t xml:space="preserve">_________________ </w:t>
            </w:r>
          </w:p>
          <w:p w14:paraId="24782BC8" w14:textId="77777777" w:rsidR="008145E0" w:rsidRDefault="008145E0" w:rsidP="009A45E0">
            <w:pPr>
              <w:rPr>
                <w:szCs w:val="24"/>
                <w:lang w:val="lt-LT"/>
              </w:rPr>
            </w:pPr>
            <w:r w:rsidRPr="003769D1">
              <w:rPr>
                <w:sz w:val="18"/>
                <w:szCs w:val="18"/>
                <w:lang w:val="lt-LT"/>
              </w:rPr>
              <w:t>(parašas)</w:t>
            </w:r>
            <w:r>
              <w:rPr>
                <w:szCs w:val="24"/>
                <w:lang w:val="lt-LT"/>
              </w:rPr>
              <w:t xml:space="preserve">          </w:t>
            </w:r>
          </w:p>
          <w:p w14:paraId="31346343" w14:textId="77777777" w:rsidR="008145E0" w:rsidRDefault="008145E0" w:rsidP="009A45E0">
            <w:pPr>
              <w:rPr>
                <w:szCs w:val="24"/>
                <w:lang w:val="lt-LT"/>
              </w:rPr>
            </w:pPr>
          </w:p>
        </w:tc>
        <w:tc>
          <w:tcPr>
            <w:tcW w:w="1275" w:type="dxa"/>
          </w:tcPr>
          <w:p w14:paraId="41D0BF61" w14:textId="77777777" w:rsidR="008145E0" w:rsidRDefault="008145E0" w:rsidP="009A45E0">
            <w:pPr>
              <w:rPr>
                <w:szCs w:val="24"/>
                <w:lang w:val="lt-LT"/>
              </w:rPr>
            </w:pPr>
          </w:p>
        </w:tc>
        <w:tc>
          <w:tcPr>
            <w:tcW w:w="3964" w:type="dxa"/>
          </w:tcPr>
          <w:p w14:paraId="004AD55E" w14:textId="77777777" w:rsidR="008145E0" w:rsidRPr="00EF1DB0" w:rsidRDefault="008145E0" w:rsidP="009A45E0">
            <w:pPr>
              <w:rPr>
                <w:i/>
                <w:iCs/>
                <w:szCs w:val="24"/>
                <w:lang w:val="lt-LT"/>
              </w:rPr>
            </w:pPr>
            <w:r w:rsidRPr="00EF1DB0">
              <w:rPr>
                <w:i/>
                <w:iCs/>
                <w:szCs w:val="24"/>
                <w:lang w:val="lt-LT"/>
              </w:rPr>
              <w:t>Vardas, pavardė</w:t>
            </w:r>
          </w:p>
          <w:p w14:paraId="51E8248E" w14:textId="77777777" w:rsidR="008145E0" w:rsidRDefault="008145E0" w:rsidP="009A45E0">
            <w:pPr>
              <w:rPr>
                <w:szCs w:val="24"/>
                <w:lang w:val="lt-LT"/>
              </w:rPr>
            </w:pPr>
          </w:p>
          <w:p w14:paraId="51CF3846" w14:textId="77777777" w:rsidR="008145E0" w:rsidRDefault="008145E0" w:rsidP="009A45E0">
            <w:pPr>
              <w:rPr>
                <w:szCs w:val="24"/>
                <w:lang w:val="lt-LT"/>
              </w:rPr>
            </w:pPr>
            <w:r>
              <w:rPr>
                <w:szCs w:val="24"/>
                <w:lang w:val="lt-LT"/>
              </w:rPr>
              <w:t xml:space="preserve">___________________ </w:t>
            </w:r>
          </w:p>
          <w:p w14:paraId="15AEB1BF" w14:textId="77777777" w:rsidR="008145E0" w:rsidRDefault="008145E0" w:rsidP="009A45E0">
            <w:pPr>
              <w:rPr>
                <w:szCs w:val="24"/>
                <w:lang w:val="lt-LT"/>
              </w:rPr>
            </w:pPr>
            <w:r w:rsidRPr="003769D1">
              <w:rPr>
                <w:sz w:val="18"/>
                <w:szCs w:val="18"/>
                <w:lang w:val="lt-LT"/>
              </w:rPr>
              <w:t>(parašas)</w:t>
            </w:r>
            <w:r>
              <w:rPr>
                <w:szCs w:val="24"/>
                <w:lang w:val="lt-LT"/>
              </w:rPr>
              <w:t xml:space="preserve">          </w:t>
            </w:r>
          </w:p>
        </w:tc>
      </w:tr>
      <w:tr w:rsidR="008145E0" w14:paraId="33DF83CC" w14:textId="77777777" w:rsidTr="009A45E0">
        <w:trPr>
          <w:trHeight w:val="984"/>
        </w:trPr>
        <w:tc>
          <w:tcPr>
            <w:tcW w:w="4390" w:type="dxa"/>
          </w:tcPr>
          <w:p w14:paraId="27F0C171" w14:textId="77777777" w:rsidR="008145E0" w:rsidRPr="00EF1DB0" w:rsidRDefault="008145E0" w:rsidP="009A45E0">
            <w:pPr>
              <w:rPr>
                <w:i/>
                <w:iCs/>
                <w:szCs w:val="24"/>
                <w:lang w:val="lt-LT"/>
              </w:rPr>
            </w:pPr>
          </w:p>
        </w:tc>
        <w:tc>
          <w:tcPr>
            <w:tcW w:w="1275" w:type="dxa"/>
          </w:tcPr>
          <w:p w14:paraId="5A39E6A3" w14:textId="77777777" w:rsidR="008145E0" w:rsidRDefault="008145E0" w:rsidP="009A45E0">
            <w:pPr>
              <w:rPr>
                <w:szCs w:val="24"/>
                <w:lang w:val="lt-LT"/>
              </w:rPr>
            </w:pPr>
          </w:p>
        </w:tc>
        <w:tc>
          <w:tcPr>
            <w:tcW w:w="3964" w:type="dxa"/>
          </w:tcPr>
          <w:p w14:paraId="7A51EC34" w14:textId="77777777" w:rsidR="008145E0" w:rsidRPr="00EF1DB0" w:rsidRDefault="008145E0" w:rsidP="009A45E0">
            <w:pPr>
              <w:rPr>
                <w:i/>
                <w:iCs/>
                <w:szCs w:val="24"/>
                <w:lang w:val="lt-LT"/>
              </w:rPr>
            </w:pPr>
          </w:p>
        </w:tc>
      </w:tr>
      <w:tr w:rsidR="008145E0" w14:paraId="159343C6" w14:textId="77777777" w:rsidTr="009A45E0">
        <w:tc>
          <w:tcPr>
            <w:tcW w:w="4390" w:type="dxa"/>
          </w:tcPr>
          <w:p w14:paraId="1051923B" w14:textId="77777777" w:rsidR="008145E0" w:rsidRPr="00EF1DB0" w:rsidRDefault="008145E0" w:rsidP="0077528A">
            <w:pPr>
              <w:rPr>
                <w:i/>
                <w:iCs/>
                <w:szCs w:val="24"/>
                <w:lang w:val="lt-LT"/>
              </w:rPr>
            </w:pPr>
          </w:p>
        </w:tc>
        <w:tc>
          <w:tcPr>
            <w:tcW w:w="1275" w:type="dxa"/>
          </w:tcPr>
          <w:p w14:paraId="24639C7B" w14:textId="77777777" w:rsidR="008145E0" w:rsidRDefault="008145E0" w:rsidP="009A45E0">
            <w:pPr>
              <w:rPr>
                <w:szCs w:val="24"/>
                <w:lang w:val="lt-LT"/>
              </w:rPr>
            </w:pPr>
          </w:p>
        </w:tc>
        <w:tc>
          <w:tcPr>
            <w:tcW w:w="3964" w:type="dxa"/>
          </w:tcPr>
          <w:p w14:paraId="1C76D342" w14:textId="77777777" w:rsidR="008145E0" w:rsidRPr="00EF1DB0" w:rsidRDefault="008145E0" w:rsidP="009A45E0">
            <w:pPr>
              <w:rPr>
                <w:i/>
                <w:iCs/>
                <w:szCs w:val="24"/>
                <w:lang w:val="lt-LT"/>
              </w:rPr>
            </w:pPr>
          </w:p>
        </w:tc>
      </w:tr>
    </w:tbl>
    <w:p w14:paraId="4D9BD0A1" w14:textId="77777777" w:rsidR="008145E0" w:rsidRPr="00EF1DB0" w:rsidRDefault="008145E0" w:rsidP="008145E0">
      <w:pPr>
        <w:rPr>
          <w:lang w:val="lt-LT"/>
        </w:rPr>
      </w:pPr>
      <w:r>
        <w:rPr>
          <w:szCs w:val="24"/>
          <w:lang w:val="lt-LT"/>
        </w:rPr>
        <w:t xml:space="preserve"> </w:t>
      </w:r>
    </w:p>
    <w:p w14:paraId="6D9F9830" w14:textId="77777777" w:rsidR="008145E0" w:rsidRDefault="008145E0" w:rsidP="008145E0">
      <w:pPr>
        <w:rPr>
          <w:szCs w:val="24"/>
          <w:lang w:val="lt-LT"/>
        </w:rPr>
      </w:pPr>
      <w:r>
        <w:rPr>
          <w:szCs w:val="24"/>
          <w:lang w:val="lt-LT"/>
        </w:rPr>
        <w:tab/>
      </w:r>
      <w:r>
        <w:rPr>
          <w:szCs w:val="24"/>
          <w:lang w:val="lt-LT"/>
        </w:rPr>
        <w:tab/>
      </w:r>
      <w:r>
        <w:rPr>
          <w:szCs w:val="24"/>
          <w:lang w:val="lt-LT"/>
        </w:rPr>
        <w:tab/>
        <w:t xml:space="preserve">        </w:t>
      </w:r>
    </w:p>
    <w:p w14:paraId="1E9E5244" w14:textId="77777777" w:rsidR="008145E0" w:rsidRDefault="008145E0" w:rsidP="008145E0">
      <w:pPr>
        <w:rPr>
          <w:szCs w:val="24"/>
          <w:lang w:val="lt-LT"/>
        </w:rPr>
      </w:pPr>
    </w:p>
    <w:p w14:paraId="3AC6B2AD" w14:textId="77777777" w:rsidR="008145E0" w:rsidRDefault="008145E0" w:rsidP="008145E0">
      <w:pPr>
        <w:rPr>
          <w:szCs w:val="24"/>
          <w:lang w:val="lt-LT"/>
        </w:rPr>
      </w:pPr>
    </w:p>
    <w:p w14:paraId="73C1649F" w14:textId="77777777" w:rsidR="008145E0" w:rsidRDefault="008145E0" w:rsidP="008145E0">
      <w:pPr>
        <w:rPr>
          <w:szCs w:val="24"/>
          <w:lang w:val="lt-LT"/>
        </w:rPr>
      </w:pPr>
    </w:p>
    <w:p w14:paraId="5D3E166E" w14:textId="77777777" w:rsidR="008145E0" w:rsidRDefault="008145E0" w:rsidP="008145E0">
      <w:pPr>
        <w:rPr>
          <w:szCs w:val="24"/>
          <w:lang w:val="lt-LT"/>
        </w:rPr>
      </w:pPr>
      <w:r>
        <w:rPr>
          <w:szCs w:val="24"/>
          <w:lang w:val="lt-LT"/>
        </w:rPr>
        <w:t xml:space="preserve"> </w:t>
      </w:r>
    </w:p>
    <w:p w14:paraId="31EF5EBE" w14:textId="77777777" w:rsidR="008145E0" w:rsidRDefault="008145E0" w:rsidP="008145E0">
      <w:pPr>
        <w:rPr>
          <w:szCs w:val="24"/>
          <w:lang w:val="lt-LT"/>
        </w:rPr>
      </w:pPr>
    </w:p>
    <w:p w14:paraId="47125E43" w14:textId="77777777" w:rsidR="008145E0" w:rsidRDefault="008145E0" w:rsidP="008145E0">
      <w:pPr>
        <w:rPr>
          <w:szCs w:val="24"/>
          <w:lang w:val="lt-LT"/>
        </w:rPr>
      </w:pPr>
    </w:p>
    <w:p w14:paraId="2ADD5A0B" w14:textId="77777777" w:rsidR="00ED6756" w:rsidRDefault="00ED6756"/>
    <w:sectPr w:rsidR="00ED6756" w:rsidSect="00D468EA">
      <w:headerReference w:type="default" r:id="rId6"/>
      <w:pgSz w:w="11907" w:h="16840" w:code="9"/>
      <w:pgMar w:top="567"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A07C" w14:textId="77777777" w:rsidR="00FD2822" w:rsidRDefault="00FD2822" w:rsidP="00162058">
      <w:r>
        <w:separator/>
      </w:r>
    </w:p>
  </w:endnote>
  <w:endnote w:type="continuationSeparator" w:id="0">
    <w:p w14:paraId="09C8EDE1" w14:textId="77777777" w:rsidR="00FD2822" w:rsidRDefault="00FD2822" w:rsidP="0016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8548" w14:textId="77777777" w:rsidR="00FD2822" w:rsidRDefault="00FD2822" w:rsidP="00162058">
      <w:r>
        <w:separator/>
      </w:r>
    </w:p>
  </w:footnote>
  <w:footnote w:type="continuationSeparator" w:id="0">
    <w:p w14:paraId="3C0C13F0" w14:textId="77777777" w:rsidR="00FD2822" w:rsidRDefault="00FD2822" w:rsidP="00162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07F0" w14:textId="77777777" w:rsidR="00EB4BD7" w:rsidRPr="00136C5E" w:rsidRDefault="00FD2822" w:rsidP="00430658">
    <w:pPr>
      <w:pStyle w:val="Header"/>
      <w:jc w:val="cente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E0"/>
    <w:rsid w:val="00014F6A"/>
    <w:rsid w:val="00162058"/>
    <w:rsid w:val="0077528A"/>
    <w:rsid w:val="008145E0"/>
    <w:rsid w:val="0097379C"/>
    <w:rsid w:val="009E3DDC"/>
    <w:rsid w:val="00C85C75"/>
    <w:rsid w:val="00ED6756"/>
    <w:rsid w:val="00FD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9881"/>
  <w15:chartTrackingRefBased/>
  <w15:docId w15:val="{8E03558D-610D-4B98-89F5-84915E92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E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5E0"/>
    <w:pPr>
      <w:tabs>
        <w:tab w:val="center" w:pos="4153"/>
        <w:tab w:val="right" w:pos="8306"/>
      </w:tabs>
      <w:overflowPunct/>
      <w:autoSpaceDE/>
      <w:autoSpaceDN/>
      <w:adjustRightInd/>
      <w:textAlignment w:val="auto"/>
    </w:pPr>
    <w:rPr>
      <w:sz w:val="20"/>
    </w:rPr>
  </w:style>
  <w:style w:type="character" w:customStyle="1" w:styleId="HeaderChar">
    <w:name w:val="Header Char"/>
    <w:basedOn w:val="DefaultParagraphFont"/>
    <w:link w:val="Header"/>
    <w:rsid w:val="008145E0"/>
    <w:rPr>
      <w:rFonts w:ascii="Times New Roman" w:eastAsia="Times New Roman" w:hAnsi="Times New Roman" w:cs="Times New Roman"/>
      <w:sz w:val="20"/>
      <w:szCs w:val="20"/>
    </w:rPr>
  </w:style>
  <w:style w:type="table" w:styleId="TableGrid">
    <w:name w:val="Table Grid"/>
    <w:basedOn w:val="TableNormal"/>
    <w:uiPriority w:val="39"/>
    <w:rsid w:val="0081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45E0"/>
    <w:rPr>
      <w:sz w:val="16"/>
      <w:szCs w:val="16"/>
    </w:rPr>
  </w:style>
  <w:style w:type="paragraph" w:styleId="CommentText">
    <w:name w:val="annotation text"/>
    <w:basedOn w:val="Normal"/>
    <w:link w:val="CommentTextChar"/>
    <w:uiPriority w:val="99"/>
    <w:semiHidden/>
    <w:unhideWhenUsed/>
    <w:rsid w:val="008145E0"/>
    <w:rPr>
      <w:sz w:val="20"/>
    </w:rPr>
  </w:style>
  <w:style w:type="character" w:customStyle="1" w:styleId="CommentTextChar">
    <w:name w:val="Comment Text Char"/>
    <w:basedOn w:val="DefaultParagraphFont"/>
    <w:link w:val="CommentText"/>
    <w:uiPriority w:val="99"/>
    <w:semiHidden/>
    <w:rsid w:val="0081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45E0"/>
    <w:rPr>
      <w:b/>
      <w:bCs/>
    </w:rPr>
  </w:style>
  <w:style w:type="character" w:customStyle="1" w:styleId="CommentSubjectChar">
    <w:name w:val="Comment Subject Char"/>
    <w:basedOn w:val="CommentTextChar"/>
    <w:link w:val="CommentSubject"/>
    <w:uiPriority w:val="99"/>
    <w:semiHidden/>
    <w:rsid w:val="008145E0"/>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162058"/>
    <w:pPr>
      <w:tabs>
        <w:tab w:val="center" w:pos="4680"/>
        <w:tab w:val="right" w:pos="9360"/>
      </w:tabs>
    </w:pPr>
  </w:style>
  <w:style w:type="character" w:customStyle="1" w:styleId="FooterChar">
    <w:name w:val="Footer Char"/>
    <w:basedOn w:val="DefaultParagraphFont"/>
    <w:link w:val="Footer"/>
    <w:uiPriority w:val="99"/>
    <w:rsid w:val="001620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Garalevičienė</dc:creator>
  <cp:keywords/>
  <dc:description/>
  <cp:lastModifiedBy>Aušrinė Mačėnienė</cp:lastModifiedBy>
  <cp:revision>2</cp:revision>
  <dcterms:created xsi:type="dcterms:W3CDTF">2026-01-20T11:50:00Z</dcterms:created>
  <dcterms:modified xsi:type="dcterms:W3CDTF">2026-01-20T13:09:00Z</dcterms:modified>
</cp:coreProperties>
</file>