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2C413C0C"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CE4FED">
              <w:rPr>
                <w:rFonts w:ascii="Times New Roman" w:hAnsi="Times New Roman" w:cs="Times New Roman"/>
                <w:b/>
                <w:lang w:val="lt-LT"/>
              </w:rPr>
              <w:t>KONTAKTINĖS JUOSTOS</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6DD3CF62"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Pirkimo objektas – Pard</w:t>
            </w:r>
            <w:r w:rsidR="00261B88">
              <w:rPr>
                <w:rFonts w:ascii="Times New Roman" w:hAnsi="Times New Roman" w:cs="Times New Roman"/>
                <w:lang w:val="lt-LT"/>
              </w:rPr>
              <w:t xml:space="preserve">avėjas įsipareigoja </w:t>
            </w:r>
            <w:r w:rsidR="00CE4FED">
              <w:rPr>
                <w:rFonts w:ascii="Times New Roman" w:hAnsi="Times New Roman" w:cs="Times New Roman"/>
                <w:lang w:val="lt-LT"/>
              </w:rPr>
              <w:t>parduoti ir pristatyti</w:t>
            </w:r>
            <w:r w:rsidR="00B975F8">
              <w:rPr>
                <w:rFonts w:ascii="Times New Roman" w:hAnsi="Times New Roman" w:cs="Times New Roman"/>
                <w:lang w:val="lt-LT"/>
              </w:rPr>
              <w:t xml:space="preserve"> kontaktinę velcro</w:t>
            </w:r>
            <w:bookmarkStart w:id="0" w:name="_GoBack"/>
            <w:bookmarkEnd w:id="0"/>
            <w:r w:rsidR="00B975F8">
              <w:rPr>
                <w:rFonts w:ascii="Times New Roman" w:hAnsi="Times New Roman" w:cs="Times New Roman"/>
                <w:lang w:val="lt-LT"/>
              </w:rPr>
              <w:t xml:space="preserve"> juostą</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CE4FED">
              <w:rPr>
                <w:rFonts w:ascii="Times New Roman" w:hAnsi="Times New Roman" w:cs="Times New Roman"/>
                <w:color w:val="000000"/>
                <w:lang w:val="lt-LT"/>
              </w:rPr>
              <w:t>r. 1 „Kontaktinė juosta</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437AE50A" w:rsidR="00431E20" w:rsidRPr="00CE4FED" w:rsidRDefault="00431E20" w:rsidP="00CE4FED">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46D4ACFA" w:rsidR="00AE4FA1" w:rsidRPr="00CE4FED" w:rsidRDefault="005C0C59" w:rsidP="00CE4FED">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771BC8BA"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CE4FED">
              <w:rPr>
                <w:rFonts w:ascii="Times New Roman" w:hAnsi="Times New Roman" w:cs="Times New Roman"/>
                <w:lang w:val="lt-LT"/>
              </w:rPr>
              <w:t>s ne vėliau kaip per 60 (šešiasdešimt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4F786162" w:rsidR="00EF4D8E" w:rsidRPr="00297F81"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privalo būti pristatytos vienu metu.</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050084">
        <w:trPr>
          <w:trHeight w:val="2155"/>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CE17091"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6A2EF094"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E8402BE"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050084">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39B56308" w:rsidR="00795E56" w:rsidRPr="00050084" w:rsidRDefault="007B276C" w:rsidP="00050084">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050084">
              <w:rPr>
                <w:rFonts w:ascii="Times New Roman" w:hAnsi="Times New Roman" w:cs="Times New Roman"/>
                <w:lang w:val="lt-LT"/>
              </w:rPr>
              <w:t>.</w:t>
            </w:r>
          </w:p>
          <w:p w14:paraId="0CF7B9D7" w14:textId="1E83DD13" w:rsidR="00A82C8E" w:rsidRPr="00050084" w:rsidRDefault="00A82C8E" w:rsidP="00050084">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lastRenderedPageBreak/>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3EB509B4"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CE4FED">
              <w:rPr>
                <w:rFonts w:ascii="Times New Roman" w:hAnsi="Times New Roman" w:cs="Times New Roman"/>
                <w:color w:val="000000"/>
                <w:lang w:val="lt-LT"/>
              </w:rPr>
              <w:t>Kontaktinė juosta</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7E0E601E" w14:textId="7A83F214" w:rsidR="00326DF0" w:rsidRDefault="00326DF0" w:rsidP="003E55C9">
      <w:pPr>
        <w:spacing w:after="0" w:line="240" w:lineRule="auto"/>
        <w:rPr>
          <w:rFonts w:ascii="Times New Roman" w:hAnsi="Times New Roman" w:cs="Times New Roman"/>
          <w:sz w:val="24"/>
        </w:rPr>
      </w:pPr>
    </w:p>
    <w:p w14:paraId="32EACFD8" w14:textId="77777777" w:rsidR="00261B88" w:rsidRDefault="00261B88" w:rsidP="003E55C9">
      <w:pPr>
        <w:spacing w:after="0" w:line="240" w:lineRule="auto"/>
        <w:rPr>
          <w:rFonts w:ascii="Times New Roman" w:hAnsi="Times New Roman" w:cs="Times New Roman"/>
          <w:sz w:val="24"/>
        </w:rPr>
      </w:pPr>
    </w:p>
    <w:p w14:paraId="4996ED3D" w14:textId="77777777" w:rsidR="003E55C9" w:rsidRDefault="003E55C9" w:rsidP="003E55C9">
      <w:pPr>
        <w:spacing w:after="0" w:line="240" w:lineRule="auto"/>
        <w:rPr>
          <w:rFonts w:ascii="Times New Roman" w:hAnsi="Times New Roman" w:cs="Times New Roman"/>
          <w:sz w:val="24"/>
        </w:rPr>
      </w:pPr>
    </w:p>
    <w:p w14:paraId="5B25C45C" w14:textId="67459938" w:rsidR="00C90BEB" w:rsidRDefault="00C90BEB" w:rsidP="00C90BEB">
      <w:pPr>
        <w:spacing w:after="0" w:line="240" w:lineRule="auto"/>
        <w:rPr>
          <w:rFonts w:ascii="Times New Roman" w:hAnsi="Times New Roman" w:cs="Times New Roman"/>
          <w:sz w:val="24"/>
        </w:rPr>
      </w:pPr>
    </w:p>
    <w:p w14:paraId="7413E3E4" w14:textId="0ADB2FDD" w:rsidR="00050084" w:rsidRDefault="00050084" w:rsidP="00C90BEB">
      <w:pPr>
        <w:spacing w:after="0" w:line="240" w:lineRule="auto"/>
        <w:rPr>
          <w:rFonts w:ascii="Times New Roman" w:hAnsi="Times New Roman" w:cs="Times New Roman"/>
          <w:sz w:val="24"/>
        </w:rPr>
      </w:pPr>
    </w:p>
    <w:p w14:paraId="15C7F33A" w14:textId="7368F6E6" w:rsidR="00050084" w:rsidRDefault="00050084" w:rsidP="00C90BEB">
      <w:pPr>
        <w:spacing w:after="0" w:line="240" w:lineRule="auto"/>
        <w:rPr>
          <w:rFonts w:ascii="Times New Roman" w:hAnsi="Times New Roman" w:cs="Times New Roman"/>
          <w:sz w:val="24"/>
        </w:rPr>
      </w:pPr>
    </w:p>
    <w:p w14:paraId="1CD4B983" w14:textId="19F2E648" w:rsidR="00050084" w:rsidRDefault="00050084" w:rsidP="00C90BEB">
      <w:pPr>
        <w:spacing w:after="0" w:line="240" w:lineRule="auto"/>
        <w:rPr>
          <w:rFonts w:ascii="Times New Roman" w:hAnsi="Times New Roman" w:cs="Times New Roman"/>
          <w:sz w:val="24"/>
        </w:rPr>
      </w:pPr>
    </w:p>
    <w:p w14:paraId="16790B43" w14:textId="5C842A4B" w:rsidR="00CE4FED" w:rsidRDefault="00CE4FED" w:rsidP="00C90BEB">
      <w:pPr>
        <w:spacing w:after="0" w:line="240" w:lineRule="auto"/>
        <w:rPr>
          <w:rFonts w:ascii="Times New Roman" w:hAnsi="Times New Roman" w:cs="Times New Roman"/>
          <w:sz w:val="24"/>
        </w:rPr>
      </w:pPr>
    </w:p>
    <w:p w14:paraId="55575497" w14:textId="77777777" w:rsidR="00CE4FED" w:rsidRDefault="00CE4FED"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577BD61F"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CE4FED">
        <w:rPr>
          <w:rFonts w:ascii="Times New Roman" w:hAnsi="Times New Roman" w:cs="Times New Roman"/>
          <w:sz w:val="24"/>
          <w:lang w:val="lt-LT"/>
        </w:rPr>
        <w:t>Kontaktinės juostos</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56DD1CFB" w:rsidR="00995612" w:rsidRDefault="00CE4FED"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Kontaktinė juosta</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4CFC7AC3" w:rsidR="00624AEE" w:rsidRDefault="00B975F8"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Kontaktinė juosta</w:t>
            </w:r>
            <w:r w:rsidR="00486A33" w:rsidRPr="00486A33">
              <w:rPr>
                <w:rFonts w:ascii="Times New Roman" w:eastAsia="Times New Roman" w:hAnsi="Times New Roman" w:cs="Times New Roman"/>
                <w:b/>
                <w:lang w:val="lt-LT"/>
              </w:rPr>
              <w:t>.</w:t>
            </w:r>
          </w:p>
          <w:p w14:paraId="5C2F06D3" w14:textId="13F94E84" w:rsidR="00486A33" w:rsidRPr="00C37D89" w:rsidRDefault="00B975F8" w:rsidP="006979C8">
            <w:pPr>
              <w:spacing w:after="0" w:line="240" w:lineRule="auto"/>
              <w:outlineLvl w:val="0"/>
              <w:rPr>
                <w:rFonts w:ascii="Times New Roman" w:hAnsi="Times New Roman" w:cs="Times New Roman"/>
                <w:lang w:val="lt-LT"/>
              </w:rPr>
            </w:pPr>
            <w:r w:rsidRPr="00B975F8">
              <w:rPr>
                <w:rFonts w:ascii="Times New Roman" w:hAnsi="Times New Roman" w:cs="Times New Roman"/>
                <w:lang w:val="lt-LT"/>
              </w:rPr>
              <w:t xml:space="preserve">Kontaktinė juosta velcro. Skirta sujungti įvairias medžiagas ar pritvirtinti daiktus. Juostos komplektą sudaro švelni „kilpučių“ juostos pusė ir šiurkšti „kabliukų“ pusė. Abiejų juostų viena pusė padengta klijais. Juostos plotis ne mažiau 50 mm. Juostos spalva </w:t>
            </w:r>
            <w:proofErr w:type="spellStart"/>
            <w:r w:rsidRPr="00B975F8">
              <w:rPr>
                <w:rFonts w:ascii="Times New Roman" w:hAnsi="Times New Roman" w:cs="Times New Roman"/>
                <w:lang w:val="lt-LT"/>
              </w:rPr>
              <w:t>Chaki</w:t>
            </w:r>
            <w:proofErr w:type="spellEnd"/>
            <w:r w:rsidRPr="00B975F8">
              <w:rPr>
                <w:rFonts w:ascii="Times New Roman" w:hAnsi="Times New Roman" w:cs="Times New Roman"/>
                <w:lang w:val="lt-LT"/>
              </w:rPr>
              <w:t>. Spalvos kodas RAL7013. Matuojama metrais. Medžiaga: poliamidas / nailonas. Klijuojamos dalies klijai pagaminti gumos pagrindu.</w:t>
            </w:r>
          </w:p>
        </w:tc>
        <w:tc>
          <w:tcPr>
            <w:tcW w:w="992" w:type="dxa"/>
            <w:vAlign w:val="center"/>
          </w:tcPr>
          <w:p w14:paraId="28CC30D3" w14:textId="14CF40AA" w:rsidR="00624AEE" w:rsidRPr="00925B94" w:rsidRDefault="00B975F8"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en-GB"/>
              </w:rPr>
              <w:t>m</w:t>
            </w:r>
          </w:p>
        </w:tc>
        <w:tc>
          <w:tcPr>
            <w:tcW w:w="850" w:type="dxa"/>
            <w:vAlign w:val="center"/>
          </w:tcPr>
          <w:p w14:paraId="034BC244" w14:textId="2377461F" w:rsidR="00624AEE" w:rsidRPr="00925B94" w:rsidRDefault="00B975F8"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3600</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3D629" w14:textId="77777777" w:rsidR="00143FF2" w:rsidRDefault="00143FF2" w:rsidP="00C7623E">
      <w:pPr>
        <w:spacing w:after="0" w:line="240" w:lineRule="auto"/>
      </w:pPr>
      <w:r>
        <w:separator/>
      </w:r>
    </w:p>
  </w:endnote>
  <w:endnote w:type="continuationSeparator" w:id="0">
    <w:p w14:paraId="3CFB597D" w14:textId="77777777" w:rsidR="00143FF2" w:rsidRDefault="00143FF2"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AB0FF" w14:textId="77777777" w:rsidR="00143FF2" w:rsidRDefault="00143FF2" w:rsidP="00C7623E">
      <w:pPr>
        <w:spacing w:after="0" w:line="240" w:lineRule="auto"/>
      </w:pPr>
      <w:r>
        <w:separator/>
      </w:r>
    </w:p>
  </w:footnote>
  <w:footnote w:type="continuationSeparator" w:id="0">
    <w:p w14:paraId="627F46AB" w14:textId="77777777" w:rsidR="00143FF2" w:rsidRDefault="00143FF2"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E85E84A" w:rsidR="00C7623E" w:rsidRDefault="00C7623E">
        <w:pPr>
          <w:pStyle w:val="Header"/>
          <w:jc w:val="center"/>
        </w:pPr>
        <w:r>
          <w:fldChar w:fldCharType="begin"/>
        </w:r>
        <w:r>
          <w:instrText xml:space="preserve"> PAGE   \* MERGEFORMAT </w:instrText>
        </w:r>
        <w:r>
          <w:fldChar w:fldCharType="separate"/>
        </w:r>
        <w:r w:rsidR="00B975F8">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50084"/>
    <w:rsid w:val="00061336"/>
    <w:rsid w:val="00063EE3"/>
    <w:rsid w:val="00076D6F"/>
    <w:rsid w:val="000929DF"/>
    <w:rsid w:val="000B1E57"/>
    <w:rsid w:val="000D1C8C"/>
    <w:rsid w:val="000E375B"/>
    <w:rsid w:val="000E5818"/>
    <w:rsid w:val="000F467F"/>
    <w:rsid w:val="00124B64"/>
    <w:rsid w:val="00130041"/>
    <w:rsid w:val="00130B00"/>
    <w:rsid w:val="00143FF2"/>
    <w:rsid w:val="00147FD5"/>
    <w:rsid w:val="001814A7"/>
    <w:rsid w:val="001829E6"/>
    <w:rsid w:val="00190529"/>
    <w:rsid w:val="001A1258"/>
    <w:rsid w:val="001C0995"/>
    <w:rsid w:val="001C2DE4"/>
    <w:rsid w:val="001D31BA"/>
    <w:rsid w:val="001F4E2C"/>
    <w:rsid w:val="00201752"/>
    <w:rsid w:val="002347EE"/>
    <w:rsid w:val="00242C2A"/>
    <w:rsid w:val="00261B88"/>
    <w:rsid w:val="00297F81"/>
    <w:rsid w:val="002A13B2"/>
    <w:rsid w:val="002E6760"/>
    <w:rsid w:val="002F1724"/>
    <w:rsid w:val="002F6779"/>
    <w:rsid w:val="0030328C"/>
    <w:rsid w:val="00326DF0"/>
    <w:rsid w:val="00330FAB"/>
    <w:rsid w:val="00341BC7"/>
    <w:rsid w:val="003467EC"/>
    <w:rsid w:val="00350830"/>
    <w:rsid w:val="00351D33"/>
    <w:rsid w:val="003541D9"/>
    <w:rsid w:val="00363B49"/>
    <w:rsid w:val="003960D0"/>
    <w:rsid w:val="003976A1"/>
    <w:rsid w:val="003B3A40"/>
    <w:rsid w:val="003B5E0B"/>
    <w:rsid w:val="003B7D1D"/>
    <w:rsid w:val="003E55C9"/>
    <w:rsid w:val="003E5D61"/>
    <w:rsid w:val="003F11A0"/>
    <w:rsid w:val="003F59D4"/>
    <w:rsid w:val="00416669"/>
    <w:rsid w:val="00431E20"/>
    <w:rsid w:val="00486A33"/>
    <w:rsid w:val="00496C5F"/>
    <w:rsid w:val="004A325E"/>
    <w:rsid w:val="004B1435"/>
    <w:rsid w:val="004C0A50"/>
    <w:rsid w:val="004C69D5"/>
    <w:rsid w:val="004C6CF5"/>
    <w:rsid w:val="004D4517"/>
    <w:rsid w:val="004D654A"/>
    <w:rsid w:val="005075B1"/>
    <w:rsid w:val="00511D2A"/>
    <w:rsid w:val="005177D2"/>
    <w:rsid w:val="00530F16"/>
    <w:rsid w:val="00556EA9"/>
    <w:rsid w:val="00557A7D"/>
    <w:rsid w:val="0057170D"/>
    <w:rsid w:val="00574CAB"/>
    <w:rsid w:val="005954C0"/>
    <w:rsid w:val="0059561B"/>
    <w:rsid w:val="005B45B6"/>
    <w:rsid w:val="005B4B3B"/>
    <w:rsid w:val="005C0C59"/>
    <w:rsid w:val="005C3E7C"/>
    <w:rsid w:val="005D300A"/>
    <w:rsid w:val="005F632C"/>
    <w:rsid w:val="00622DEA"/>
    <w:rsid w:val="00624AEE"/>
    <w:rsid w:val="00626C69"/>
    <w:rsid w:val="006308F9"/>
    <w:rsid w:val="00641546"/>
    <w:rsid w:val="00646B25"/>
    <w:rsid w:val="00652E55"/>
    <w:rsid w:val="0065786A"/>
    <w:rsid w:val="006929A4"/>
    <w:rsid w:val="006979C8"/>
    <w:rsid w:val="006A09FD"/>
    <w:rsid w:val="006C16B4"/>
    <w:rsid w:val="006D5729"/>
    <w:rsid w:val="006E1934"/>
    <w:rsid w:val="00730A90"/>
    <w:rsid w:val="00746B7C"/>
    <w:rsid w:val="007861AB"/>
    <w:rsid w:val="00787B14"/>
    <w:rsid w:val="00793813"/>
    <w:rsid w:val="00795E56"/>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83CD9"/>
    <w:rsid w:val="00995612"/>
    <w:rsid w:val="009B7FFB"/>
    <w:rsid w:val="009E779E"/>
    <w:rsid w:val="00A00AE0"/>
    <w:rsid w:val="00A06EE4"/>
    <w:rsid w:val="00A25520"/>
    <w:rsid w:val="00A306CD"/>
    <w:rsid w:val="00A60671"/>
    <w:rsid w:val="00A66D7F"/>
    <w:rsid w:val="00A82C8E"/>
    <w:rsid w:val="00AA0A86"/>
    <w:rsid w:val="00AB144E"/>
    <w:rsid w:val="00AB1A45"/>
    <w:rsid w:val="00AB3681"/>
    <w:rsid w:val="00AE4FA1"/>
    <w:rsid w:val="00AE628B"/>
    <w:rsid w:val="00AF206A"/>
    <w:rsid w:val="00AF3CC7"/>
    <w:rsid w:val="00B00462"/>
    <w:rsid w:val="00B164F1"/>
    <w:rsid w:val="00B40257"/>
    <w:rsid w:val="00B51B8D"/>
    <w:rsid w:val="00B56922"/>
    <w:rsid w:val="00B57E08"/>
    <w:rsid w:val="00B80294"/>
    <w:rsid w:val="00B83EA9"/>
    <w:rsid w:val="00B975F8"/>
    <w:rsid w:val="00BC5E3F"/>
    <w:rsid w:val="00BD1788"/>
    <w:rsid w:val="00BD64EA"/>
    <w:rsid w:val="00BF6FC9"/>
    <w:rsid w:val="00C01ABC"/>
    <w:rsid w:val="00C167F7"/>
    <w:rsid w:val="00C223A0"/>
    <w:rsid w:val="00C37D89"/>
    <w:rsid w:val="00C556A2"/>
    <w:rsid w:val="00C7623E"/>
    <w:rsid w:val="00C90BEB"/>
    <w:rsid w:val="00CA6639"/>
    <w:rsid w:val="00CD776B"/>
    <w:rsid w:val="00CE4FED"/>
    <w:rsid w:val="00D92EFC"/>
    <w:rsid w:val="00DB4C74"/>
    <w:rsid w:val="00DD7962"/>
    <w:rsid w:val="00DE1B43"/>
    <w:rsid w:val="00E042C0"/>
    <w:rsid w:val="00E3363B"/>
    <w:rsid w:val="00E54645"/>
    <w:rsid w:val="00E5465F"/>
    <w:rsid w:val="00E67F48"/>
    <w:rsid w:val="00E75163"/>
    <w:rsid w:val="00E778D2"/>
    <w:rsid w:val="00E810C4"/>
    <w:rsid w:val="00E870F4"/>
    <w:rsid w:val="00EA3D73"/>
    <w:rsid w:val="00EC34BC"/>
    <w:rsid w:val="00EF4D8E"/>
    <w:rsid w:val="00F17E8B"/>
    <w:rsid w:val="00F33B46"/>
    <w:rsid w:val="00F51383"/>
    <w:rsid w:val="00F51D7F"/>
    <w:rsid w:val="00F666D4"/>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123D0-D6EA-48CA-8CCC-24F8A8D5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6842</Words>
  <Characters>3901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79</cp:revision>
  <dcterms:created xsi:type="dcterms:W3CDTF">2022-07-14T05:54:00Z</dcterms:created>
  <dcterms:modified xsi:type="dcterms:W3CDTF">2026-02-03T08:34:00Z</dcterms:modified>
</cp:coreProperties>
</file>