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A1A9" w14:textId="3F850FD9" w:rsidR="0082222D" w:rsidRPr="00231E84" w:rsidRDefault="00FC7F2D" w:rsidP="0082222D">
      <w:pPr>
        <w:spacing w:after="0" w:line="240" w:lineRule="auto"/>
        <w:ind w:left="5670"/>
        <w:rPr>
          <w:rFonts w:ascii="Times New Roman" w:eastAsia="Times New Roman" w:hAnsi="Times New Roman" w:cs="Times New Roman"/>
          <w:kern w:val="0"/>
          <w:sz w:val="24"/>
          <w:szCs w:val="24"/>
          <w14:ligatures w14:val="none"/>
        </w:rPr>
      </w:pPr>
      <w:r w:rsidRPr="00FC7F2D">
        <w:rPr>
          <w:rFonts w:ascii="Times New Roman" w:eastAsia="Times New Roman" w:hAnsi="Times New Roman" w:cs="Times New Roman"/>
          <w:kern w:val="0"/>
          <w:sz w:val="24"/>
          <w:szCs w:val="24"/>
          <w14:ligatures w14:val="none"/>
        </w:rPr>
        <w:t>Mobiliųjų telefonų</w:t>
      </w:r>
      <w:r w:rsidR="006F45B5">
        <w:rPr>
          <w:rFonts w:ascii="Times New Roman" w:eastAsia="Times New Roman" w:hAnsi="Times New Roman" w:cs="Times New Roman"/>
          <w:kern w:val="0"/>
          <w:sz w:val="24"/>
          <w:szCs w:val="24"/>
          <w14:ligatures w14:val="none"/>
        </w:rPr>
        <w:t xml:space="preserve">, </w:t>
      </w:r>
      <w:r w:rsidRPr="00FC7F2D">
        <w:rPr>
          <w:rFonts w:ascii="Times New Roman" w:eastAsia="Times New Roman" w:hAnsi="Times New Roman" w:cs="Times New Roman"/>
          <w:kern w:val="0"/>
          <w:sz w:val="24"/>
          <w:szCs w:val="24"/>
          <w14:ligatures w14:val="none"/>
        </w:rPr>
        <w:t xml:space="preserve">mobiliųjų telefonų įkroviklių </w:t>
      </w:r>
      <w:r w:rsidR="006F45B5">
        <w:rPr>
          <w:rFonts w:ascii="Times New Roman" w:eastAsia="Times New Roman" w:hAnsi="Times New Roman" w:cs="Times New Roman"/>
          <w:kern w:val="0"/>
          <w:sz w:val="24"/>
          <w:szCs w:val="24"/>
          <w14:ligatures w14:val="none"/>
        </w:rPr>
        <w:t xml:space="preserve">ir dėklų </w:t>
      </w:r>
      <w:r w:rsidR="0082222D">
        <w:rPr>
          <w:rFonts w:ascii="Times New Roman" w:eastAsia="Times New Roman" w:hAnsi="Times New Roman" w:cs="Times New Roman"/>
          <w:kern w:val="0"/>
          <w:sz w:val="24"/>
          <w:szCs w:val="24"/>
          <w14:ligatures w14:val="none"/>
        </w:rPr>
        <w:t>mažos vertės viešojo pirkimo</w:t>
      </w:r>
      <w:r w:rsidR="0082222D" w:rsidRPr="00231E84">
        <w:rPr>
          <w:rFonts w:ascii="Times New Roman" w:eastAsia="Times New Roman" w:hAnsi="Times New Roman" w:cs="Times New Roman"/>
          <w:kern w:val="0"/>
          <w:sz w:val="24"/>
          <w:szCs w:val="24"/>
          <w14:ligatures w14:val="none"/>
        </w:rPr>
        <w:t>, atliekamo skelbiamos apklausos būdu, sąlygų</w:t>
      </w:r>
    </w:p>
    <w:p w14:paraId="6005D157" w14:textId="434F8E98" w:rsidR="00D54BB9" w:rsidRPr="00595522" w:rsidRDefault="00D54BB9" w:rsidP="00B66661">
      <w:pPr>
        <w:spacing w:after="0" w:line="240" w:lineRule="auto"/>
        <w:ind w:left="5670"/>
        <w:rPr>
          <w:rFonts w:ascii="Times New Roman" w:eastAsia="Times New Roman" w:hAnsi="Times New Roman" w:cs="Times New Roman"/>
          <w:b/>
          <w:bCs/>
          <w:kern w:val="0"/>
          <w:sz w:val="24"/>
          <w:szCs w:val="24"/>
          <w14:ligatures w14:val="none"/>
        </w:rPr>
      </w:pPr>
      <w:r w:rsidRPr="00595522">
        <w:rPr>
          <w:rFonts w:ascii="Times New Roman" w:eastAsia="Times New Roman" w:hAnsi="Times New Roman" w:cs="Times New Roman"/>
          <w:b/>
          <w:bCs/>
          <w:kern w:val="0"/>
          <w:sz w:val="24"/>
          <w:szCs w:val="24"/>
          <w14:ligatures w14:val="none"/>
        </w:rPr>
        <w:t>2</w:t>
      </w:r>
      <w:r w:rsidR="00B66661" w:rsidRPr="00595522">
        <w:rPr>
          <w:rFonts w:ascii="Times New Roman" w:hAnsi="Times New Roman" w:cs="Times New Roman"/>
          <w:b/>
          <w:bCs/>
          <w:sz w:val="24"/>
          <w:szCs w:val="24"/>
        </w:rPr>
        <w:t> </w:t>
      </w:r>
      <w:r w:rsidRPr="00595522">
        <w:rPr>
          <w:rFonts w:ascii="Times New Roman" w:eastAsia="Times New Roman" w:hAnsi="Times New Roman" w:cs="Times New Roman"/>
          <w:b/>
          <w:bCs/>
          <w:kern w:val="0"/>
          <w:sz w:val="24"/>
          <w:szCs w:val="24"/>
          <w14:ligatures w14:val="none"/>
        </w:rPr>
        <w:t>priedas</w:t>
      </w:r>
    </w:p>
    <w:p w14:paraId="1751B0B0" w14:textId="77777777" w:rsidR="00B42068" w:rsidRPr="00B42068" w:rsidRDefault="00B42068" w:rsidP="00B42068">
      <w:pPr>
        <w:rPr>
          <w:rFonts w:ascii="Times New Roman" w:eastAsia="Times New Roman" w:hAnsi="Times New Roman" w:cs="Times New Roman"/>
          <w:sz w:val="24"/>
          <w:szCs w:val="24"/>
        </w:rPr>
      </w:pPr>
    </w:p>
    <w:p w14:paraId="43557CC6" w14:textId="7BAA897D" w:rsidR="00B42068" w:rsidRPr="00231E84" w:rsidRDefault="00B42068" w:rsidP="009C49BF">
      <w:pPr>
        <w:spacing w:after="0" w:line="240" w:lineRule="auto"/>
        <w:jc w:val="center"/>
        <w:rPr>
          <w:rFonts w:ascii="Times New Roman" w:eastAsia="Calibri" w:hAnsi="Times New Roman" w:cs="Times New Roman"/>
          <w:b/>
          <w:color w:val="000000"/>
          <w:kern w:val="0"/>
          <w:sz w:val="24"/>
          <w:szCs w:val="24"/>
          <w:lang w:val="pt-BR"/>
          <w14:ligatures w14:val="none"/>
        </w:rPr>
      </w:pPr>
      <w:r w:rsidRPr="00B42068">
        <w:rPr>
          <w:rFonts w:ascii="Times New Roman" w:eastAsia="Calibri" w:hAnsi="Times New Roman" w:cs="Times New Roman"/>
          <w:b/>
          <w:kern w:val="0"/>
          <w:sz w:val="24"/>
          <w:szCs w:val="24"/>
          <w14:ligatures w14:val="none"/>
        </w:rPr>
        <w:t>TIEKĖJŲ PAŠALINIMO PAGRINDAI IR KVALIFIKACIJOS REIKALAVIMAI</w:t>
      </w:r>
    </w:p>
    <w:p w14:paraId="344AB5A4" w14:textId="41A08747" w:rsidR="00B42068" w:rsidRPr="00B42068" w:rsidRDefault="00B42068" w:rsidP="00B42068">
      <w:pPr>
        <w:tabs>
          <w:tab w:val="left" w:pos="3312"/>
        </w:tabs>
        <w:jc w:val="both"/>
        <w:rPr>
          <w:rFonts w:ascii="Times New Roman" w:eastAsia="Times New Roman" w:hAnsi="Times New Roman" w:cs="Times New Roman"/>
          <w:sz w:val="24"/>
          <w:szCs w:val="24"/>
        </w:rPr>
      </w:pPr>
    </w:p>
    <w:p w14:paraId="4DAFFDC2" w14:textId="6AA2661A" w:rsidR="00B42068" w:rsidRPr="00D92CAE" w:rsidRDefault="00B42068" w:rsidP="00B42068">
      <w:pPr>
        <w:jc w:val="both"/>
        <w:rPr>
          <w:rFonts w:ascii="Times New Roman" w:eastAsia="Times New Roman" w:hAnsi="Times New Roman" w:cs="Times New Roman"/>
          <w:b/>
          <w:bCs/>
          <w:sz w:val="24"/>
          <w:szCs w:val="24"/>
        </w:rPr>
      </w:pPr>
      <w:r w:rsidRPr="00D92CAE">
        <w:rPr>
          <w:rFonts w:ascii="Times New Roman" w:eastAsia="Times New Roman" w:hAnsi="Times New Roman" w:cs="Times New Roman"/>
          <w:b/>
          <w:bCs/>
          <w:sz w:val="24"/>
          <w:szCs w:val="24"/>
        </w:rPr>
        <w:t>1.</w:t>
      </w:r>
      <w:r w:rsidR="004E562E" w:rsidRPr="00D92CAE">
        <w:rPr>
          <w:rFonts w:ascii="Times New Roman" w:eastAsia="Times New Roman" w:hAnsi="Times New Roman" w:cs="Times New Roman"/>
          <w:b/>
          <w:bCs/>
          <w:sz w:val="24"/>
          <w:szCs w:val="24"/>
        </w:rPr>
        <w:t xml:space="preserve"> </w:t>
      </w:r>
      <w:r w:rsidRPr="00D92CAE">
        <w:rPr>
          <w:rFonts w:ascii="Times New Roman" w:eastAsia="Times New Roman" w:hAnsi="Times New Roman" w:cs="Times New Roman"/>
          <w:b/>
          <w:bCs/>
          <w:sz w:val="24"/>
          <w:szCs w:val="24"/>
        </w:rPr>
        <w:t xml:space="preserve">Reikalavimai dėl tiekėjo pašalinimo pagrindų: </w:t>
      </w:r>
    </w:p>
    <w:p w14:paraId="73A6DCCE" w14:textId="77777777"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 xml:space="preserve">1.1. Perkančioji organizacija atmeta tiekėjo pasiūlymą, jeigu: </w:t>
      </w:r>
    </w:p>
    <w:p w14:paraId="6371C92A" w14:textId="22654E9B" w:rsidR="00B42068" w:rsidRPr="004137E0" w:rsidRDefault="00B42068" w:rsidP="00B42068">
      <w:pPr>
        <w:jc w:val="both"/>
        <w:rPr>
          <w:rFonts w:ascii="Times New Roman" w:eastAsia="Times New Roman" w:hAnsi="Times New Roman" w:cs="Times New Roman"/>
          <w:b/>
          <w:bCs/>
          <w:sz w:val="24"/>
          <w:szCs w:val="24"/>
        </w:rPr>
      </w:pPr>
      <w:r w:rsidRPr="00B42068">
        <w:rPr>
          <w:rFonts w:ascii="Times New Roman" w:eastAsia="Times New Roman" w:hAnsi="Times New Roman" w:cs="Times New Roman"/>
          <w:sz w:val="24"/>
          <w:szCs w:val="24"/>
        </w:rPr>
        <w:t xml:space="preserve">1.1.1.Tiekėjas su kitais tiekėjais yra sudaręs susitarimų, kuriais siekiama iškreipti konkurenciją atliekamame pirkime, ir perkančioji organizacija dėl to turi įtikinamų duomenų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1</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1F3F33B1" w14:textId="40822ED2"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metu pateko į interesų konflikto situaciją, kaip apibrėžta Įstatymo 21</w:t>
      </w:r>
      <w:r w:rsidR="00C85B66" w:rsidRPr="00962F3D">
        <w:rPr>
          <w:szCs w:val="24"/>
        </w:rPr>
        <w:t> </w:t>
      </w:r>
      <w:r w:rsidRPr="00B42068">
        <w:rPr>
          <w:rFonts w:ascii="Times New Roman" w:eastAsia="Times New Roman" w:hAnsi="Times New Roman" w:cs="Times New Roman"/>
          <w:sz w:val="24"/>
          <w:szCs w:val="24"/>
        </w:rPr>
        <w:t xml:space="preserve">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Įstatymo nuostatoms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2</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56AEC233" w14:textId="08D723C1"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1.1.3.</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Pažeista konkurencija, kaip nustatyta </w:t>
      </w:r>
      <w:r w:rsidRPr="004137E0">
        <w:rPr>
          <w:rFonts w:ascii="Times New Roman" w:eastAsia="Times New Roman" w:hAnsi="Times New Roman" w:cs="Times New Roman"/>
          <w:b/>
          <w:bCs/>
          <w:sz w:val="24"/>
          <w:szCs w:val="24"/>
        </w:rPr>
        <w:t>Įstatymo 27</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3 ir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dalyse</w:t>
      </w:r>
      <w:r w:rsidRPr="00B42068">
        <w:rPr>
          <w:rFonts w:ascii="Times New Roman" w:eastAsia="Times New Roman" w:hAnsi="Times New Roman" w:cs="Times New Roman"/>
          <w:sz w:val="24"/>
          <w:szCs w:val="24"/>
        </w:rPr>
        <w:t xml:space="preserve">, ir atitinkamos padėties negalima ištaisyti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3</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095D0183" w14:textId="26459758"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1.1.4.</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procedūrų metu nuslėpė informaciją ar pateikė melagingą informaciją apie atitiktį Įstatymo 46 ir 47</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straipsniuose nustatytiems reikalavimams, ir perkančioji organizacija gali tai įrodyti bet kokiomis teisėtomis priemonėmis arba tiekėjas dėl pateiktos melagingos informacijos negali pateikti patvirtinančių dokumentų, reikalaujamų pagal Įstatymo 50</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straipsnį.</w:t>
      </w:r>
    </w:p>
    <w:p w14:paraId="500FB00B" w14:textId="1514DB4D"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1.1.5.</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85B66">
        <w:rPr>
          <w:rFonts w:ascii="Times New Roman" w:eastAsia="Times New Roman" w:hAnsi="Times New Roman" w:cs="Times New Roman"/>
          <w:b/>
          <w:bCs/>
          <w:sz w:val="24"/>
          <w:szCs w:val="24"/>
        </w:rPr>
        <w:t>(Įstatymo 46</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straipsnio 4</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dalies 5</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punktas)</w:t>
      </w:r>
      <w:r w:rsidRPr="00B42068">
        <w:rPr>
          <w:rFonts w:ascii="Times New Roman" w:eastAsia="Times New Roman" w:hAnsi="Times New Roman" w:cs="Times New Roman"/>
          <w:sz w:val="24"/>
          <w:szCs w:val="24"/>
        </w:rPr>
        <w:t>.</w:t>
      </w:r>
    </w:p>
    <w:p w14:paraId="04E16B58" w14:textId="4FC63775"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56DFBE2C" w14:textId="77777777" w:rsidR="00B42068" w:rsidRPr="00B42068" w:rsidRDefault="00B42068" w:rsidP="00B42068">
      <w:pPr>
        <w:jc w:val="both"/>
        <w:rPr>
          <w:rFonts w:ascii="Times New Roman" w:eastAsia="Times New Roman" w:hAnsi="Times New Roman" w:cs="Times New Roman"/>
          <w:sz w:val="24"/>
          <w:szCs w:val="24"/>
        </w:rPr>
      </w:pPr>
    </w:p>
    <w:p w14:paraId="451C05A1" w14:textId="77777777" w:rsidR="005E405F" w:rsidRPr="008F1603" w:rsidRDefault="005E405F" w:rsidP="005E405F">
      <w:pPr>
        <w:jc w:val="both"/>
        <w:rPr>
          <w:rFonts w:ascii="Times New Roman" w:eastAsia="Times New Roman" w:hAnsi="Times New Roman" w:cs="Times New Roman"/>
          <w:b/>
          <w:bCs/>
          <w:sz w:val="24"/>
          <w:szCs w:val="24"/>
        </w:rPr>
      </w:pPr>
      <w:r w:rsidRPr="008F1603">
        <w:rPr>
          <w:rFonts w:ascii="Times New Roman" w:eastAsia="Times New Roman" w:hAnsi="Times New Roman" w:cs="Times New Roman"/>
          <w:b/>
          <w:bCs/>
          <w:sz w:val="24"/>
          <w:szCs w:val="24"/>
        </w:rPr>
        <w:t xml:space="preserve">2. Reikalavimai dėl tiekėjo kvalifikacijos reikalavimų: </w:t>
      </w:r>
    </w:p>
    <w:p w14:paraId="5F10C58E" w14:textId="75B48C76" w:rsidR="005E405F" w:rsidRPr="008F1603" w:rsidRDefault="005E405F" w:rsidP="005E405F">
      <w:pPr>
        <w:jc w:val="both"/>
        <w:rPr>
          <w:rFonts w:ascii="Times New Roman" w:eastAsia="Times New Roman" w:hAnsi="Times New Roman" w:cs="Times New Roman"/>
          <w:sz w:val="24"/>
          <w:szCs w:val="24"/>
        </w:rPr>
      </w:pPr>
      <w:r w:rsidRPr="008F1603">
        <w:rPr>
          <w:rFonts w:ascii="Times New Roman" w:eastAsia="Times New Roman" w:hAnsi="Times New Roman" w:cs="Times New Roman"/>
          <w:sz w:val="24"/>
          <w:szCs w:val="24"/>
        </w:rPr>
        <w:t xml:space="preserve">2.1. Kvalifikacijos reikalavimai šiame pirkime netaikomi, tačiau Tiekėjas, tiekėjų grupė ir / arba kiekvienas ūkio subjektas, kurio pajėgumais tiekėjas remiasi/ subtiekėjas, </w:t>
      </w:r>
      <w:r w:rsidRPr="008F1603">
        <w:rPr>
          <w:rFonts w:ascii="Times New Roman" w:hAnsi="Times New Roman" w:cs="Times New Roman"/>
          <w:sz w:val="24"/>
          <w:szCs w:val="24"/>
        </w:rPr>
        <w:t>teikdamas pasiūlymą, įsipareigoja, kad turi teisę teikti sutartyje numatytas paslaugas ir kad sutartį vykdys tik teisę verstis atitinkama veikla turintys asmenys.</w:t>
      </w:r>
    </w:p>
    <w:p w14:paraId="146BE84E" w14:textId="391A6832" w:rsidR="009C49BF" w:rsidRPr="00353B03" w:rsidRDefault="009C49BF" w:rsidP="005E405F">
      <w:pPr>
        <w:jc w:val="both"/>
        <w:rPr>
          <w:rFonts w:ascii="Times New Roman" w:hAnsi="Times New Roman"/>
          <w:bCs/>
          <w:sz w:val="24"/>
          <w:szCs w:val="24"/>
        </w:rPr>
      </w:pPr>
    </w:p>
    <w:sectPr w:rsidR="009C49BF" w:rsidRPr="00353B03" w:rsidSect="009C49B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A680" w14:textId="77777777" w:rsidR="00972A4E" w:rsidRDefault="00972A4E" w:rsidP="00B42068">
      <w:pPr>
        <w:spacing w:after="0" w:line="240" w:lineRule="auto"/>
      </w:pPr>
      <w:r>
        <w:separator/>
      </w:r>
    </w:p>
  </w:endnote>
  <w:endnote w:type="continuationSeparator" w:id="0">
    <w:p w14:paraId="11922F10" w14:textId="77777777" w:rsidR="00972A4E" w:rsidRDefault="00972A4E"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4038" w14:textId="77777777" w:rsidR="00972A4E" w:rsidRDefault="00972A4E" w:rsidP="00B42068">
      <w:pPr>
        <w:spacing w:after="0" w:line="240" w:lineRule="auto"/>
      </w:pPr>
      <w:r>
        <w:separator/>
      </w:r>
    </w:p>
  </w:footnote>
  <w:footnote w:type="continuationSeparator" w:id="0">
    <w:p w14:paraId="709EF9C3" w14:textId="77777777" w:rsidR="00972A4E" w:rsidRDefault="00972A4E" w:rsidP="00B4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2F7"/>
    <w:multiLevelType w:val="hybridMultilevel"/>
    <w:tmpl w:val="15E43F6C"/>
    <w:lvl w:ilvl="0" w:tplc="91284492">
      <w:numFmt w:val="bullet"/>
      <w:lvlText w:val="-"/>
      <w:lvlJc w:val="left"/>
      <w:pPr>
        <w:ind w:left="365" w:hanging="360"/>
      </w:pPr>
      <w:rPr>
        <w:rFonts w:ascii="Aptos" w:eastAsiaTheme="minorHAnsi" w:hAnsi="Aptos" w:cstheme="minorBidi"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1" w15:restartNumberingAfterBreak="0">
    <w:nsid w:val="2C0868A7"/>
    <w:multiLevelType w:val="hybridMultilevel"/>
    <w:tmpl w:val="26C6DF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FA0D16"/>
    <w:multiLevelType w:val="hybridMultilevel"/>
    <w:tmpl w:val="37BED9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561E29"/>
    <w:multiLevelType w:val="multilevel"/>
    <w:tmpl w:val="4920E0F6"/>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val="0"/>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abstractNum w:abstractNumId="6" w15:restartNumberingAfterBreak="0">
    <w:nsid w:val="425D1E72"/>
    <w:multiLevelType w:val="hybridMultilevel"/>
    <w:tmpl w:val="B1E41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E62A63"/>
    <w:multiLevelType w:val="hybridMultilevel"/>
    <w:tmpl w:val="94A043F4"/>
    <w:lvl w:ilvl="0" w:tplc="08DE8388">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831443">
    <w:abstractNumId w:val="5"/>
  </w:num>
  <w:num w:numId="2" w16cid:durableId="1142961067">
    <w:abstractNumId w:val="3"/>
  </w:num>
  <w:num w:numId="3" w16cid:durableId="676232989">
    <w:abstractNumId w:val="6"/>
  </w:num>
  <w:num w:numId="4" w16cid:durableId="1733428724">
    <w:abstractNumId w:val="2"/>
  </w:num>
  <w:num w:numId="5" w16cid:durableId="1186747545">
    <w:abstractNumId w:val="4"/>
  </w:num>
  <w:num w:numId="6" w16cid:durableId="2109543339">
    <w:abstractNumId w:val="7"/>
  </w:num>
  <w:num w:numId="7" w16cid:durableId="1406683673">
    <w:abstractNumId w:val="1"/>
  </w:num>
  <w:num w:numId="8" w16cid:durableId="26542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178A7"/>
    <w:rsid w:val="00055583"/>
    <w:rsid w:val="000723D8"/>
    <w:rsid w:val="00074B79"/>
    <w:rsid w:val="000832E0"/>
    <w:rsid w:val="0008330E"/>
    <w:rsid w:val="0009517E"/>
    <w:rsid w:val="00097917"/>
    <w:rsid w:val="000A5A2B"/>
    <w:rsid w:val="000F0003"/>
    <w:rsid w:val="00107B5E"/>
    <w:rsid w:val="00160532"/>
    <w:rsid w:val="0016136C"/>
    <w:rsid w:val="001702C5"/>
    <w:rsid w:val="0017076E"/>
    <w:rsid w:val="00177818"/>
    <w:rsid w:val="00184EAF"/>
    <w:rsid w:val="00191691"/>
    <w:rsid w:val="001B0133"/>
    <w:rsid w:val="001B050B"/>
    <w:rsid w:val="001B4673"/>
    <w:rsid w:val="001B5030"/>
    <w:rsid w:val="001E4393"/>
    <w:rsid w:val="002043B0"/>
    <w:rsid w:val="002047CA"/>
    <w:rsid w:val="00231E84"/>
    <w:rsid w:val="0023495F"/>
    <w:rsid w:val="00244085"/>
    <w:rsid w:val="00265027"/>
    <w:rsid w:val="002A09E1"/>
    <w:rsid w:val="002F79AB"/>
    <w:rsid w:val="00302242"/>
    <w:rsid w:val="00302A04"/>
    <w:rsid w:val="00331B14"/>
    <w:rsid w:val="003768BA"/>
    <w:rsid w:val="00390D35"/>
    <w:rsid w:val="003947DA"/>
    <w:rsid w:val="003A1994"/>
    <w:rsid w:val="003C09A5"/>
    <w:rsid w:val="003C62C1"/>
    <w:rsid w:val="003F0448"/>
    <w:rsid w:val="004137E0"/>
    <w:rsid w:val="00421151"/>
    <w:rsid w:val="00421C3B"/>
    <w:rsid w:val="00427885"/>
    <w:rsid w:val="0049792B"/>
    <w:rsid w:val="004A3688"/>
    <w:rsid w:val="004B06DA"/>
    <w:rsid w:val="004B2581"/>
    <w:rsid w:val="004C3B5B"/>
    <w:rsid w:val="004D048D"/>
    <w:rsid w:val="004E562E"/>
    <w:rsid w:val="004F441F"/>
    <w:rsid w:val="005013B5"/>
    <w:rsid w:val="0051514F"/>
    <w:rsid w:val="00527CF6"/>
    <w:rsid w:val="005302C0"/>
    <w:rsid w:val="00531691"/>
    <w:rsid w:val="00545E1C"/>
    <w:rsid w:val="00551623"/>
    <w:rsid w:val="00556AA5"/>
    <w:rsid w:val="00557435"/>
    <w:rsid w:val="005650AD"/>
    <w:rsid w:val="005829E9"/>
    <w:rsid w:val="00595522"/>
    <w:rsid w:val="005A06A7"/>
    <w:rsid w:val="005B5CB5"/>
    <w:rsid w:val="005E405F"/>
    <w:rsid w:val="00600203"/>
    <w:rsid w:val="006053EE"/>
    <w:rsid w:val="00621B22"/>
    <w:rsid w:val="00644732"/>
    <w:rsid w:val="006671E3"/>
    <w:rsid w:val="00670F50"/>
    <w:rsid w:val="00674CC5"/>
    <w:rsid w:val="006841F8"/>
    <w:rsid w:val="00687DDF"/>
    <w:rsid w:val="006C7D8D"/>
    <w:rsid w:val="006D210F"/>
    <w:rsid w:val="006E1BB9"/>
    <w:rsid w:val="006F45B5"/>
    <w:rsid w:val="00713706"/>
    <w:rsid w:val="00722255"/>
    <w:rsid w:val="00723720"/>
    <w:rsid w:val="00734E2C"/>
    <w:rsid w:val="0077287C"/>
    <w:rsid w:val="007730B8"/>
    <w:rsid w:val="00791230"/>
    <w:rsid w:val="007B3449"/>
    <w:rsid w:val="007C5458"/>
    <w:rsid w:val="007D08FA"/>
    <w:rsid w:val="007D4F2A"/>
    <w:rsid w:val="007D75D4"/>
    <w:rsid w:val="007F1FA1"/>
    <w:rsid w:val="0081695E"/>
    <w:rsid w:val="0082222D"/>
    <w:rsid w:val="0083089A"/>
    <w:rsid w:val="00835C0B"/>
    <w:rsid w:val="00852350"/>
    <w:rsid w:val="00882076"/>
    <w:rsid w:val="00897F30"/>
    <w:rsid w:val="008A36E0"/>
    <w:rsid w:val="008B478A"/>
    <w:rsid w:val="008B7982"/>
    <w:rsid w:val="008C2366"/>
    <w:rsid w:val="008C5782"/>
    <w:rsid w:val="008E51B5"/>
    <w:rsid w:val="00944065"/>
    <w:rsid w:val="009540BE"/>
    <w:rsid w:val="0096466C"/>
    <w:rsid w:val="00972A4E"/>
    <w:rsid w:val="00986645"/>
    <w:rsid w:val="00996276"/>
    <w:rsid w:val="00997195"/>
    <w:rsid w:val="009C0CF8"/>
    <w:rsid w:val="009C49BF"/>
    <w:rsid w:val="009E07CD"/>
    <w:rsid w:val="009E6665"/>
    <w:rsid w:val="009F53E9"/>
    <w:rsid w:val="009F6791"/>
    <w:rsid w:val="00A02F88"/>
    <w:rsid w:val="00A41D6E"/>
    <w:rsid w:val="00A5240B"/>
    <w:rsid w:val="00A61B57"/>
    <w:rsid w:val="00A94B90"/>
    <w:rsid w:val="00A97D9C"/>
    <w:rsid w:val="00AA311D"/>
    <w:rsid w:val="00AA7724"/>
    <w:rsid w:val="00AC2160"/>
    <w:rsid w:val="00B214FB"/>
    <w:rsid w:val="00B42068"/>
    <w:rsid w:val="00B44E66"/>
    <w:rsid w:val="00B575A0"/>
    <w:rsid w:val="00B66661"/>
    <w:rsid w:val="00B70376"/>
    <w:rsid w:val="00BA61BC"/>
    <w:rsid w:val="00BD2F02"/>
    <w:rsid w:val="00BE3120"/>
    <w:rsid w:val="00BF2991"/>
    <w:rsid w:val="00C05E2A"/>
    <w:rsid w:val="00C14018"/>
    <w:rsid w:val="00C54D7B"/>
    <w:rsid w:val="00C835CF"/>
    <w:rsid w:val="00C84678"/>
    <w:rsid w:val="00C85B66"/>
    <w:rsid w:val="00C97950"/>
    <w:rsid w:val="00CD57FA"/>
    <w:rsid w:val="00D43B62"/>
    <w:rsid w:val="00D54BB9"/>
    <w:rsid w:val="00D757AB"/>
    <w:rsid w:val="00D826CF"/>
    <w:rsid w:val="00D92CAE"/>
    <w:rsid w:val="00DB764B"/>
    <w:rsid w:val="00DC0CBB"/>
    <w:rsid w:val="00DC1D5B"/>
    <w:rsid w:val="00DC5ADF"/>
    <w:rsid w:val="00DC7EAE"/>
    <w:rsid w:val="00DD7EF7"/>
    <w:rsid w:val="00DE1742"/>
    <w:rsid w:val="00DF00EC"/>
    <w:rsid w:val="00DF191E"/>
    <w:rsid w:val="00E00D47"/>
    <w:rsid w:val="00E215A9"/>
    <w:rsid w:val="00E76D30"/>
    <w:rsid w:val="00EC1935"/>
    <w:rsid w:val="00EC631C"/>
    <w:rsid w:val="00EE0A45"/>
    <w:rsid w:val="00EE0B4C"/>
    <w:rsid w:val="00EE4065"/>
    <w:rsid w:val="00EE6CEF"/>
    <w:rsid w:val="00EF1B21"/>
    <w:rsid w:val="00EF1BF7"/>
    <w:rsid w:val="00EF28F8"/>
    <w:rsid w:val="00F115C8"/>
    <w:rsid w:val="00F16E7A"/>
    <w:rsid w:val="00F34034"/>
    <w:rsid w:val="00F47071"/>
    <w:rsid w:val="00F571B6"/>
    <w:rsid w:val="00F612E3"/>
    <w:rsid w:val="00F773F0"/>
    <w:rsid w:val="00FC7F2D"/>
    <w:rsid w:val="00FD3DBE"/>
    <w:rsid w:val="00FE7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E77A2587-A526-45D2-B7FB-65B953D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EF"/>
  </w:style>
  <w:style w:type="paragraph" w:styleId="Heading1">
    <w:name w:val="heading 1"/>
    <w:basedOn w:val="Normal"/>
    <w:next w:val="Normal"/>
    <w:link w:val="Heading1Char"/>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068"/>
    <w:rPr>
      <w:rFonts w:eastAsiaTheme="majorEastAsia" w:cstheme="majorBidi"/>
      <w:color w:val="272727" w:themeColor="text1" w:themeTint="D8"/>
    </w:rPr>
  </w:style>
  <w:style w:type="paragraph" w:styleId="Title">
    <w:name w:val="Title"/>
    <w:basedOn w:val="Normal"/>
    <w:next w:val="Normal"/>
    <w:link w:val="TitleChar"/>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068"/>
    <w:pPr>
      <w:spacing w:before="160"/>
      <w:jc w:val="center"/>
    </w:pPr>
    <w:rPr>
      <w:i/>
      <w:iCs/>
      <w:color w:val="404040" w:themeColor="text1" w:themeTint="BF"/>
    </w:rPr>
  </w:style>
  <w:style w:type="character" w:customStyle="1" w:styleId="QuoteChar">
    <w:name w:val="Quote Char"/>
    <w:basedOn w:val="DefaultParagraphFont"/>
    <w:link w:val="Quote"/>
    <w:uiPriority w:val="29"/>
    <w:rsid w:val="00B4206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B42068"/>
    <w:pPr>
      <w:ind w:left="720"/>
      <w:contextualSpacing/>
    </w:pPr>
  </w:style>
  <w:style w:type="character" w:styleId="IntenseEmphasis">
    <w:name w:val="Intense Emphasis"/>
    <w:basedOn w:val="DefaultParagraphFont"/>
    <w:uiPriority w:val="21"/>
    <w:qFormat/>
    <w:rsid w:val="00B42068"/>
    <w:rPr>
      <w:i/>
      <w:iCs/>
      <w:color w:val="0F4761" w:themeColor="accent1" w:themeShade="BF"/>
    </w:rPr>
  </w:style>
  <w:style w:type="paragraph" w:styleId="IntenseQuote">
    <w:name w:val="Intense Quote"/>
    <w:basedOn w:val="Normal"/>
    <w:next w:val="Normal"/>
    <w:link w:val="IntenseQuoteChar"/>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068"/>
    <w:rPr>
      <w:i/>
      <w:iCs/>
      <w:color w:val="0F4761" w:themeColor="accent1" w:themeShade="BF"/>
    </w:rPr>
  </w:style>
  <w:style w:type="character" w:styleId="IntenseReference">
    <w:name w:val="Intense Reference"/>
    <w:basedOn w:val="DefaultParagraphFont"/>
    <w:uiPriority w:val="32"/>
    <w:qFormat/>
    <w:rsid w:val="00B42068"/>
    <w:rPr>
      <w:b/>
      <w:bCs/>
      <w:smallCaps/>
      <w:color w:val="0F4761" w:themeColor="accent1" w:themeShade="BF"/>
      <w:spacing w:val="5"/>
    </w:rPr>
  </w:style>
  <w:style w:type="paragraph" w:styleId="EndnoteText">
    <w:name w:val="endnote text"/>
    <w:basedOn w:val="Normal"/>
    <w:link w:val="EndnoteTextChar"/>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EndnoteTextChar">
    <w:name w:val="Endnote Text Char"/>
    <w:basedOn w:val="DefaultParagraphFont"/>
    <w:link w:val="EndnoteText"/>
    <w:uiPriority w:val="99"/>
    <w:semiHidden/>
    <w:rsid w:val="00B42068"/>
    <w:rPr>
      <w:kern w:val="0"/>
      <w:sz w:val="20"/>
      <w:szCs w:val="20"/>
      <w:lang w:val="en-US"/>
      <w14:ligatures w14:val="none"/>
    </w:rPr>
  </w:style>
  <w:style w:type="character" w:styleId="EndnoteReference">
    <w:name w:val="endnote reference"/>
    <w:basedOn w:val="DefaultParagraphFont"/>
    <w:uiPriority w:val="99"/>
    <w:semiHidden/>
    <w:unhideWhenUsed/>
    <w:rsid w:val="00B42068"/>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42068"/>
  </w:style>
  <w:style w:type="table" w:styleId="TableGrid">
    <w:name w:val="Table Grid"/>
    <w:basedOn w:val="TableNormal"/>
    <w:uiPriority w:val="3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3720"/>
    <w:rPr>
      <w:sz w:val="16"/>
      <w:szCs w:val="16"/>
    </w:rPr>
  </w:style>
  <w:style w:type="paragraph" w:styleId="CommentText">
    <w:name w:val="annotation text"/>
    <w:aliases w:val=" Diagrama Diagrama Diagrama, Diagrama Diagrama"/>
    <w:basedOn w:val="Normal"/>
    <w:link w:val="CommentTextChar"/>
    <w:uiPriority w:val="99"/>
    <w:unhideWhenUsed/>
    <w:qFormat/>
    <w:rsid w:val="00723720"/>
    <w:pPr>
      <w:spacing w:line="240" w:lineRule="auto"/>
    </w:pPr>
    <w:rPr>
      <w:sz w:val="20"/>
      <w:szCs w:val="20"/>
    </w:rPr>
  </w:style>
  <w:style w:type="character" w:customStyle="1" w:styleId="CommentTextChar">
    <w:name w:val="Comment Text Char"/>
    <w:aliases w:val=" Diagrama Diagrama Diagrama Char, Diagrama Diagrama Char"/>
    <w:basedOn w:val="DefaultParagraphFont"/>
    <w:link w:val="CommentText"/>
    <w:uiPriority w:val="99"/>
    <w:qFormat/>
    <w:rsid w:val="00723720"/>
    <w:rPr>
      <w:sz w:val="20"/>
      <w:szCs w:val="20"/>
    </w:rPr>
  </w:style>
  <w:style w:type="paragraph" w:styleId="CommentSubject">
    <w:name w:val="annotation subject"/>
    <w:basedOn w:val="CommentText"/>
    <w:next w:val="CommentText"/>
    <w:link w:val="CommentSubjectChar"/>
    <w:uiPriority w:val="99"/>
    <w:semiHidden/>
    <w:unhideWhenUsed/>
    <w:rsid w:val="00723720"/>
    <w:rPr>
      <w:b/>
      <w:bCs/>
    </w:rPr>
  </w:style>
  <w:style w:type="character" w:customStyle="1" w:styleId="CommentSubjectChar">
    <w:name w:val="Comment Subject Char"/>
    <w:basedOn w:val="CommentTextChar"/>
    <w:link w:val="CommentSubject"/>
    <w:uiPriority w:val="99"/>
    <w:semiHidden/>
    <w:rsid w:val="00723720"/>
    <w:rPr>
      <w:b/>
      <w:bCs/>
      <w:sz w:val="20"/>
      <w:szCs w:val="20"/>
    </w:rPr>
  </w:style>
  <w:style w:type="character" w:styleId="Strong">
    <w:name w:val="Strong"/>
    <w:uiPriority w:val="22"/>
    <w:qFormat/>
    <w:rsid w:val="009540BE"/>
    <w:rPr>
      <w:b/>
      <w:bCs/>
    </w:rPr>
  </w:style>
  <w:style w:type="character" w:customStyle="1" w:styleId="normaltextrun">
    <w:name w:val="normaltextrun"/>
    <w:basedOn w:val="DefaultParagraphFont"/>
    <w:rsid w:val="009540BE"/>
  </w:style>
  <w:style w:type="character" w:styleId="Hyperlink">
    <w:name w:val="Hyperlink"/>
    <w:basedOn w:val="DefaultParagraphFont"/>
    <w:uiPriority w:val="99"/>
    <w:unhideWhenUsed/>
    <w:rsid w:val="009C49BF"/>
    <w:rPr>
      <w:color w:val="467886" w:themeColor="hyperlink"/>
      <w:u w:val="single"/>
    </w:rPr>
  </w:style>
  <w:style w:type="paragraph" w:styleId="Header">
    <w:name w:val="header"/>
    <w:basedOn w:val="Normal"/>
    <w:link w:val="HeaderChar"/>
    <w:uiPriority w:val="99"/>
    <w:semiHidden/>
    <w:unhideWhenUsed/>
    <w:rsid w:val="007F1FA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F1FA1"/>
  </w:style>
  <w:style w:type="paragraph" w:styleId="Footer">
    <w:name w:val="footer"/>
    <w:basedOn w:val="Normal"/>
    <w:link w:val="FooterChar"/>
    <w:uiPriority w:val="99"/>
    <w:semiHidden/>
    <w:unhideWhenUsed/>
    <w:rsid w:val="007F1FA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F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470">
      <w:bodyDiv w:val="1"/>
      <w:marLeft w:val="0"/>
      <w:marRight w:val="0"/>
      <w:marTop w:val="0"/>
      <w:marBottom w:val="0"/>
      <w:divBdr>
        <w:top w:val="none" w:sz="0" w:space="0" w:color="auto"/>
        <w:left w:val="none" w:sz="0" w:space="0" w:color="auto"/>
        <w:bottom w:val="none" w:sz="0" w:space="0" w:color="auto"/>
        <w:right w:val="none" w:sz="0" w:space="0" w:color="auto"/>
      </w:divBdr>
    </w:div>
    <w:div w:id="5847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F1906-4DFB-4647-A4D0-9D996369773C}">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A746A82C-C591-4D08-A6AF-1C95411BB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857D6-705A-4E47-9AF6-024CF6A53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392</Words>
  <Characters>2240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Benetienė</dc:creator>
  <cp:keywords/>
  <cp:lastModifiedBy>Edita Benetienė</cp:lastModifiedBy>
  <cp:revision>135</cp:revision>
  <dcterms:created xsi:type="dcterms:W3CDTF">2024-05-08T19:59:00Z</dcterms:created>
  <dcterms:modified xsi:type="dcterms:W3CDTF">2026-01-29T12:34:00Z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