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D929" w14:textId="697DFAEB" w:rsidR="0081019B" w:rsidRPr="0081019B" w:rsidRDefault="00254F4A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smallCaps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>Pirkimo sąlygų</w:t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1019B"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2 priedas</w:t>
      </w:r>
    </w:p>
    <w:p w14:paraId="4DD1B51E" w14:textId="5F496E94" w:rsidR="00AF168C" w:rsidRDefault="0081019B" w:rsidP="0081019B">
      <w:pPr>
        <w:tabs>
          <w:tab w:val="left" w:pos="5812"/>
          <w:tab w:val="left" w:pos="5954"/>
          <w:tab w:val="left" w:pos="6096"/>
          <w:tab w:val="left" w:pos="6237"/>
          <w:tab w:val="left" w:pos="6521"/>
        </w:tabs>
        <w:suppressAutoHyphens/>
        <w:autoSpaceDN w:val="0"/>
        <w:spacing w:after="0" w:line="240" w:lineRule="auto"/>
        <w:ind w:firstLine="486"/>
        <w:textAlignment w:val="baseline"/>
        <w:rPr>
          <w:rFonts w:ascii="Times New Roman" w:eastAsia="Times New Roman" w:hAnsi="Times New Roman" w:cs="Times New Roman"/>
          <w:b/>
          <w:smallCaps/>
          <w:kern w:val="0"/>
          <w14:ligatures w14:val="none"/>
        </w:rPr>
      </w:pP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  <w:t>Techninė specifikacija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1019B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9F0E349" w14:textId="77777777" w:rsidR="00AF168C" w:rsidRPr="00FF2B24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 Bold" w:eastAsia="Times New Roman" w:hAnsi="Times New Roman Bold" w:cs="Times New Roman"/>
          <w:b/>
          <w:caps/>
          <w:smallCaps/>
          <w:kern w:val="0"/>
          <w:sz w:val="28"/>
          <w:szCs w:val="28"/>
          <w14:ligatures w14:val="none"/>
        </w:rPr>
      </w:pPr>
    </w:p>
    <w:p w14:paraId="47358561" w14:textId="1A9B5762" w:rsidR="00FF2B24" w:rsidRPr="00FF2B24" w:rsidRDefault="00FF2B24" w:rsidP="00FF2B24">
      <w:pPr>
        <w:suppressAutoHyphens/>
        <w:spacing w:after="0" w:line="240" w:lineRule="auto"/>
        <w:jc w:val="center"/>
        <w:rPr>
          <w:rFonts w:ascii="Times New Roman Bold" w:eastAsia="Times New Roman" w:hAnsi="Times New Roman Bold" w:cs="Times New Roman"/>
          <w:caps/>
          <w:kern w:val="0"/>
          <w:sz w:val="28"/>
          <w:szCs w:val="28"/>
          <w:lang w:eastAsia="lt-LT"/>
          <w14:ligatures w14:val="none"/>
        </w:rPr>
      </w:pPr>
      <w:r w:rsidRPr="00FF2B24">
        <w:rPr>
          <w:rFonts w:ascii="Times New Roman Bold" w:eastAsia="Times New Roman" w:hAnsi="Times New Roman Bold" w:cs="Times New Roman"/>
          <w:b/>
          <w:bCs/>
          <w:caps/>
          <w:kern w:val="0"/>
          <w:sz w:val="28"/>
          <w:szCs w:val="28"/>
          <w:lang w:eastAsia="lt-LT"/>
          <w14:ligatures w14:val="none"/>
        </w:rPr>
        <w:t>patalpų deratizacijos, dezinfekcijos ir dezinsekcijos paslaugos</w:t>
      </w:r>
    </w:p>
    <w:p w14:paraId="3A5209C6" w14:textId="2FD987A5" w:rsidR="00AF168C" w:rsidRDefault="00AF168C" w:rsidP="00AF168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kern w:val="0"/>
          <w:highlight w:val="white"/>
          <w14:ligatures w14:val="none"/>
        </w:rPr>
      </w:pPr>
      <w:r w:rsidRPr="00AF168C">
        <w:rPr>
          <w:rFonts w:ascii="Times New Roman" w:eastAsia="Times New Roman" w:hAnsi="Times New Roman" w:cs="Times New Roman"/>
          <w:b/>
          <w:smallCaps/>
          <w:kern w:val="0"/>
          <w:highlight w:val="white"/>
          <w14:ligatures w14:val="none"/>
        </w:rPr>
        <w:t>TECHNINĖ SPECIFIKACIJA</w:t>
      </w:r>
    </w:p>
    <w:p w14:paraId="738CDC67" w14:textId="77777777" w:rsidR="00FF2B24" w:rsidRDefault="00FF2B24" w:rsidP="00FF2B24">
      <w:pPr>
        <w:rPr>
          <w:rFonts w:ascii="Times New Roman" w:eastAsia="Times New Roman" w:hAnsi="Times New Roman" w:cs="Times New Roman"/>
          <w:b/>
          <w:smallCaps/>
          <w:kern w:val="0"/>
          <w:highlight w:val="white"/>
          <w14:ligatures w14:val="none"/>
        </w:rPr>
      </w:pPr>
    </w:p>
    <w:p w14:paraId="542943C1" w14:textId="77777777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 w:rsidRPr="00FF2B24">
        <w:rPr>
          <w:rFonts w:ascii="Times New Roman" w:eastAsia="Times New Roman" w:hAnsi="Times New Roman" w:cs="Times New Roman"/>
        </w:rPr>
        <w:t>Pagal patvirtintą pirkimų planą biudžetas šiam pirkimui ne didesnis kaip 3025,00 Eur su PVM 24 kalendorinių mėnesių laikotarpiui. Sutartis bus sudaroma maksimalaus biudžeto sumai, pasiūlymas vertinamas pagal bendrą pasiūlymo kainą+ papildomi balai už socialinio kriterijaus įgyvendinimą.</w:t>
      </w:r>
    </w:p>
    <w:p w14:paraId="1E9004CD" w14:textId="77777777" w:rsidR="00FF2B24" w:rsidRPr="00FF2B24" w:rsidRDefault="00FF2B24" w:rsidP="00FF2B2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Pasiūlymai bus vertinami remiantis ekonomiškai naudingiausio pasiūlymo </w:t>
      </w:r>
      <w:r w:rsidRPr="00FF2B24">
        <w:rPr>
          <w:rFonts w:ascii="Times New Roman" w:eastAsia="Calibri" w:hAnsi="Times New Roman" w:cs="Times New Roman"/>
          <w:b/>
          <w:bCs/>
          <w:i/>
          <w:iCs/>
          <w:kern w:val="0"/>
          <w:lang w:eastAsia="lt-LT"/>
          <w14:ligatures w14:val="none"/>
        </w:rPr>
        <w:t>kainos/ sąnaudų ir kokybės vertinimo kriterijumi</w:t>
      </w:r>
      <w:r w:rsidRPr="00FF2B24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. Balų suma apskaičiuojama pagal formulę 90 proc kaina/ 10 proc socialinis kriterijus. Papildomi balai už socialinį kriterijų gali būti suteikiami tiekėjui, jei: tiekėjas </w:t>
      </w:r>
      <w:r w:rsidRPr="00FF2B24">
        <w:rPr>
          <w:rFonts w:ascii="Times New Roman" w:eastAsia="Calibri" w:hAnsi="Times New Roman" w:cs="Times New Roman"/>
          <w:color w:val="EE0000"/>
          <w:kern w:val="0"/>
          <w:lang w:eastAsia="lt-LT"/>
          <w14:ligatures w14:val="none"/>
        </w:rPr>
        <w:t xml:space="preserve">mažiausiai </w:t>
      </w:r>
      <w:r w:rsidRPr="00FF2B24">
        <w:rPr>
          <w:rFonts w:ascii="Times New Roman" w:eastAsia="Calibri" w:hAnsi="Times New Roman" w:cs="Times New Roman"/>
          <w:color w:val="EE0000"/>
          <w:kern w:val="0"/>
          <w14:ligatures w14:val="none"/>
        </w:rPr>
        <w:t>24-</w:t>
      </w: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is mėnesius </w:t>
      </w:r>
      <w:r w:rsidRPr="00FF2B24">
        <w:rPr>
          <w:rFonts w:ascii="Times New Roman" w:eastAsia="Calibri" w:hAnsi="Times New Roman" w:cs="Times New Roman"/>
          <w:kern w:val="0"/>
          <w:lang w:eastAsia="lt-LT"/>
          <w14:ligatures w14:val="none"/>
        </w:rPr>
        <w:t>užtikrina, kad sutartį vykdysiančių remiamų asmenų skaičius būtų ne maženis nei nurodyta tiekėjo pasiūlyme. Kriterijų gali įgyvendinti tiekėjas ir (arba) subtiekėjas, kuris tiesiogiai vykdo sutartį ( užpildyti atitinkamą skiltį pasiūlymo formoje).</w:t>
      </w:r>
    </w:p>
    <w:p w14:paraId="1614F994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Sutarties tiesioginiam vykdymui tiekėjas įsipareigotų įdarbinti arba paskirtų įdarbintą ne mažiau kaip 1-ą remiamą (-us) asmenį (-is), kuris (-ie) priklauso šiai (-ioms) tikslinei (- ėms) grupei (-ėms): </w:t>
      </w:r>
    </w:p>
    <w:p w14:paraId="3DB752B8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1. negalią turintis (-ys) asmuo (-enys); </w:t>
      </w:r>
    </w:p>
    <w:p w14:paraId="3CED4046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2. asmuo (-enys), faktiškai auginantis (-ys) vaiką (įvaikį) su negalia iki 18 metų; </w:t>
      </w:r>
    </w:p>
    <w:p w14:paraId="74C798B0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3. asmuo (-enys), slaugantis (-ys) (prižiūrintis (-ys)) šeimos narius ar kartu gyvenančius asmenis, kuriems nustatyta nuolatinė slauga ar priežiūra; </w:t>
      </w:r>
    </w:p>
    <w:p w14:paraId="2839A148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4. asmuo (-enys), kuriam (-iems) suteiktas pabėgėlio statusas ar perkeliamojo asmens statusas, arba asmenys, kuriems suteikta papildoma ar laikinoji apsauga; </w:t>
      </w:r>
    </w:p>
    <w:p w14:paraId="45ED1F0C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5. asmuo (-enys), baigęs (-ę) psichologinės ir socialinės reabilitacijos programas, skirtas nuo psichoaktyviųjų medžiagų vartojimo priklausomiems asmenims reabilituoti; </w:t>
      </w:r>
    </w:p>
    <w:p w14:paraId="34CCEBAC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6. asmuo (-enys), grįžęs (-ę) iš laisvės atėmimo vietų; </w:t>
      </w:r>
    </w:p>
    <w:p w14:paraId="3479F6EF" w14:textId="77777777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7. vyresnis (-i) kaip 55 metų asmuo (-enys). </w:t>
      </w:r>
    </w:p>
    <w:p w14:paraId="4602F34F" w14:textId="032B66E0" w:rsidR="00FF2B24" w:rsidRPr="00FF2B24" w:rsidRDefault="00FF2B24" w:rsidP="00FF2B24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F2B24">
        <w:rPr>
          <w:rFonts w:ascii="Times New Roman" w:eastAsia="Calibri" w:hAnsi="Times New Roman" w:cs="Times New Roman"/>
          <w:kern w:val="0"/>
          <w14:ligatures w14:val="none"/>
        </w:rPr>
        <w:t xml:space="preserve">Šis socialinis kriterijus nustatomas kaip ekonomiškai naudingiausio pasiūlymo vertinimo kriterijus ir tiekėjas už jį gauna papildomus kokybės balus, remiamo asmens (- ų) įdarbinimą ar paskyrimą aktyviai vykdyti sutartį įrodantys dokumentai privalo būti pateikti </w:t>
      </w:r>
      <w:r>
        <w:rPr>
          <w:rFonts w:ascii="Times New Roman" w:eastAsia="Calibri" w:hAnsi="Times New Roman" w:cs="Times New Roman"/>
          <w:kern w:val="0"/>
          <w14:ligatures w14:val="none"/>
        </w:rPr>
        <w:t>kartu su pasiūlymu</w:t>
      </w:r>
      <w:r w:rsidRPr="00FF2B24">
        <w:rPr>
          <w:rFonts w:ascii="Times New Roman" w:eastAsia="Calibri" w:hAnsi="Times New Roman" w:cs="Times New Roman"/>
          <w:kern w:val="0"/>
          <w14:ligatures w14:val="none"/>
        </w:rPr>
        <w:t>. Jei tiekėjas minėtų dokumentų nepateikia, arba pateikti dokumentai neįrodo, kad tiekėjas galės įvykdyti šią sutarties sąlygą, tokiu atveju laikoma, kad tiekėjas atsisako sudaryti pirkimo sutartį.</w:t>
      </w:r>
    </w:p>
    <w:p w14:paraId="3BD6127C" w14:textId="0B120309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 w:rsidRPr="00FF2B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Šis pirkimas</w:t>
      </w:r>
      <w:r w:rsidRPr="00FF2B24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 laikomas </w:t>
      </w:r>
      <w:r w:rsidRPr="00FF2B24">
        <w:rPr>
          <w:rFonts w:ascii="Times New Roman" w:eastAsia="Calibri" w:hAnsi="Times New Roman" w:cs="Times New Roman"/>
          <w:b/>
          <w:bCs/>
          <w:kern w:val="0"/>
          <w:shd w:val="clear" w:color="auto" w:fill="FFFFFF"/>
          <w14:ligatures w14:val="none"/>
        </w:rPr>
        <w:t xml:space="preserve">,,žaliuoju“. </w:t>
      </w:r>
      <w:r w:rsidRPr="00FF2B24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Aplinkos apsaugos kriterijų taikymo, vykdant žaliuosius pirkimus tvarkos aprašo 4.4.4. p.- </w:t>
      </w:r>
      <w:r w:rsidRPr="00FF2B24">
        <w:rPr>
          <w:rFonts w:ascii="Times New Roman" w:eastAsia="Times New Roman" w:hAnsi="Times New Roman" w:cs="Times New Roman"/>
          <w:kern w:val="0"/>
          <w14:ligatures w14:val="none"/>
        </w:rPr>
        <w:t>tiekėjas įsipareigoja teikiant paslaugą, pas klientą, važiuoti tik ne piko valandomis, pasirenkant trumpiausią galimą maršrutą.</w:t>
      </w:r>
    </w:p>
    <w:p w14:paraId="3E926AA9" w14:textId="6DF9A214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Reikalavimai:</w:t>
      </w:r>
    </w:p>
    <w:p w14:paraId="4246C528" w14:textId="51C7E75A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1. </w:t>
      </w:r>
      <w:r w:rsidRPr="00FF2B24">
        <w:rPr>
          <w:rFonts w:ascii="Times New Roman" w:eastAsia="Times New Roman" w:hAnsi="Times New Roman" w:cs="Times New Roman"/>
        </w:rPr>
        <w:t>Laimėjęs Tiekėjas įsipareigoja atvykti ir suteikti paslaugas globos namuose (Prūdiškių g. 59, Prūdiškių k., Vilniaus r.).</w:t>
      </w:r>
    </w:p>
    <w:p w14:paraId="057E4A08" w14:textId="77777777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FF2B24">
        <w:rPr>
          <w:rFonts w:ascii="Times New Roman" w:eastAsia="Times New Roman" w:hAnsi="Times New Roman" w:cs="Times New Roman"/>
        </w:rPr>
        <w:t>Paslaugų tiekėjas įsipareigoja atlikti Prūdiškių socialinės globos namų patalpų priežiūrą siekiant išsiaiškinti  buitinių kenkėjų ir graužikų buvimą ir vykdyti jų naikinimo darbus.</w:t>
      </w:r>
    </w:p>
    <w:p w14:paraId="4C8178CC" w14:textId="44CAEA1B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FF2B24">
        <w:rPr>
          <w:rFonts w:ascii="Times New Roman" w:eastAsia="Times New Roman" w:hAnsi="Times New Roman" w:cs="Times New Roman"/>
        </w:rPr>
        <w:t xml:space="preserve"> Paslaugos turi būti vykdomos remiantis LR higienos norma HN 90:2011 ,, Dezinfekcijos, dezinsekcijos ir deratizacijos bendrieji reikalavimai“;</w:t>
      </w:r>
    </w:p>
    <w:p w14:paraId="1E041AA7" w14:textId="5AED3661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FF2B24">
        <w:rPr>
          <w:rFonts w:ascii="Times New Roman" w:eastAsia="Times New Roman" w:hAnsi="Times New Roman" w:cs="Times New Roman"/>
        </w:rPr>
        <w:t>. Paslaugos tiekėjas įsipareigoja atlikti tyrimus, nustatyti kenkėjų lokalizacijos vietas, patekimo kelius ir numatyti kenkėjų kontrolės ir naikinimo priemones.</w:t>
      </w:r>
    </w:p>
    <w:p w14:paraId="1E7F4BC4" w14:textId="56C06C2F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FF2B24">
        <w:rPr>
          <w:rFonts w:ascii="Times New Roman" w:eastAsia="Times New Roman" w:hAnsi="Times New Roman" w:cs="Times New Roman"/>
        </w:rPr>
        <w:t>. Profilaktiškai stebėti užkrėstumą  kenkėjais ir savo medžiagomis bei darbo jėga užtikrinti jų naikinimą.</w:t>
      </w:r>
    </w:p>
    <w:p w14:paraId="148A628A" w14:textId="25CAA5EA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FF2B24">
        <w:rPr>
          <w:rFonts w:ascii="Times New Roman" w:eastAsia="Times New Roman" w:hAnsi="Times New Roman" w:cs="Times New Roman"/>
        </w:rPr>
        <w:t>. Instruktuoti užsakovą kaip elgtis naikinimo metu ir po jo.</w:t>
      </w:r>
    </w:p>
    <w:p w14:paraId="1BF314C9" w14:textId="795DDB19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FF2B24">
        <w:rPr>
          <w:rFonts w:ascii="Times New Roman" w:eastAsia="Times New Roman" w:hAnsi="Times New Roman" w:cs="Times New Roman"/>
        </w:rPr>
        <w:t>. Teikti sanitarinės- techninės būklės gerinimo pasiūlymus, sudaryti nepalankias sąlygas parazitų ir graužikų egzistavimui.</w:t>
      </w:r>
    </w:p>
    <w:p w14:paraId="577135E4" w14:textId="667CBD20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FF2B24">
        <w:rPr>
          <w:rFonts w:ascii="Times New Roman" w:eastAsia="Times New Roman" w:hAnsi="Times New Roman" w:cs="Times New Roman"/>
        </w:rPr>
        <w:t>. Atlikti kenkėjų naikinimo darbus.</w:t>
      </w:r>
    </w:p>
    <w:p w14:paraId="2D2D419F" w14:textId="235F074F" w:rsidR="00FF2B24" w:rsidRP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Pr="00FF2B24">
        <w:rPr>
          <w:rFonts w:ascii="Times New Roman" w:eastAsia="Times New Roman" w:hAnsi="Times New Roman" w:cs="Times New Roman"/>
        </w:rPr>
        <w:t>. Pildyti visus reikiamus žurnalus ir dokumentus, susijusius su kenkėjų kontrole.</w:t>
      </w:r>
    </w:p>
    <w:p w14:paraId="05EF976E" w14:textId="2AE2BD79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Pr="00FF2B24">
        <w:rPr>
          <w:rFonts w:ascii="Times New Roman" w:eastAsia="Times New Roman" w:hAnsi="Times New Roman" w:cs="Times New Roman"/>
        </w:rPr>
        <w:t>. Atvykti ne rečiau kaip 1 kartą per mėnesį. Esant poreikiui dažniau. Bendra globos namų patalpų kvadratūra 18369,34 kv.m.</w:t>
      </w:r>
    </w:p>
    <w:p w14:paraId="054CA99D" w14:textId="118469D4" w:rsidR="00FF2B24" w:rsidRDefault="00FF2B24" w:rsidP="00FF2B24">
      <w:pPr>
        <w:tabs>
          <w:tab w:val="left" w:pos="408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Preliminari paslaugų apimtis patalpoms: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1194"/>
      </w:tblGrid>
      <w:tr w:rsidR="00FF2B24" w:rsidRPr="00FF2B24" w14:paraId="6A867A93" w14:textId="77777777" w:rsidTr="00FF2B24">
        <w:trPr>
          <w:jc w:val="center"/>
        </w:trPr>
        <w:tc>
          <w:tcPr>
            <w:tcW w:w="8161" w:type="dxa"/>
          </w:tcPr>
          <w:p w14:paraId="52E70099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Patalpų pavadinimas</w:t>
            </w:r>
          </w:p>
        </w:tc>
        <w:tc>
          <w:tcPr>
            <w:tcW w:w="1194" w:type="dxa"/>
          </w:tcPr>
          <w:p w14:paraId="030ED177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Plotas</w:t>
            </w:r>
          </w:p>
        </w:tc>
      </w:tr>
      <w:tr w:rsidR="00FF2B24" w:rsidRPr="00FF2B24" w14:paraId="50C4C59D" w14:textId="77777777" w:rsidTr="00FF2B24">
        <w:trPr>
          <w:jc w:val="center"/>
        </w:trPr>
        <w:tc>
          <w:tcPr>
            <w:tcW w:w="8161" w:type="dxa"/>
          </w:tcPr>
          <w:p w14:paraId="44194A06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Gyvenamieji korpusai, Prūdiškių g. 57, Prūdiškių k., Vilniaus r.</w:t>
            </w:r>
          </w:p>
        </w:tc>
        <w:tc>
          <w:tcPr>
            <w:tcW w:w="1194" w:type="dxa"/>
          </w:tcPr>
          <w:p w14:paraId="193992E3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7954,84 kv. m.</w:t>
            </w:r>
          </w:p>
        </w:tc>
      </w:tr>
      <w:tr w:rsidR="00FF2B24" w:rsidRPr="00FF2B24" w14:paraId="68C7A73E" w14:textId="77777777" w:rsidTr="00FF2B24">
        <w:trPr>
          <w:jc w:val="center"/>
        </w:trPr>
        <w:tc>
          <w:tcPr>
            <w:tcW w:w="8161" w:type="dxa"/>
          </w:tcPr>
          <w:p w14:paraId="27DDE5E3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Skalbyklos patalpos, Prūdiškių g. 59, Prūdiškių k., Vilniaus r.</w:t>
            </w:r>
          </w:p>
        </w:tc>
        <w:tc>
          <w:tcPr>
            <w:tcW w:w="1194" w:type="dxa"/>
          </w:tcPr>
          <w:p w14:paraId="06C904BE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122,96  kv. m.</w:t>
            </w:r>
          </w:p>
        </w:tc>
      </w:tr>
      <w:tr w:rsidR="00FF2B24" w:rsidRPr="00FF2B24" w14:paraId="49CB9059" w14:textId="77777777" w:rsidTr="00FF2B24">
        <w:trPr>
          <w:jc w:val="center"/>
        </w:trPr>
        <w:tc>
          <w:tcPr>
            <w:tcW w:w="8161" w:type="dxa"/>
          </w:tcPr>
          <w:p w14:paraId="4E67D488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Valgyklos patalpos, Prūdiškių g. 57, Prūdiškių k., Vilniaus r.</w:t>
            </w:r>
          </w:p>
        </w:tc>
        <w:tc>
          <w:tcPr>
            <w:tcW w:w="1194" w:type="dxa"/>
          </w:tcPr>
          <w:p w14:paraId="00514B8A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8978,00 kv. m.</w:t>
            </w:r>
          </w:p>
        </w:tc>
      </w:tr>
      <w:tr w:rsidR="00FF2B24" w:rsidRPr="00FF2B24" w14:paraId="43AD29D1" w14:textId="77777777" w:rsidTr="00FF2B24">
        <w:trPr>
          <w:jc w:val="center"/>
        </w:trPr>
        <w:tc>
          <w:tcPr>
            <w:tcW w:w="8161" w:type="dxa"/>
          </w:tcPr>
          <w:p w14:paraId="216D8E69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Administracijos patalpos, Prūdiškių g. 59, Prūdiškių k., Vilniaus r.</w:t>
            </w:r>
          </w:p>
        </w:tc>
        <w:tc>
          <w:tcPr>
            <w:tcW w:w="1194" w:type="dxa"/>
          </w:tcPr>
          <w:p w14:paraId="02FD1F79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247,00  kv. m.</w:t>
            </w:r>
          </w:p>
        </w:tc>
      </w:tr>
      <w:tr w:rsidR="00FF2B24" w:rsidRPr="00FF2B24" w14:paraId="3BBD951C" w14:textId="77777777" w:rsidTr="00FF2B24">
        <w:trPr>
          <w:jc w:val="center"/>
        </w:trPr>
        <w:tc>
          <w:tcPr>
            <w:tcW w:w="8161" w:type="dxa"/>
          </w:tcPr>
          <w:p w14:paraId="652A0DFE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Sveikatos priežiūros patalpos ir cokolinio aukšto kabinetai ir sandėliai, Prūdiškių g. 57, Prūdiškių k., Vilniaus r.</w:t>
            </w:r>
          </w:p>
        </w:tc>
        <w:tc>
          <w:tcPr>
            <w:tcW w:w="1194" w:type="dxa"/>
          </w:tcPr>
          <w:p w14:paraId="1967BCAA" w14:textId="77777777" w:rsidR="00FF2B24" w:rsidRPr="00FF2B24" w:rsidRDefault="00FF2B24" w:rsidP="00FF2B24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FF2B2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1066,54 kv. m.</w:t>
            </w:r>
          </w:p>
        </w:tc>
      </w:tr>
    </w:tbl>
    <w:p w14:paraId="7B645392" w14:textId="77777777" w:rsidR="00FF2B24" w:rsidRPr="00FF2B24" w:rsidRDefault="00FF2B24" w:rsidP="00FF2B24">
      <w:pPr>
        <w:rPr>
          <w:rFonts w:ascii="Times New Roman" w:eastAsia="Times New Roman" w:hAnsi="Times New Roman" w:cs="Times New Roman"/>
          <w:highlight w:val="white"/>
        </w:rPr>
      </w:pPr>
    </w:p>
    <w:sectPr w:rsidR="00FF2B24" w:rsidRPr="00FF2B24" w:rsidSect="00254F4A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828"/>
    <w:multiLevelType w:val="multilevel"/>
    <w:tmpl w:val="3D7AD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</w:lvl>
    <w:lvl w:ilvl="2">
      <w:start w:val="1"/>
      <w:numFmt w:val="decimal"/>
      <w:lvlText w:val="%1.%2.%3."/>
      <w:lvlJc w:val="left"/>
      <w:pPr>
        <w:ind w:left="1531" w:hanging="811"/>
      </w:pPr>
    </w:lvl>
    <w:lvl w:ilvl="3">
      <w:start w:val="1"/>
      <w:numFmt w:val="decimal"/>
      <w:lvlText w:val="%1.%2.%3.%4."/>
      <w:lvlJc w:val="left"/>
      <w:pPr>
        <w:ind w:left="2041" w:hanging="961"/>
      </w:pPr>
    </w:lvl>
    <w:lvl w:ilvl="4">
      <w:start w:val="1"/>
      <w:numFmt w:val="decimal"/>
      <w:lvlText w:val="%1.%2.%3.%4.%5."/>
      <w:lvlJc w:val="left"/>
      <w:pPr>
        <w:ind w:left="2495" w:hanging="1055"/>
      </w:pPr>
    </w:lvl>
    <w:lvl w:ilvl="5">
      <w:start w:val="1"/>
      <w:numFmt w:val="decimal"/>
      <w:lvlText w:val="%1.%2.%3.%4.%5.%6."/>
      <w:lvlJc w:val="left"/>
      <w:pPr>
        <w:ind w:left="3005" w:hanging="120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54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C"/>
    <w:rsid w:val="00006656"/>
    <w:rsid w:val="000D28DC"/>
    <w:rsid w:val="000E16E1"/>
    <w:rsid w:val="00152002"/>
    <w:rsid w:val="00254F4A"/>
    <w:rsid w:val="00255F50"/>
    <w:rsid w:val="002571CD"/>
    <w:rsid w:val="00560EAD"/>
    <w:rsid w:val="00624ABD"/>
    <w:rsid w:val="0081019B"/>
    <w:rsid w:val="00890A77"/>
    <w:rsid w:val="009571AE"/>
    <w:rsid w:val="00AF168C"/>
    <w:rsid w:val="00BA0739"/>
    <w:rsid w:val="00CE5E68"/>
    <w:rsid w:val="00F15882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C909"/>
  <w15:chartTrackingRefBased/>
  <w15:docId w15:val="{7B9A06FF-BD77-4CC1-9671-650C3BCF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68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5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Ignotienė</dc:creator>
  <cp:keywords/>
  <dc:description/>
  <cp:lastModifiedBy>Julija Tinčurinienė</cp:lastModifiedBy>
  <cp:revision>3</cp:revision>
  <dcterms:created xsi:type="dcterms:W3CDTF">2026-01-28T16:41:00Z</dcterms:created>
  <dcterms:modified xsi:type="dcterms:W3CDTF">2026-01-28T17:24:00Z</dcterms:modified>
</cp:coreProperties>
</file>