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8952D52"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CF05F3" w:rsidRPr="00C556F4">
        <w:rPr>
          <w:rFonts w:ascii="Times New Roman" w:hAnsi="Times New Roman" w:cs="Times New Roman"/>
          <w:b/>
          <w:sz w:val="24"/>
          <w:szCs w:val="24"/>
        </w:rPr>
        <w:t>ŠVENČIONIŲ RAJONO SAVIVALDYBĖS VIETINĖS REIKŠMĖS KELIŲ (GATVIŲ)</w:t>
      </w:r>
      <w:r w:rsidR="00413A6E" w:rsidRPr="00C556F4">
        <w:rPr>
          <w:rFonts w:ascii="Times New Roman" w:hAnsi="Times New Roman" w:cs="Times New Roman"/>
          <w:b/>
          <w:sz w:val="24"/>
          <w:szCs w:val="24"/>
        </w:rPr>
        <w:t xml:space="preserve"> </w:t>
      </w:r>
      <w:r w:rsidR="00360A4A" w:rsidRPr="00C556F4">
        <w:rPr>
          <w:rFonts w:ascii="Times New Roman" w:hAnsi="Times New Roman" w:cs="Times New Roman"/>
          <w:b/>
          <w:caps/>
          <w:color w:val="000000"/>
          <w:sz w:val="24"/>
          <w:szCs w:val="24"/>
        </w:rPr>
        <w:t xml:space="preserve">su </w:t>
      </w:r>
      <w:r w:rsidR="00413A6E" w:rsidRPr="00C556F4">
        <w:rPr>
          <w:rFonts w:ascii="Times New Roman" w:hAnsi="Times New Roman" w:cs="Times New Roman"/>
          <w:b/>
          <w:caps/>
          <w:color w:val="000000"/>
          <w:sz w:val="24"/>
          <w:szCs w:val="24"/>
        </w:rPr>
        <w:t>A/B</w:t>
      </w:r>
      <w:r w:rsidR="00360A4A" w:rsidRPr="00C556F4">
        <w:rPr>
          <w:rFonts w:ascii="Times New Roman" w:hAnsi="Times New Roman" w:cs="Times New Roman"/>
          <w:b/>
          <w:caps/>
          <w:color w:val="000000"/>
          <w:sz w:val="24"/>
          <w:szCs w:val="24"/>
        </w:rPr>
        <w:t xml:space="preserve"> danga priežiūros darbŲ 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C14B1B" w14:paraId="6144A3D2" w14:textId="77777777" w:rsidTr="00193CB7">
        <w:tc>
          <w:tcPr>
            <w:tcW w:w="5670"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193CB7">
        <w:tc>
          <w:tcPr>
            <w:tcW w:w="5670"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193CB7">
        <w:tc>
          <w:tcPr>
            <w:tcW w:w="5670"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828" w:type="dxa"/>
          </w:tcPr>
          <w:p w14:paraId="4470E34E" w14:textId="77777777" w:rsidR="00C14B1B" w:rsidRDefault="00C14B1B" w:rsidP="00193CB7">
            <w:pPr>
              <w:spacing w:after="0" w:line="240" w:lineRule="auto"/>
              <w:jc w:val="both"/>
              <w:rPr>
                <w:szCs w:val="24"/>
              </w:rPr>
            </w:pPr>
          </w:p>
        </w:tc>
      </w:tr>
      <w:tr w:rsidR="00C14B1B" w14:paraId="0F1D86AE" w14:textId="77777777" w:rsidTr="00193CB7">
        <w:tc>
          <w:tcPr>
            <w:tcW w:w="5670" w:type="dxa"/>
          </w:tcPr>
          <w:p w14:paraId="0A50DA66" w14:textId="77777777" w:rsidR="00C14B1B" w:rsidRDefault="00C14B1B" w:rsidP="00193CB7">
            <w:pPr>
              <w:spacing w:after="0" w:line="240" w:lineRule="auto"/>
              <w:rPr>
                <w:szCs w:val="24"/>
              </w:rPr>
            </w:pPr>
            <w:r>
              <w:rPr>
                <w:szCs w:val="24"/>
              </w:rPr>
              <w:t>Telefono numeris</w:t>
            </w:r>
          </w:p>
        </w:tc>
        <w:tc>
          <w:tcPr>
            <w:tcW w:w="3828" w:type="dxa"/>
          </w:tcPr>
          <w:p w14:paraId="5AD74276" w14:textId="77777777" w:rsidR="00C14B1B" w:rsidRDefault="00C14B1B" w:rsidP="00193CB7">
            <w:pPr>
              <w:spacing w:after="0" w:line="240" w:lineRule="auto"/>
              <w:jc w:val="both"/>
              <w:rPr>
                <w:szCs w:val="24"/>
              </w:rPr>
            </w:pPr>
          </w:p>
        </w:tc>
      </w:tr>
      <w:tr w:rsidR="00C14B1B" w14:paraId="15D9CC09" w14:textId="77777777" w:rsidTr="00193CB7">
        <w:tc>
          <w:tcPr>
            <w:tcW w:w="5670" w:type="dxa"/>
          </w:tcPr>
          <w:p w14:paraId="7AC48491" w14:textId="77777777" w:rsidR="00C14B1B" w:rsidRDefault="00C14B1B" w:rsidP="00193CB7">
            <w:pPr>
              <w:spacing w:after="0" w:line="240" w:lineRule="auto"/>
              <w:rPr>
                <w:szCs w:val="24"/>
              </w:rPr>
            </w:pPr>
            <w:r>
              <w:rPr>
                <w:szCs w:val="24"/>
              </w:rPr>
              <w:t>Fakso numeris</w:t>
            </w:r>
          </w:p>
        </w:tc>
        <w:tc>
          <w:tcPr>
            <w:tcW w:w="3828" w:type="dxa"/>
          </w:tcPr>
          <w:p w14:paraId="601EBA31" w14:textId="77777777" w:rsidR="00C14B1B" w:rsidRDefault="00C14B1B" w:rsidP="00193CB7">
            <w:pPr>
              <w:spacing w:after="0" w:line="240" w:lineRule="auto"/>
              <w:jc w:val="both"/>
              <w:rPr>
                <w:szCs w:val="24"/>
              </w:rPr>
            </w:pPr>
          </w:p>
        </w:tc>
      </w:tr>
      <w:tr w:rsidR="00C14B1B" w14:paraId="45D54483" w14:textId="77777777" w:rsidTr="00193CB7">
        <w:tc>
          <w:tcPr>
            <w:tcW w:w="5670" w:type="dxa"/>
          </w:tcPr>
          <w:p w14:paraId="5F752DC4" w14:textId="77777777" w:rsidR="00C14B1B" w:rsidRDefault="00C14B1B" w:rsidP="00193CB7">
            <w:pPr>
              <w:spacing w:after="0" w:line="240" w:lineRule="auto"/>
              <w:rPr>
                <w:szCs w:val="24"/>
              </w:rPr>
            </w:pPr>
            <w:r>
              <w:rPr>
                <w:szCs w:val="24"/>
              </w:rPr>
              <w:t>El. pašto adresas</w:t>
            </w:r>
          </w:p>
        </w:tc>
        <w:tc>
          <w:tcPr>
            <w:tcW w:w="3828"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Style w:val="Lentelstinklelis"/>
        <w:tblW w:w="0" w:type="auto"/>
        <w:tblLook w:val="04A0" w:firstRow="1" w:lastRow="0" w:firstColumn="1" w:lastColumn="0" w:noHBand="0" w:noVBand="1"/>
      </w:tblPr>
      <w:tblGrid>
        <w:gridCol w:w="3045"/>
        <w:gridCol w:w="919"/>
        <w:gridCol w:w="1418"/>
        <w:gridCol w:w="1442"/>
        <w:gridCol w:w="1521"/>
        <w:gridCol w:w="1283"/>
      </w:tblGrid>
      <w:tr w:rsidR="00D148BB" w14:paraId="59FF3135" w14:textId="77777777" w:rsidTr="00C556F4">
        <w:tc>
          <w:tcPr>
            <w:tcW w:w="3045" w:type="dxa"/>
          </w:tcPr>
          <w:p w14:paraId="2395879B" w14:textId="77777777" w:rsidR="00D148BB" w:rsidRPr="00697240" w:rsidRDefault="00D148BB" w:rsidP="00594C6A">
            <w:pPr>
              <w:jc w:val="center"/>
            </w:pPr>
            <w:r w:rsidRPr="00697240">
              <w:t>Darbų įkainio pavadinimas</w:t>
            </w:r>
          </w:p>
        </w:tc>
        <w:tc>
          <w:tcPr>
            <w:tcW w:w="919" w:type="dxa"/>
          </w:tcPr>
          <w:p w14:paraId="3A80090B" w14:textId="77777777" w:rsidR="00D148BB" w:rsidRPr="00697240" w:rsidRDefault="00D148BB" w:rsidP="00594C6A">
            <w:pPr>
              <w:jc w:val="center"/>
            </w:pPr>
            <w:r>
              <w:t>Mato vnt.</w:t>
            </w:r>
          </w:p>
        </w:tc>
        <w:tc>
          <w:tcPr>
            <w:tcW w:w="1418" w:type="dxa"/>
          </w:tcPr>
          <w:p w14:paraId="5CE7CCA0" w14:textId="77777777" w:rsidR="00D148BB" w:rsidRDefault="00D148BB" w:rsidP="00594C6A">
            <w:pPr>
              <w:jc w:val="center"/>
            </w:pPr>
            <w:r>
              <w:t>Fiksuotas įkainis Eur,</w:t>
            </w:r>
          </w:p>
          <w:p w14:paraId="43A209F7" w14:textId="09416514" w:rsidR="00D148BB" w:rsidRPr="00697240" w:rsidRDefault="00D148BB" w:rsidP="00594C6A">
            <w:pPr>
              <w:jc w:val="center"/>
            </w:pPr>
            <w:r>
              <w:t>be PVM</w:t>
            </w:r>
          </w:p>
        </w:tc>
        <w:tc>
          <w:tcPr>
            <w:tcW w:w="1442" w:type="dxa"/>
          </w:tcPr>
          <w:p w14:paraId="3A651B87" w14:textId="77777777" w:rsidR="00D148BB" w:rsidRDefault="00D148BB" w:rsidP="00594C6A">
            <w:pPr>
              <w:jc w:val="center"/>
            </w:pPr>
            <w:r>
              <w:t>Fiksuotas įkainis Eur,</w:t>
            </w:r>
          </w:p>
          <w:p w14:paraId="53DDD8DE" w14:textId="77777777" w:rsidR="00D148BB" w:rsidRPr="00697240" w:rsidRDefault="00D148BB" w:rsidP="00594C6A">
            <w:pPr>
              <w:jc w:val="center"/>
            </w:pPr>
            <w:r>
              <w:t xml:space="preserve"> su PVM</w:t>
            </w:r>
          </w:p>
        </w:tc>
        <w:tc>
          <w:tcPr>
            <w:tcW w:w="1521" w:type="dxa"/>
          </w:tcPr>
          <w:p w14:paraId="00D599CA" w14:textId="77777777" w:rsidR="00D148BB" w:rsidRPr="00697240" w:rsidRDefault="00D148BB" w:rsidP="00594C6A">
            <w:pPr>
              <w:jc w:val="center"/>
            </w:pPr>
            <w:r>
              <w:t>Įkainio lyginamojo svorio koeficientas</w:t>
            </w:r>
          </w:p>
        </w:tc>
        <w:tc>
          <w:tcPr>
            <w:tcW w:w="1283" w:type="dxa"/>
          </w:tcPr>
          <w:p w14:paraId="1D798565" w14:textId="77777777" w:rsidR="00D148BB" w:rsidRPr="00697240" w:rsidRDefault="00D148BB" w:rsidP="00594C6A">
            <w:pPr>
              <w:jc w:val="center"/>
            </w:pPr>
            <w:r>
              <w:t>Sąlyginis įkainis Eur su visais mokesčiais ir PVM (4x5)</w:t>
            </w:r>
          </w:p>
        </w:tc>
      </w:tr>
      <w:tr w:rsidR="00D148BB" w14:paraId="646742E2" w14:textId="77777777" w:rsidTr="00C556F4">
        <w:trPr>
          <w:trHeight w:val="320"/>
        </w:trPr>
        <w:tc>
          <w:tcPr>
            <w:tcW w:w="3045" w:type="dxa"/>
          </w:tcPr>
          <w:p w14:paraId="2E0FA877" w14:textId="77777777" w:rsidR="00D148BB" w:rsidRPr="00697240" w:rsidRDefault="00D148BB" w:rsidP="00594C6A">
            <w:pPr>
              <w:jc w:val="center"/>
            </w:pPr>
            <w:r w:rsidRPr="00697240">
              <w:t>1</w:t>
            </w:r>
          </w:p>
        </w:tc>
        <w:tc>
          <w:tcPr>
            <w:tcW w:w="919" w:type="dxa"/>
          </w:tcPr>
          <w:p w14:paraId="29BEB619" w14:textId="77777777" w:rsidR="00D148BB" w:rsidRPr="00697240" w:rsidRDefault="00D148BB" w:rsidP="00594C6A">
            <w:pPr>
              <w:jc w:val="center"/>
            </w:pPr>
            <w:r w:rsidRPr="00697240">
              <w:t>2</w:t>
            </w:r>
          </w:p>
        </w:tc>
        <w:tc>
          <w:tcPr>
            <w:tcW w:w="1418" w:type="dxa"/>
          </w:tcPr>
          <w:p w14:paraId="145CA0E5" w14:textId="77777777" w:rsidR="00D148BB" w:rsidRPr="00697240" w:rsidRDefault="00D148BB" w:rsidP="00594C6A">
            <w:pPr>
              <w:jc w:val="center"/>
            </w:pPr>
            <w:r w:rsidRPr="00697240">
              <w:t>3</w:t>
            </w:r>
          </w:p>
        </w:tc>
        <w:tc>
          <w:tcPr>
            <w:tcW w:w="1442" w:type="dxa"/>
          </w:tcPr>
          <w:p w14:paraId="4095336E" w14:textId="77777777" w:rsidR="00D148BB" w:rsidRPr="00697240" w:rsidRDefault="00D148BB" w:rsidP="00594C6A">
            <w:pPr>
              <w:jc w:val="center"/>
            </w:pPr>
            <w:r w:rsidRPr="00697240">
              <w:t>4</w:t>
            </w:r>
          </w:p>
        </w:tc>
        <w:tc>
          <w:tcPr>
            <w:tcW w:w="1521" w:type="dxa"/>
          </w:tcPr>
          <w:p w14:paraId="36E2CC51" w14:textId="77777777" w:rsidR="00D148BB" w:rsidRPr="00697240" w:rsidRDefault="00D148BB" w:rsidP="00594C6A">
            <w:pPr>
              <w:jc w:val="center"/>
            </w:pPr>
            <w:r w:rsidRPr="00697240">
              <w:t>5</w:t>
            </w:r>
          </w:p>
        </w:tc>
        <w:tc>
          <w:tcPr>
            <w:tcW w:w="1283" w:type="dxa"/>
          </w:tcPr>
          <w:p w14:paraId="35C51299" w14:textId="77777777" w:rsidR="00D148BB" w:rsidRPr="00697240" w:rsidRDefault="00D148BB" w:rsidP="00594C6A">
            <w:pPr>
              <w:jc w:val="center"/>
            </w:pPr>
            <w:r w:rsidRPr="00697240">
              <w:t>6</w:t>
            </w:r>
          </w:p>
        </w:tc>
      </w:tr>
      <w:tr w:rsidR="00D148BB" w14:paraId="7D8DBC7B" w14:textId="77777777" w:rsidTr="00C556F4">
        <w:trPr>
          <w:trHeight w:val="2218"/>
        </w:trPr>
        <w:tc>
          <w:tcPr>
            <w:tcW w:w="3045" w:type="dxa"/>
          </w:tcPr>
          <w:p w14:paraId="687DC6FE" w14:textId="77777777" w:rsidR="00D148BB" w:rsidRPr="007A5451" w:rsidRDefault="00D148BB" w:rsidP="00594C6A">
            <w:pPr>
              <w:rPr>
                <w:bCs/>
              </w:rPr>
            </w:pPr>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plotas iki 1 m²</w:t>
            </w:r>
            <w:r>
              <w:t xml:space="preserve"> (su frezavimu, </w:t>
            </w:r>
            <w:r>
              <w:rPr>
                <w:bCs/>
              </w:rPr>
              <w:t>kraštų bei dugno padengimu bitumine emulsija)</w:t>
            </w:r>
          </w:p>
        </w:tc>
        <w:tc>
          <w:tcPr>
            <w:tcW w:w="919" w:type="dxa"/>
          </w:tcPr>
          <w:p w14:paraId="3C47F7E2" w14:textId="77777777" w:rsidR="00D148BB" w:rsidRDefault="00D148BB" w:rsidP="00594C6A">
            <w:pPr>
              <w:jc w:val="center"/>
              <w:rPr>
                <w:bCs/>
              </w:rPr>
            </w:pPr>
          </w:p>
          <w:p w14:paraId="2FFD6B60" w14:textId="77777777" w:rsidR="00D148BB" w:rsidRDefault="00D148BB" w:rsidP="00594C6A">
            <w:pPr>
              <w:jc w:val="center"/>
              <w:rPr>
                <w:bCs/>
              </w:rPr>
            </w:pPr>
          </w:p>
          <w:p w14:paraId="280D0649" w14:textId="77777777" w:rsidR="00D148BB" w:rsidRPr="00697240" w:rsidRDefault="00D148BB" w:rsidP="00594C6A">
            <w:pPr>
              <w:jc w:val="center"/>
            </w:pPr>
            <w:r>
              <w:rPr>
                <w:bCs/>
              </w:rPr>
              <w:t xml:space="preserve"> m²</w:t>
            </w:r>
          </w:p>
        </w:tc>
        <w:tc>
          <w:tcPr>
            <w:tcW w:w="1418" w:type="dxa"/>
          </w:tcPr>
          <w:p w14:paraId="16B6F224" w14:textId="77777777" w:rsidR="00D148BB" w:rsidRPr="00697240" w:rsidRDefault="00D148BB" w:rsidP="00594C6A">
            <w:pPr>
              <w:jc w:val="center"/>
            </w:pPr>
          </w:p>
        </w:tc>
        <w:tc>
          <w:tcPr>
            <w:tcW w:w="1442" w:type="dxa"/>
          </w:tcPr>
          <w:p w14:paraId="03741DD5" w14:textId="77777777" w:rsidR="00D148BB" w:rsidRPr="00697240" w:rsidRDefault="00D148BB" w:rsidP="00594C6A">
            <w:pPr>
              <w:jc w:val="center"/>
            </w:pPr>
          </w:p>
        </w:tc>
        <w:tc>
          <w:tcPr>
            <w:tcW w:w="1521" w:type="dxa"/>
          </w:tcPr>
          <w:p w14:paraId="18A92430" w14:textId="77777777" w:rsidR="00D148BB" w:rsidRDefault="00D148BB" w:rsidP="00594C6A">
            <w:pPr>
              <w:jc w:val="center"/>
            </w:pPr>
          </w:p>
          <w:p w14:paraId="2BDDF492" w14:textId="77777777" w:rsidR="00D148BB" w:rsidRDefault="00D148BB" w:rsidP="00594C6A">
            <w:pPr>
              <w:jc w:val="center"/>
            </w:pPr>
          </w:p>
          <w:p w14:paraId="7CFC422D" w14:textId="77777777" w:rsidR="00D148BB" w:rsidRPr="00697240" w:rsidRDefault="00D148BB" w:rsidP="00594C6A">
            <w:pPr>
              <w:jc w:val="center"/>
            </w:pPr>
            <w:r>
              <w:t>0,4</w:t>
            </w:r>
          </w:p>
        </w:tc>
        <w:tc>
          <w:tcPr>
            <w:tcW w:w="1283" w:type="dxa"/>
          </w:tcPr>
          <w:p w14:paraId="7483C0F0" w14:textId="77777777" w:rsidR="00D148BB" w:rsidRPr="00697240" w:rsidRDefault="00D148BB" w:rsidP="00594C6A">
            <w:pPr>
              <w:jc w:val="center"/>
            </w:pPr>
          </w:p>
        </w:tc>
      </w:tr>
      <w:tr w:rsidR="00D148BB" w14:paraId="262F173B" w14:textId="77777777" w:rsidTr="00C556F4">
        <w:tc>
          <w:tcPr>
            <w:tcW w:w="3045" w:type="dxa"/>
          </w:tcPr>
          <w:p w14:paraId="4184C048"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iki </w:t>
            </w:r>
            <w:r>
              <w:rPr>
                <w:b/>
                <w:bCs/>
              </w:rPr>
              <w:t>3</w:t>
            </w:r>
            <w:r w:rsidRPr="00C653F3">
              <w:rPr>
                <w:b/>
                <w:bCs/>
              </w:rPr>
              <w:t xml:space="preserve"> m²</w:t>
            </w:r>
            <w:r>
              <w:t xml:space="preserve"> (su frezavimu, </w:t>
            </w:r>
            <w:r>
              <w:rPr>
                <w:bCs/>
              </w:rPr>
              <w:t>kraštų bei dugno padengimu bitumine emulsija)</w:t>
            </w:r>
          </w:p>
        </w:tc>
        <w:tc>
          <w:tcPr>
            <w:tcW w:w="919" w:type="dxa"/>
          </w:tcPr>
          <w:p w14:paraId="1CD15EE7" w14:textId="77777777" w:rsidR="00D148BB" w:rsidRDefault="00D148BB" w:rsidP="00594C6A">
            <w:pPr>
              <w:jc w:val="center"/>
              <w:rPr>
                <w:bCs/>
              </w:rPr>
            </w:pPr>
          </w:p>
          <w:p w14:paraId="2732881B" w14:textId="77777777" w:rsidR="00D148BB" w:rsidRDefault="00D148BB" w:rsidP="00594C6A">
            <w:pPr>
              <w:jc w:val="center"/>
              <w:rPr>
                <w:bCs/>
              </w:rPr>
            </w:pPr>
          </w:p>
          <w:p w14:paraId="589C3286" w14:textId="77777777" w:rsidR="00D148BB" w:rsidRPr="00697240" w:rsidRDefault="00D148BB" w:rsidP="00594C6A">
            <w:pPr>
              <w:jc w:val="center"/>
            </w:pPr>
            <w:r>
              <w:rPr>
                <w:bCs/>
              </w:rPr>
              <w:t>m²</w:t>
            </w:r>
          </w:p>
        </w:tc>
        <w:tc>
          <w:tcPr>
            <w:tcW w:w="1418" w:type="dxa"/>
          </w:tcPr>
          <w:p w14:paraId="7B4B19CA" w14:textId="77777777" w:rsidR="00D148BB" w:rsidRPr="00697240" w:rsidRDefault="00D148BB" w:rsidP="00594C6A">
            <w:pPr>
              <w:jc w:val="center"/>
            </w:pPr>
          </w:p>
        </w:tc>
        <w:tc>
          <w:tcPr>
            <w:tcW w:w="1442" w:type="dxa"/>
          </w:tcPr>
          <w:p w14:paraId="0B2955CB" w14:textId="77777777" w:rsidR="00D148BB" w:rsidRPr="00697240" w:rsidRDefault="00D148BB" w:rsidP="00594C6A">
            <w:pPr>
              <w:jc w:val="center"/>
            </w:pPr>
          </w:p>
        </w:tc>
        <w:tc>
          <w:tcPr>
            <w:tcW w:w="1521" w:type="dxa"/>
          </w:tcPr>
          <w:p w14:paraId="4BCD0684" w14:textId="77777777" w:rsidR="00D148BB" w:rsidRDefault="00D148BB" w:rsidP="00594C6A">
            <w:pPr>
              <w:jc w:val="center"/>
            </w:pPr>
          </w:p>
          <w:p w14:paraId="137FD185" w14:textId="77777777" w:rsidR="00D148BB" w:rsidRDefault="00D148BB" w:rsidP="00594C6A">
            <w:pPr>
              <w:jc w:val="center"/>
            </w:pPr>
          </w:p>
          <w:p w14:paraId="29958D72" w14:textId="77777777" w:rsidR="00D148BB" w:rsidRPr="00697240" w:rsidRDefault="00D148BB" w:rsidP="00594C6A">
            <w:pPr>
              <w:jc w:val="center"/>
            </w:pPr>
            <w:r>
              <w:t>0,30</w:t>
            </w:r>
          </w:p>
        </w:tc>
        <w:tc>
          <w:tcPr>
            <w:tcW w:w="1283" w:type="dxa"/>
          </w:tcPr>
          <w:p w14:paraId="696015BE" w14:textId="77777777" w:rsidR="00D148BB" w:rsidRPr="00697240" w:rsidRDefault="00D148BB" w:rsidP="00594C6A">
            <w:pPr>
              <w:jc w:val="center"/>
            </w:pPr>
          </w:p>
        </w:tc>
      </w:tr>
      <w:tr w:rsidR="00D148BB" w14:paraId="5B50AB19" w14:textId="77777777" w:rsidTr="00C556F4">
        <w:tc>
          <w:tcPr>
            <w:tcW w:w="3045" w:type="dxa"/>
          </w:tcPr>
          <w:p w14:paraId="779AF9EA"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iki </w:t>
            </w:r>
            <w:r>
              <w:rPr>
                <w:b/>
                <w:bCs/>
              </w:rPr>
              <w:t>5</w:t>
            </w:r>
            <w:r w:rsidRPr="00C653F3">
              <w:rPr>
                <w:b/>
                <w:bCs/>
              </w:rPr>
              <w:t xml:space="preserve"> m²</w:t>
            </w:r>
            <w:r>
              <w:t xml:space="preserve"> (su frezavimu, </w:t>
            </w:r>
            <w:r>
              <w:rPr>
                <w:bCs/>
              </w:rPr>
              <w:t>kraštų bei dugno padengimu bitumine emulsija)</w:t>
            </w:r>
          </w:p>
        </w:tc>
        <w:tc>
          <w:tcPr>
            <w:tcW w:w="919" w:type="dxa"/>
          </w:tcPr>
          <w:p w14:paraId="0F726ACA" w14:textId="77777777" w:rsidR="00D148BB" w:rsidRDefault="00D148BB" w:rsidP="00594C6A">
            <w:pPr>
              <w:jc w:val="center"/>
              <w:rPr>
                <w:bCs/>
              </w:rPr>
            </w:pPr>
          </w:p>
          <w:p w14:paraId="337786B3" w14:textId="77777777" w:rsidR="00D148BB" w:rsidRDefault="00D148BB" w:rsidP="00594C6A">
            <w:pPr>
              <w:jc w:val="center"/>
              <w:rPr>
                <w:bCs/>
              </w:rPr>
            </w:pPr>
          </w:p>
          <w:p w14:paraId="0B77472A" w14:textId="77777777" w:rsidR="00D148BB" w:rsidRPr="00697240" w:rsidRDefault="00D148BB" w:rsidP="00594C6A">
            <w:pPr>
              <w:jc w:val="center"/>
            </w:pPr>
            <w:r>
              <w:rPr>
                <w:bCs/>
              </w:rPr>
              <w:t>m²</w:t>
            </w:r>
          </w:p>
        </w:tc>
        <w:tc>
          <w:tcPr>
            <w:tcW w:w="1418" w:type="dxa"/>
          </w:tcPr>
          <w:p w14:paraId="79F1CA54" w14:textId="77777777" w:rsidR="00D148BB" w:rsidRPr="00697240" w:rsidRDefault="00D148BB" w:rsidP="00594C6A">
            <w:pPr>
              <w:jc w:val="center"/>
            </w:pPr>
          </w:p>
        </w:tc>
        <w:tc>
          <w:tcPr>
            <w:tcW w:w="1442" w:type="dxa"/>
          </w:tcPr>
          <w:p w14:paraId="4BEC01EF" w14:textId="77777777" w:rsidR="00D148BB" w:rsidRPr="00697240" w:rsidRDefault="00D148BB" w:rsidP="00594C6A">
            <w:pPr>
              <w:jc w:val="center"/>
            </w:pPr>
          </w:p>
        </w:tc>
        <w:tc>
          <w:tcPr>
            <w:tcW w:w="1521" w:type="dxa"/>
          </w:tcPr>
          <w:p w14:paraId="38130CC2" w14:textId="77777777" w:rsidR="00D148BB" w:rsidRDefault="00D148BB" w:rsidP="00594C6A">
            <w:pPr>
              <w:jc w:val="center"/>
            </w:pPr>
          </w:p>
          <w:p w14:paraId="4DDD4DA3" w14:textId="77777777" w:rsidR="00D148BB" w:rsidRDefault="00D148BB" w:rsidP="00594C6A">
            <w:pPr>
              <w:jc w:val="center"/>
            </w:pPr>
          </w:p>
          <w:p w14:paraId="3DF833EA" w14:textId="77777777" w:rsidR="00D148BB" w:rsidRDefault="00D148BB" w:rsidP="00594C6A">
            <w:pPr>
              <w:jc w:val="center"/>
            </w:pPr>
          </w:p>
          <w:p w14:paraId="75EC7FB5" w14:textId="77777777" w:rsidR="00D148BB" w:rsidRPr="00697240" w:rsidRDefault="00D148BB" w:rsidP="00594C6A">
            <w:pPr>
              <w:jc w:val="center"/>
            </w:pPr>
            <w:r>
              <w:t>0,20</w:t>
            </w:r>
          </w:p>
        </w:tc>
        <w:tc>
          <w:tcPr>
            <w:tcW w:w="1283" w:type="dxa"/>
          </w:tcPr>
          <w:p w14:paraId="0CEC2B95" w14:textId="77777777" w:rsidR="00D148BB" w:rsidRPr="00697240" w:rsidRDefault="00D148BB" w:rsidP="00594C6A">
            <w:pPr>
              <w:jc w:val="center"/>
            </w:pPr>
          </w:p>
        </w:tc>
      </w:tr>
      <w:tr w:rsidR="00D148BB" w14:paraId="0EEEC325" w14:textId="77777777" w:rsidTr="00C556F4">
        <w:tc>
          <w:tcPr>
            <w:tcW w:w="3045" w:type="dxa"/>
          </w:tcPr>
          <w:p w14:paraId="40C0D239"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w:t>
            </w:r>
            <w:r>
              <w:rPr>
                <w:b/>
                <w:bCs/>
              </w:rPr>
              <w:t>daugiau nei 5</w:t>
            </w:r>
            <w:r w:rsidRPr="00C653F3">
              <w:rPr>
                <w:b/>
                <w:bCs/>
              </w:rPr>
              <w:t xml:space="preserve"> m²</w:t>
            </w:r>
            <w:r>
              <w:t xml:space="preserve"> (su frezavimu, </w:t>
            </w:r>
            <w:r>
              <w:rPr>
                <w:bCs/>
              </w:rPr>
              <w:t>kraštų bei dugno padengimu bitumine emulsija)</w:t>
            </w:r>
          </w:p>
        </w:tc>
        <w:tc>
          <w:tcPr>
            <w:tcW w:w="919" w:type="dxa"/>
          </w:tcPr>
          <w:p w14:paraId="404D9D03" w14:textId="77777777" w:rsidR="00D148BB" w:rsidRDefault="00D148BB" w:rsidP="00594C6A">
            <w:pPr>
              <w:jc w:val="center"/>
              <w:rPr>
                <w:bCs/>
              </w:rPr>
            </w:pPr>
          </w:p>
          <w:p w14:paraId="7C8D60CA" w14:textId="77777777" w:rsidR="00D148BB" w:rsidRDefault="00D148BB" w:rsidP="00594C6A">
            <w:pPr>
              <w:jc w:val="center"/>
              <w:rPr>
                <w:bCs/>
              </w:rPr>
            </w:pPr>
          </w:p>
          <w:p w14:paraId="56C72A61" w14:textId="77777777" w:rsidR="00D148BB" w:rsidRDefault="00D148BB" w:rsidP="00594C6A">
            <w:pPr>
              <w:jc w:val="center"/>
              <w:rPr>
                <w:bCs/>
              </w:rPr>
            </w:pPr>
          </w:p>
          <w:p w14:paraId="31B1B4F7" w14:textId="77777777" w:rsidR="00D148BB" w:rsidRPr="00697240" w:rsidRDefault="00D148BB" w:rsidP="00594C6A">
            <w:pPr>
              <w:jc w:val="center"/>
            </w:pPr>
            <w:r>
              <w:rPr>
                <w:bCs/>
              </w:rPr>
              <w:t>m²</w:t>
            </w:r>
          </w:p>
        </w:tc>
        <w:tc>
          <w:tcPr>
            <w:tcW w:w="1418" w:type="dxa"/>
          </w:tcPr>
          <w:p w14:paraId="09782686" w14:textId="77777777" w:rsidR="00D148BB" w:rsidRPr="00697240" w:rsidRDefault="00D148BB" w:rsidP="00594C6A">
            <w:pPr>
              <w:jc w:val="center"/>
            </w:pPr>
          </w:p>
        </w:tc>
        <w:tc>
          <w:tcPr>
            <w:tcW w:w="1442" w:type="dxa"/>
          </w:tcPr>
          <w:p w14:paraId="616A9E65" w14:textId="77777777" w:rsidR="00D148BB" w:rsidRPr="00697240" w:rsidRDefault="00D148BB" w:rsidP="00594C6A">
            <w:pPr>
              <w:jc w:val="center"/>
            </w:pPr>
          </w:p>
        </w:tc>
        <w:tc>
          <w:tcPr>
            <w:tcW w:w="1521" w:type="dxa"/>
          </w:tcPr>
          <w:p w14:paraId="524B7FFA" w14:textId="77777777" w:rsidR="00D148BB" w:rsidRDefault="00D148BB" w:rsidP="00594C6A">
            <w:pPr>
              <w:jc w:val="center"/>
            </w:pPr>
          </w:p>
          <w:p w14:paraId="35797A41" w14:textId="77777777" w:rsidR="00D148BB" w:rsidRDefault="00D148BB" w:rsidP="00594C6A">
            <w:pPr>
              <w:jc w:val="center"/>
            </w:pPr>
          </w:p>
          <w:p w14:paraId="1053E0B0" w14:textId="77777777" w:rsidR="00D148BB" w:rsidRDefault="00D148BB" w:rsidP="00594C6A">
            <w:pPr>
              <w:jc w:val="center"/>
            </w:pPr>
          </w:p>
          <w:p w14:paraId="7CDF87F1" w14:textId="77777777" w:rsidR="00D148BB" w:rsidRPr="00697240" w:rsidRDefault="00D148BB" w:rsidP="00594C6A">
            <w:pPr>
              <w:jc w:val="center"/>
            </w:pPr>
            <w:r>
              <w:t>0,1</w:t>
            </w:r>
          </w:p>
        </w:tc>
        <w:tc>
          <w:tcPr>
            <w:tcW w:w="1283" w:type="dxa"/>
          </w:tcPr>
          <w:p w14:paraId="266F17BF" w14:textId="77777777" w:rsidR="00D148BB" w:rsidRPr="00697240" w:rsidRDefault="00D148BB" w:rsidP="00594C6A">
            <w:pPr>
              <w:jc w:val="center"/>
            </w:pPr>
          </w:p>
        </w:tc>
      </w:tr>
      <w:tr w:rsidR="00D148BB" w14:paraId="5AB05111" w14:textId="77777777" w:rsidTr="00C556F4">
        <w:tc>
          <w:tcPr>
            <w:tcW w:w="3045" w:type="dxa"/>
          </w:tcPr>
          <w:p w14:paraId="78C1243A" w14:textId="77777777" w:rsidR="00D148BB" w:rsidRPr="00697240" w:rsidRDefault="00D148BB" w:rsidP="00594C6A">
            <w:r>
              <w:lastRenderedPageBreak/>
              <w:t>Sąlyginė kaina pasiūlymui vertinti</w:t>
            </w:r>
          </w:p>
        </w:tc>
        <w:tc>
          <w:tcPr>
            <w:tcW w:w="919" w:type="dxa"/>
          </w:tcPr>
          <w:p w14:paraId="2497B158" w14:textId="77777777" w:rsidR="00D148BB" w:rsidRPr="00697240" w:rsidRDefault="00D148BB" w:rsidP="00594C6A">
            <w:pPr>
              <w:jc w:val="center"/>
            </w:pPr>
            <w:r>
              <w:t>x</w:t>
            </w:r>
          </w:p>
        </w:tc>
        <w:tc>
          <w:tcPr>
            <w:tcW w:w="1418" w:type="dxa"/>
          </w:tcPr>
          <w:p w14:paraId="6A7B4293" w14:textId="77777777" w:rsidR="00D148BB" w:rsidRPr="00697240" w:rsidRDefault="00D148BB" w:rsidP="00594C6A">
            <w:pPr>
              <w:jc w:val="center"/>
            </w:pPr>
            <w:r>
              <w:t>x</w:t>
            </w:r>
          </w:p>
        </w:tc>
        <w:tc>
          <w:tcPr>
            <w:tcW w:w="1442" w:type="dxa"/>
          </w:tcPr>
          <w:p w14:paraId="15B5F7CB" w14:textId="77777777" w:rsidR="00D148BB" w:rsidRPr="00697240" w:rsidRDefault="00D148BB" w:rsidP="00594C6A">
            <w:pPr>
              <w:jc w:val="center"/>
            </w:pPr>
            <w:r>
              <w:t>x</w:t>
            </w:r>
          </w:p>
        </w:tc>
        <w:tc>
          <w:tcPr>
            <w:tcW w:w="1521" w:type="dxa"/>
          </w:tcPr>
          <w:p w14:paraId="00EFD9ED" w14:textId="77777777" w:rsidR="00D148BB" w:rsidRPr="00697240" w:rsidRDefault="00D148BB" w:rsidP="00594C6A">
            <w:pPr>
              <w:jc w:val="center"/>
            </w:pPr>
            <w:r>
              <w:t>1,0</w:t>
            </w:r>
          </w:p>
        </w:tc>
        <w:tc>
          <w:tcPr>
            <w:tcW w:w="1283" w:type="dxa"/>
          </w:tcPr>
          <w:p w14:paraId="0C880EE6" w14:textId="77777777" w:rsidR="00D148BB" w:rsidRPr="00697240" w:rsidRDefault="00D148BB" w:rsidP="00594C6A">
            <w:pPr>
              <w:jc w:val="center"/>
            </w:pPr>
          </w:p>
        </w:tc>
      </w:tr>
    </w:tbl>
    <w:p w14:paraId="16479231" w14:textId="77777777" w:rsidR="008A22AD" w:rsidRDefault="008A22AD" w:rsidP="008A22AD">
      <w:pPr>
        <w:spacing w:after="0"/>
        <w:rPr>
          <w:color w:val="000000"/>
          <w:spacing w:val="4"/>
        </w:rPr>
      </w:pPr>
    </w:p>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73087AD1"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Pr>
          <w:b/>
          <w:szCs w:val="24"/>
          <w:lang w:eastAsia="lt-LT"/>
        </w:rPr>
        <w:t>darbų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3769353A" w14:textId="77777777" w:rsidR="008A22AD" w:rsidRPr="008A22AD" w:rsidRDefault="008A22AD" w:rsidP="008A22AD">
      <w:pPr>
        <w:spacing w:after="160" w:line="259"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273A99"/>
    <w:rsid w:val="00284A8F"/>
    <w:rsid w:val="003371B0"/>
    <w:rsid w:val="00360A4A"/>
    <w:rsid w:val="00367F83"/>
    <w:rsid w:val="00413A6E"/>
    <w:rsid w:val="00434A02"/>
    <w:rsid w:val="00457422"/>
    <w:rsid w:val="00477513"/>
    <w:rsid w:val="004A6ABD"/>
    <w:rsid w:val="004F409E"/>
    <w:rsid w:val="005728B7"/>
    <w:rsid w:val="00574A79"/>
    <w:rsid w:val="00593529"/>
    <w:rsid w:val="005A2642"/>
    <w:rsid w:val="005D0A75"/>
    <w:rsid w:val="005D77B3"/>
    <w:rsid w:val="005E3C35"/>
    <w:rsid w:val="005E7A19"/>
    <w:rsid w:val="00610D21"/>
    <w:rsid w:val="006171F6"/>
    <w:rsid w:val="00735763"/>
    <w:rsid w:val="00834105"/>
    <w:rsid w:val="00851AC1"/>
    <w:rsid w:val="008A22AD"/>
    <w:rsid w:val="008D7FBE"/>
    <w:rsid w:val="008F0487"/>
    <w:rsid w:val="009979DD"/>
    <w:rsid w:val="009E03E2"/>
    <w:rsid w:val="00A1715E"/>
    <w:rsid w:val="00AB70EB"/>
    <w:rsid w:val="00B04CA1"/>
    <w:rsid w:val="00B576BD"/>
    <w:rsid w:val="00B73D58"/>
    <w:rsid w:val="00BD13F4"/>
    <w:rsid w:val="00C14B1B"/>
    <w:rsid w:val="00C26B39"/>
    <w:rsid w:val="00C556F4"/>
    <w:rsid w:val="00C808E7"/>
    <w:rsid w:val="00CC0339"/>
    <w:rsid w:val="00CF05F3"/>
    <w:rsid w:val="00D148BB"/>
    <w:rsid w:val="00D25EF6"/>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3495</Words>
  <Characters>1993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4</cp:revision>
  <cp:lastPrinted>2017-10-20T07:44:00Z</cp:lastPrinted>
  <dcterms:created xsi:type="dcterms:W3CDTF">2026-01-29T12:53:00Z</dcterms:created>
  <dcterms:modified xsi:type="dcterms:W3CDTF">2026-01-30T08:26:00Z</dcterms:modified>
</cp:coreProperties>
</file>