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5637" w14:textId="6F0B92BB" w:rsidR="0095516C" w:rsidRPr="003D506E" w:rsidRDefault="0095516C" w:rsidP="0095516C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76BBAC85" wp14:editId="440CCD6D">
            <wp:extent cx="619125" cy="600075"/>
            <wp:effectExtent l="0" t="0" r="9525" b="9525"/>
            <wp:docPr id="286060614" name="Paveikslėlis 1" descr="Paveikslėlis, kuriame yra piešimas, eskizas, iliustracija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60614" name="Paveikslėlis 1" descr="Paveikslėlis, kuriame yra piešimas, eskizas, iliustracija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4508" w14:textId="77777777" w:rsidR="0095516C" w:rsidRPr="003D506E" w:rsidRDefault="0095516C" w:rsidP="0095516C">
      <w:pPr>
        <w:jc w:val="center"/>
        <w:rPr>
          <w:sz w:val="24"/>
          <w:szCs w:val="24"/>
          <w:lang w:val="lt-LT"/>
        </w:rPr>
      </w:pPr>
    </w:p>
    <w:p w14:paraId="788347ED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5F6B5165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 SKYRIUS</w:t>
      </w:r>
    </w:p>
    <w:p w14:paraId="331E8B19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95516C" w:rsidRPr="003D506E" w14:paraId="77821BB8" w14:textId="77777777" w:rsidTr="008D255C">
        <w:tc>
          <w:tcPr>
            <w:tcW w:w="4820" w:type="dxa"/>
          </w:tcPr>
          <w:p w14:paraId="35CB1E24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C501FAC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8DBE619" w14:textId="4DDBDA8E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</w:t>
            </w:r>
            <w:r w:rsidR="00813BFE">
              <w:rPr>
                <w:sz w:val="24"/>
                <w:szCs w:val="24"/>
                <w:lang w:val="lt-LT"/>
              </w:rPr>
              <w:t>6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</w:t>
            </w:r>
            <w:r w:rsidR="00813BFE">
              <w:rPr>
                <w:sz w:val="24"/>
                <w:szCs w:val="24"/>
                <w:lang w:val="lt-LT"/>
              </w:rPr>
              <w:t>2</w:t>
            </w:r>
            <w:r w:rsidRPr="003D506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503" w:type="dxa"/>
          </w:tcPr>
          <w:p w14:paraId="67171409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B689DFE" w14:textId="77777777" w:rsidR="0095516C" w:rsidRPr="003D506E" w:rsidRDefault="0095516C" w:rsidP="008D255C">
            <w:pPr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3C124412" w14:textId="77777777" w:rsidTr="008D255C">
        <w:tc>
          <w:tcPr>
            <w:tcW w:w="4820" w:type="dxa"/>
          </w:tcPr>
          <w:p w14:paraId="556E6B30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812E855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867BAD3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E772877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C5821B7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00B7BCCD" w14:textId="77777777" w:rsidTr="008D255C">
        <w:tc>
          <w:tcPr>
            <w:tcW w:w="4820" w:type="dxa"/>
          </w:tcPr>
          <w:p w14:paraId="23CA312B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ECD152A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B1BE3B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9DBAC56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B6F1CFC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3D2C25E" w14:textId="77777777" w:rsidR="0095516C" w:rsidRPr="003D506E" w:rsidRDefault="0095516C" w:rsidP="0095516C">
      <w:pPr>
        <w:jc w:val="both"/>
        <w:rPr>
          <w:sz w:val="24"/>
          <w:szCs w:val="24"/>
          <w:lang w:val="lt-LT"/>
        </w:rPr>
      </w:pPr>
    </w:p>
    <w:p w14:paraId="677744F9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659DEBF8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</w:p>
    <w:p w14:paraId="767273A4" w14:textId="22A49F4C" w:rsidR="0095516C" w:rsidRPr="00AC68E0" w:rsidRDefault="0095516C" w:rsidP="0095516C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 xml:space="preserve">Vilniaus miesto savivaldybės administracija (toliau –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>
        <w:rPr>
          <w:sz w:val="24"/>
          <w:szCs w:val="24"/>
          <w:lang w:val="lt-LT"/>
        </w:rPr>
        <w:t xml:space="preserve"> siekdama tinkamai pasiruošti</w:t>
      </w:r>
      <w:r w:rsidRPr="00AC68E0">
        <w:rPr>
          <w:sz w:val="24"/>
          <w:szCs w:val="24"/>
          <w:lang w:val="lt-LT"/>
        </w:rPr>
        <w:t xml:space="preserve"> numatom</w:t>
      </w:r>
      <w:r>
        <w:rPr>
          <w:sz w:val="24"/>
          <w:szCs w:val="24"/>
          <w:lang w:val="lt-LT"/>
        </w:rPr>
        <w:t>am</w:t>
      </w:r>
      <w:r w:rsidRPr="00AC68E0">
        <w:rPr>
          <w:sz w:val="24"/>
          <w:szCs w:val="24"/>
          <w:lang w:val="lt-LT"/>
        </w:rPr>
        <w:t xml:space="preserve"> pirkim</w:t>
      </w:r>
      <w:r>
        <w:rPr>
          <w:sz w:val="24"/>
          <w:szCs w:val="24"/>
          <w:lang w:val="lt-LT"/>
        </w:rPr>
        <w:t>ui</w:t>
      </w:r>
      <w:r w:rsidRPr="00AC68E0">
        <w:rPr>
          <w:sz w:val="24"/>
          <w:szCs w:val="24"/>
          <w:lang w:val="lt-LT"/>
        </w:rPr>
        <w:t xml:space="preserve"> „</w:t>
      </w:r>
      <w:r w:rsidR="00836272" w:rsidRPr="00836272">
        <w:rPr>
          <w:sz w:val="24"/>
          <w:szCs w:val="24"/>
          <w:lang w:val="lt-LT"/>
        </w:rPr>
        <w:t>Švitrigailos g., J. Basanavičiaus g., V. Kudirkos g., Z. Sierakausko g., M. Valančiaus g., J. Jasinskio g. ir Pakalnės g. paviršinių (lietaus) nuotekų šalinimo tinklų statyba ir kapitalinis remontas</w:t>
      </w:r>
      <w:r w:rsidRPr="00AC68E0">
        <w:rPr>
          <w:rFonts w:eastAsia="SimSun"/>
          <w:sz w:val="24"/>
          <w:szCs w:val="24"/>
          <w:lang w:val="lt-LT"/>
        </w:rPr>
        <w:t>“</w:t>
      </w:r>
      <w:r w:rsidRPr="00AC68E0">
        <w:rPr>
          <w:sz w:val="24"/>
          <w:szCs w:val="24"/>
          <w:lang w:val="lt-LT"/>
        </w:rPr>
        <w:t xml:space="preserve"> (toliau – numatomas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irkimas)</w:t>
      </w:r>
      <w:r>
        <w:rPr>
          <w:sz w:val="24"/>
          <w:szCs w:val="24"/>
          <w:lang w:val="lt-LT"/>
        </w:rPr>
        <w:t xml:space="preserve"> 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>
        <w:rPr>
          <w:sz w:val="24"/>
          <w:szCs w:val="24"/>
          <w:lang w:val="lt-LT"/>
        </w:rPr>
        <w:t xml:space="preserve">, </w:t>
      </w:r>
      <w:r w:rsidRPr="00AC68E0">
        <w:rPr>
          <w:sz w:val="24"/>
          <w:szCs w:val="24"/>
          <w:lang w:val="lt-LT"/>
        </w:rPr>
        <w:t xml:space="preserve">organizuoja </w:t>
      </w:r>
      <w:r>
        <w:rPr>
          <w:sz w:val="24"/>
          <w:szCs w:val="24"/>
          <w:lang w:val="lt-LT"/>
        </w:rPr>
        <w:t>konsultaciją su rinkos dalyviais</w:t>
      </w:r>
      <w:r w:rsidRPr="00AC68E0">
        <w:rPr>
          <w:sz w:val="24"/>
          <w:szCs w:val="24"/>
          <w:lang w:val="lt-LT"/>
        </w:rPr>
        <w:t>.</w:t>
      </w:r>
    </w:p>
    <w:p w14:paraId="5355EB38" w14:textId="77777777" w:rsidR="0095516C" w:rsidRPr="002656C9" w:rsidRDefault="0095516C" w:rsidP="0095516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95516C" w:rsidRPr="003D506E" w14:paraId="07BBA89C" w14:textId="77777777" w:rsidTr="008D255C">
        <w:tc>
          <w:tcPr>
            <w:tcW w:w="1723" w:type="dxa"/>
          </w:tcPr>
          <w:p w14:paraId="222D9F5C" w14:textId="77777777" w:rsidR="0095516C" w:rsidRPr="003D506E" w:rsidRDefault="0095516C" w:rsidP="008D255C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4B4741FF" w14:textId="6334B896" w:rsidR="0095516C" w:rsidRPr="00314861" w:rsidRDefault="00836272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836272">
              <w:rPr>
                <w:sz w:val="24"/>
                <w:szCs w:val="24"/>
                <w:lang w:val="lt-LT"/>
              </w:rPr>
              <w:t>Švitrigailos g., J. Basanavičiaus g., V. Kudirkos g., Z. Sierakausko g., M. Valančiaus g., J. Jasinskio g. ir Pakalnės g. paviršinių (lietaus) nuotekų šalinimo tinklų statyb</w:t>
            </w:r>
            <w:r>
              <w:rPr>
                <w:sz w:val="24"/>
                <w:szCs w:val="24"/>
                <w:lang w:val="lt-LT"/>
              </w:rPr>
              <w:t>os</w:t>
            </w:r>
            <w:r w:rsidRPr="00836272">
              <w:rPr>
                <w:sz w:val="24"/>
                <w:szCs w:val="24"/>
                <w:lang w:val="lt-LT"/>
              </w:rPr>
              <w:t xml:space="preserve"> ir kapitalini</w:t>
            </w:r>
            <w:r>
              <w:rPr>
                <w:sz w:val="24"/>
                <w:szCs w:val="24"/>
                <w:lang w:val="lt-LT"/>
              </w:rPr>
              <w:t>o</w:t>
            </w:r>
            <w:r w:rsidRPr="00836272">
              <w:rPr>
                <w:sz w:val="24"/>
                <w:szCs w:val="24"/>
                <w:lang w:val="lt-LT"/>
              </w:rPr>
              <w:t xml:space="preserve"> remont</w:t>
            </w:r>
            <w:r>
              <w:rPr>
                <w:sz w:val="24"/>
                <w:szCs w:val="24"/>
                <w:lang w:val="lt-LT"/>
              </w:rPr>
              <w:t>o</w:t>
            </w:r>
            <w:r w:rsidR="0095516C" w:rsidRPr="00314861">
              <w:rPr>
                <w:iCs/>
                <w:sz w:val="24"/>
                <w:szCs w:val="24"/>
                <w:lang w:val="lt-LT"/>
              </w:rPr>
              <w:t>, atitinkanči</w:t>
            </w:r>
            <w:r w:rsidR="0095516C">
              <w:rPr>
                <w:iCs/>
                <w:sz w:val="24"/>
                <w:szCs w:val="24"/>
                <w:lang w:val="lt-LT"/>
              </w:rPr>
              <w:t xml:space="preserve">o parengto </w:t>
            </w:r>
            <w:r w:rsidR="0095516C" w:rsidRPr="00AE17CD">
              <w:rPr>
                <w:iCs/>
                <w:sz w:val="24"/>
                <w:szCs w:val="24"/>
                <w:lang w:val="lt-LT"/>
              </w:rPr>
              <w:t>techninio projekto ir pirkimo sąlygų projekto reikalavimus, numatomas įsigijimas</w:t>
            </w:r>
            <w:r w:rsidR="0095516C" w:rsidRPr="00314861">
              <w:rPr>
                <w:sz w:val="24"/>
                <w:szCs w:val="24"/>
                <w:lang w:val="lt-LT"/>
              </w:rPr>
              <w:t>.</w:t>
            </w:r>
          </w:p>
        </w:tc>
      </w:tr>
      <w:tr w:rsidR="0095516C" w:rsidRPr="003D506E" w14:paraId="5A762A2E" w14:textId="77777777" w:rsidTr="008D255C">
        <w:tc>
          <w:tcPr>
            <w:tcW w:w="1723" w:type="dxa"/>
          </w:tcPr>
          <w:p w14:paraId="45401B66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4767F0C5" w14:textId="69E8D0CB" w:rsidR="0095516C" w:rsidRDefault="0095516C" w:rsidP="008D255C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836272" w:rsidRPr="00836272">
              <w:rPr>
                <w:rFonts w:ascii="Times New Roman" w:hAnsi="Times New Roman" w:cs="Times New Roman"/>
                <w:sz w:val="24"/>
                <w:szCs w:val="24"/>
              </w:rPr>
              <w:t>Švitrigailos g., J. Basanavičiaus g., V. Kudirkos g., Z. Sierakausko g., M. Valančiaus g., J. Jasinskio g. ir Pakalnės g. paviršinių (lietaus) nuotekų šalinimo tinklų statyba ir kapitalinis remontas</w:t>
            </w: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“ (toliau – pirkimas) ir prašo tiekėjų, kurie yra suinteresuoti dalyvauti pirkime, pateikti savo įžvalgas, siūlymus ir rekomendacijas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C91CD" w14:textId="1D21D055" w:rsidR="0095516C" w:rsidRDefault="0095516C" w:rsidP="008D255C">
            <w:pPr>
              <w:pStyle w:val="xmso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paskelbto techninio projekto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kiekių žiniaraščių;</w:t>
            </w:r>
          </w:p>
          <w:p w14:paraId="20C25651" w14:textId="02305AC8" w:rsidR="0095516C" w:rsidRPr="00B4767B" w:rsidRDefault="0095516C" w:rsidP="008D255C">
            <w:pPr>
              <w:pStyle w:val="xmso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>pirkimo sąlygų projekt</w:t>
            </w:r>
            <w:r w:rsidR="00943937">
              <w:rPr>
                <w:rFonts w:ascii="Times New Roman" w:hAnsi="Times New Roman" w:cs="Times New Roman"/>
                <w:sz w:val="24"/>
                <w:szCs w:val="24"/>
              </w:rPr>
              <w:t>o:</w:t>
            </w:r>
            <w:r w:rsidRPr="002E6723">
              <w:rPr>
                <w:rFonts w:ascii="Times New Roman" w:hAnsi="Times New Roman" w:cs="Times New Roman"/>
                <w:sz w:val="24"/>
                <w:szCs w:val="24"/>
              </w:rPr>
              <w:t xml:space="preserve"> numatytų darbų atlikimo terminų, ekonominio naudingumo kriterijų, darbų (rangos) pirkimo sutarties nuostatų (indeksavimo, šalių atsakomybių, sutarties esminių pažeidimų), tiekėjų kvalifikacijos 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8E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5516C" w:rsidRPr="003D506E" w14:paraId="04F08476" w14:textId="77777777" w:rsidTr="008D255C">
        <w:tc>
          <w:tcPr>
            <w:tcW w:w="1723" w:type="dxa"/>
          </w:tcPr>
          <w:p w14:paraId="023D0EDE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B6FFA31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121DFD44" w14:textId="32BA63C8" w:rsidR="002A7D22" w:rsidRDefault="002A7D22" w:rsidP="002A7D22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181582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181582" w:rsidRPr="006A364E">
              <w:rPr>
                <w:b/>
                <w:bCs/>
                <w:sz w:val="24"/>
                <w:szCs w:val="24"/>
                <w:lang w:val="lt-LT"/>
              </w:rPr>
              <w:t>vasario 11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A364E" w:rsidRPr="006A364E">
              <w:rPr>
                <w:b/>
                <w:bCs/>
                <w:sz w:val="24"/>
                <w:szCs w:val="24"/>
                <w:lang w:val="lt-LT"/>
              </w:rPr>
              <w:t>15:30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6A364E">
              <w:rPr>
                <w:sz w:val="24"/>
                <w:szCs w:val="24"/>
                <w:lang w:val="lt-LT"/>
              </w:rPr>
              <w:t xml:space="preserve"> pateikti </w:t>
            </w:r>
            <w:r w:rsidRPr="0031685C">
              <w:rPr>
                <w:sz w:val="24"/>
                <w:szCs w:val="24"/>
                <w:lang w:val="lt-LT"/>
              </w:rPr>
              <w:t>pastabas (siūlymus)</w:t>
            </w:r>
            <w:r w:rsidR="00181582">
              <w:rPr>
                <w:sz w:val="24"/>
                <w:szCs w:val="24"/>
                <w:lang w:val="lt-LT"/>
              </w:rPr>
              <w:t>,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perkančioji organizacija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galėtų įvertinti.</w:t>
            </w:r>
          </w:p>
          <w:p w14:paraId="0FF3542A" w14:textId="38E05B5E" w:rsidR="0095516C" w:rsidRPr="009E0D20" w:rsidRDefault="0095516C" w:rsidP="008D255C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95516C" w:rsidRPr="003D506E" w14:paraId="31D1DDF0" w14:textId="77777777" w:rsidTr="008D255C">
        <w:trPr>
          <w:trHeight w:val="519"/>
        </w:trPr>
        <w:tc>
          <w:tcPr>
            <w:tcW w:w="1723" w:type="dxa"/>
          </w:tcPr>
          <w:p w14:paraId="1A1654FF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65C781F7" w14:textId="77777777" w:rsidR="0095516C" w:rsidRPr="009E21F7" w:rsidRDefault="0095516C" w:rsidP="008D255C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95516C" w:rsidRPr="003D506E" w14:paraId="5C11D028" w14:textId="77777777" w:rsidTr="008D255C">
        <w:tc>
          <w:tcPr>
            <w:tcW w:w="1723" w:type="dxa"/>
          </w:tcPr>
          <w:p w14:paraId="5B3C07AB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lastRenderedPageBreak/>
              <w:t xml:space="preserve">Kontaktiniai asmenys: </w:t>
            </w:r>
          </w:p>
        </w:tc>
        <w:tc>
          <w:tcPr>
            <w:tcW w:w="8024" w:type="dxa"/>
          </w:tcPr>
          <w:p w14:paraId="28FF0FE7" w14:textId="77777777" w:rsidR="0095516C" w:rsidRPr="00A049E2" w:rsidRDefault="0095516C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Dokumentų rengimo poskyrio vyr. specialistė Jūratė Čaiko, el. p. </w:t>
            </w:r>
            <w:hyperlink r:id="rId11" w:history="1">
              <w:r w:rsidRPr="00EB663A">
                <w:rPr>
                  <w:rStyle w:val="Hipersaitas"/>
                  <w:rFonts w:eastAsiaTheme="majorEastAsia"/>
                  <w:sz w:val="24"/>
                  <w:szCs w:val="24"/>
                </w:rPr>
                <w:t>jurate.caiko</w:t>
              </w:r>
              <w:r w:rsidRPr="00EB663A">
                <w:rPr>
                  <w:rStyle w:val="Hipersaitas"/>
                  <w:rFonts w:eastAsiaTheme="majorEastAsia"/>
                  <w:sz w:val="24"/>
                  <w:szCs w:val="24"/>
                  <w:lang w:val="lt-LT"/>
                </w:rPr>
                <w:t>@vilnius.lt</w:t>
              </w:r>
            </w:hyperlink>
            <w:r w:rsidRPr="006866CE">
              <w:rPr>
                <w:sz w:val="24"/>
                <w:szCs w:val="24"/>
                <w:lang w:val="lt-LT"/>
              </w:rPr>
              <w:t xml:space="preserve">, tel. </w:t>
            </w:r>
            <w:r w:rsidRPr="00AE0DFD">
              <w:rPr>
                <w:sz w:val="24"/>
                <w:szCs w:val="24"/>
                <w:lang w:val="lt-LT"/>
              </w:rPr>
              <w:t>(8 5</w:t>
            </w:r>
            <w:proofErr w:type="gramStart"/>
            <w:r w:rsidRPr="00AE0DFD">
              <w:rPr>
                <w:sz w:val="24"/>
                <w:szCs w:val="24"/>
                <w:lang w:val="lt-LT"/>
              </w:rPr>
              <w:t>)  211</w:t>
            </w:r>
            <w:proofErr w:type="gramEnd"/>
            <w:r w:rsidRPr="00AE0DFD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852.</w:t>
            </w:r>
          </w:p>
        </w:tc>
      </w:tr>
    </w:tbl>
    <w:p w14:paraId="24D1777A" w14:textId="77777777" w:rsidR="00A358CB" w:rsidRDefault="00A358CB"/>
    <w:sectPr w:rsidR="00A358CB" w:rsidSect="0095516C">
      <w:headerReference w:type="default" r:id="rId12"/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8372" w14:textId="77777777" w:rsidR="00014515" w:rsidRDefault="00014515" w:rsidP="0095516C">
      <w:r>
        <w:separator/>
      </w:r>
    </w:p>
  </w:endnote>
  <w:endnote w:type="continuationSeparator" w:id="0">
    <w:p w14:paraId="03D966DD" w14:textId="77777777" w:rsidR="00014515" w:rsidRDefault="00014515" w:rsidP="0095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E5C" w14:textId="00342509" w:rsidR="00A83D5F" w:rsidRDefault="0095516C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E65FAD2" wp14:editId="62235300">
          <wp:extent cx="6115050" cy="57150"/>
          <wp:effectExtent l="0" t="0" r="0" b="0"/>
          <wp:docPr id="74886881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D819E" w14:textId="35004704" w:rsidR="00A83D5F" w:rsidRDefault="0095516C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9264" behindDoc="0" locked="0" layoutInCell="1" allowOverlap="1" wp14:anchorId="389E5D17" wp14:editId="691DBD9E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6350"/>
          <wp:wrapSquare wrapText="bothSides"/>
          <wp:docPr id="654467058" name="Paveikslėlis 3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D5F">
      <w:rPr>
        <w:sz w:val="16"/>
        <w:szCs w:val="16"/>
        <w:lang w:val="lt-LT"/>
      </w:rPr>
      <w:t xml:space="preserve">          </w:t>
    </w:r>
    <w:r w:rsidR="00A83D5F">
      <w:rPr>
        <w:sz w:val="16"/>
        <w:szCs w:val="16"/>
        <w:lang w:val="lt-LT"/>
      </w:rPr>
      <w:t>B</w:t>
    </w:r>
    <w:r w:rsidR="00A83D5F" w:rsidRPr="00A82AFD">
      <w:rPr>
        <w:sz w:val="16"/>
        <w:szCs w:val="16"/>
        <w:lang w:val="lt-LT"/>
      </w:rPr>
      <w:t>iudžetinė įstaiga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>Konstitucijos pr. 3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 xml:space="preserve">El. p. </w:t>
    </w:r>
    <w:hyperlink r:id="rId3" w:history="1">
      <w:r w:rsidR="00A83D5F" w:rsidRPr="00AA5A0A">
        <w:rPr>
          <w:rStyle w:val="Hipersaitas"/>
          <w:rFonts w:eastAsiaTheme="majorEastAsia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@</w:t>
      </w:r>
    </w:hyperlink>
    <w:hyperlink r:id="rId5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vilnius.lt</w:t>
      </w:r>
    </w:hyperlink>
  </w:p>
  <w:p w14:paraId="46026E34" w14:textId="77777777" w:rsidR="00A83D5F" w:rsidRDefault="00A83D5F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>
      <w:rPr>
        <w:sz w:val="16"/>
        <w:szCs w:val="16"/>
        <w:lang w:val="lt-LT"/>
      </w:rPr>
      <w:t>1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www.vilnius.lt</w:t>
      </w:r>
    </w:hyperlink>
  </w:p>
  <w:p w14:paraId="664A98A1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56CE4D3A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36C0" w14:textId="51DADD09" w:rsidR="00A83D5F" w:rsidRDefault="0095516C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AC65009" wp14:editId="3603FBAD">
          <wp:extent cx="6115050" cy="57150"/>
          <wp:effectExtent l="0" t="0" r="0" b="0"/>
          <wp:docPr id="1449073886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2BE6D" w14:textId="77777777" w:rsidR="00A83D5F" w:rsidRDefault="00A83D5F" w:rsidP="00A83D5F">
    <w:pPr>
      <w:ind w:left="720"/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61312" behindDoc="0" locked="0" layoutInCell="1" allowOverlap="1" wp14:anchorId="08C12050" wp14:editId="7401436C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6350"/>
          <wp:wrapSquare wrapText="bothSides"/>
          <wp:docPr id="1112911005" name="Paveikslėlis 5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lt-LT"/>
      </w:rPr>
      <w:t xml:space="preserve">          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01"/>
      <w:gridCol w:w="1701"/>
      <w:gridCol w:w="3265"/>
    </w:tblGrid>
    <w:tr w:rsidR="00A83D5F" w:rsidRPr="00F5661E" w14:paraId="008D56FA" w14:textId="77777777" w:rsidTr="008D255C">
      <w:tc>
        <w:tcPr>
          <w:tcW w:w="2501" w:type="dxa"/>
        </w:tcPr>
        <w:p w14:paraId="71502F97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2C3EA57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265" w:type="dxa"/>
        </w:tcPr>
        <w:p w14:paraId="7A5DEE56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>
            <w:rPr>
              <w:sz w:val="16"/>
              <w:szCs w:val="16"/>
              <w:lang w:val="lt-LT"/>
            </w:rPr>
            <w:t>vps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</w:tr>
    <w:tr w:rsidR="00A83D5F" w:rsidRPr="00F5661E" w14:paraId="378BDC36" w14:textId="77777777" w:rsidTr="008D255C">
      <w:tc>
        <w:tcPr>
          <w:tcW w:w="2501" w:type="dxa"/>
        </w:tcPr>
        <w:p w14:paraId="494E608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5ED90ABB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265" w:type="dxa"/>
        </w:tcPr>
        <w:p w14:paraId="477D936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  <w:tr w:rsidR="00A83D5F" w:rsidRPr="00F5661E" w14:paraId="284DEC53" w14:textId="77777777" w:rsidTr="008D255C">
      <w:tc>
        <w:tcPr>
          <w:tcW w:w="2501" w:type="dxa"/>
        </w:tcPr>
        <w:p w14:paraId="0B8BD3A5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0E43141F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Tel. </w:t>
          </w:r>
          <w:r>
            <w:rPr>
              <w:sz w:val="16"/>
              <w:szCs w:val="16"/>
              <w:lang w:val="lt-LT"/>
            </w:rPr>
            <w:t>+370</w:t>
          </w:r>
          <w:r w:rsidRPr="00F5661E">
            <w:rPr>
              <w:sz w:val="16"/>
              <w:szCs w:val="16"/>
              <w:lang w:val="lt-LT"/>
            </w:rPr>
            <w:t xml:space="preserve"> 5  211 2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265" w:type="dxa"/>
        </w:tcPr>
        <w:p w14:paraId="3E679F1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</w:tr>
    <w:tr w:rsidR="00A83D5F" w:rsidRPr="00F5661E" w14:paraId="043AF63B" w14:textId="77777777" w:rsidTr="008D255C">
      <w:tc>
        <w:tcPr>
          <w:tcW w:w="2501" w:type="dxa"/>
        </w:tcPr>
        <w:p w14:paraId="506FF8E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72ABA99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  <w:tc>
        <w:tcPr>
          <w:tcW w:w="3265" w:type="dxa"/>
        </w:tcPr>
        <w:p w14:paraId="3E95647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</w:tbl>
  <w:p w14:paraId="6504EB3B" w14:textId="77777777" w:rsidR="00A83D5F" w:rsidRDefault="00A83D5F" w:rsidP="00A83D5F">
    <w:pPr>
      <w:ind w:left="720"/>
    </w:pPr>
  </w:p>
  <w:p w14:paraId="64868683" w14:textId="77777777" w:rsidR="00A83D5F" w:rsidRDefault="00A83D5F" w:rsidP="00A83D5F">
    <w:p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D955" w14:textId="77777777" w:rsidR="00014515" w:rsidRDefault="00014515" w:rsidP="0095516C">
      <w:r>
        <w:separator/>
      </w:r>
    </w:p>
  </w:footnote>
  <w:footnote w:type="continuationSeparator" w:id="0">
    <w:p w14:paraId="431E627F" w14:textId="77777777" w:rsidR="00014515" w:rsidRDefault="00014515" w:rsidP="0095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4202" w14:textId="77777777" w:rsidR="00A83D5F" w:rsidRPr="008D6F7B" w:rsidRDefault="00A83D5F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2699"/>
    <w:multiLevelType w:val="hybridMultilevel"/>
    <w:tmpl w:val="B6AC7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0C"/>
    <w:rsid w:val="00014515"/>
    <w:rsid w:val="001169D1"/>
    <w:rsid w:val="0016469B"/>
    <w:rsid w:val="00181582"/>
    <w:rsid w:val="002A7D22"/>
    <w:rsid w:val="00487369"/>
    <w:rsid w:val="005C1344"/>
    <w:rsid w:val="006A364E"/>
    <w:rsid w:val="006E386C"/>
    <w:rsid w:val="00733966"/>
    <w:rsid w:val="00813BFE"/>
    <w:rsid w:val="00836272"/>
    <w:rsid w:val="00943937"/>
    <w:rsid w:val="0095516C"/>
    <w:rsid w:val="00A358CB"/>
    <w:rsid w:val="00A83D5F"/>
    <w:rsid w:val="00BB35AF"/>
    <w:rsid w:val="00CC01FF"/>
    <w:rsid w:val="00E1690C"/>
    <w:rsid w:val="00E4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667BC"/>
  <w15:chartTrackingRefBased/>
  <w15:docId w15:val="{BED20232-4E47-4466-A62E-89AD592D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9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9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9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9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9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9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9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9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9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9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90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95516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955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9551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9551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xmsonormal">
    <w:name w:val="x_msonormal"/>
    <w:basedOn w:val="prastasis"/>
    <w:rsid w:val="0095516C"/>
    <w:rPr>
      <w:rFonts w:ascii="Calibri" w:eastAsia="Calibr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rate.caiko@vilnius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3CD5C610-4D58-47C8-ABEC-CF931CB63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42685-B70C-43E0-8A87-762661D48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BB2AE-3533-4E4F-9261-24F1BB6B8C5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2272</Characters>
  <Application>Microsoft Office Word</Application>
  <DocSecurity>0</DocSecurity>
  <Lines>75</Lines>
  <Paragraphs>22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13</cp:revision>
  <dcterms:created xsi:type="dcterms:W3CDTF">2025-09-04T07:37:00Z</dcterms:created>
  <dcterms:modified xsi:type="dcterms:W3CDTF">2026-02-04T12:42:00Z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