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002F370"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6A381F" w:rsidRPr="006A381F">
        <w:rPr>
          <w:rFonts w:eastAsia="Calibri"/>
          <w:szCs w:val="24"/>
        </w:rPr>
        <w:t>9</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3D82F8B1" w14:textId="77777777" w:rsidR="00413D8F" w:rsidRPr="00432475" w:rsidRDefault="00413D8F" w:rsidP="00413D8F">
            <w:pPr>
              <w:jc w:val="center"/>
              <w:rPr>
                <w:b/>
                <w:caps/>
                <w:sz w:val="20"/>
              </w:rPr>
            </w:pPr>
            <w:r>
              <w:rPr>
                <w:b/>
                <w:caps/>
                <w:sz w:val="20"/>
              </w:rPr>
              <w:t>VIENKARTINĖS MEDICINOS PRIEMONĖS. BIOPSINĖS ADATOS. ŠAUDYKLĖS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5C188129" w:rsidR="009E28B1" w:rsidRPr="00247315" w:rsidRDefault="00413D8F" w:rsidP="009E28B1">
            <w:pPr>
              <w:rPr>
                <w:color w:val="363636"/>
                <w:sz w:val="22"/>
                <w:szCs w:val="22"/>
                <w:lang w:val="en-US"/>
              </w:rPr>
            </w:pPr>
            <w:r>
              <w:rPr>
                <w:color w:val="363636"/>
                <w:sz w:val="22"/>
                <w:szCs w:val="22"/>
              </w:rPr>
              <w:t xml:space="preserve">Slaugos koordinavimo tarnyba Violeta </w:t>
            </w:r>
            <w:proofErr w:type="spellStart"/>
            <w:r>
              <w:rPr>
                <w:color w:val="363636"/>
                <w:sz w:val="22"/>
                <w:szCs w:val="22"/>
              </w:rPr>
              <w:t>Vilniškytė</w:t>
            </w:r>
            <w:proofErr w:type="spellEnd"/>
            <w:r w:rsidR="009E28B1" w:rsidRPr="00247315">
              <w:rPr>
                <w:color w:val="363636"/>
                <w:sz w:val="22"/>
                <w:szCs w:val="22"/>
              </w:rPr>
              <w:t xml:space="preserve">, tel. Nr. </w:t>
            </w:r>
            <w:r w:rsidR="00CC5E88">
              <w:rPr>
                <w:color w:val="363636"/>
                <w:sz w:val="22"/>
                <w:szCs w:val="22"/>
              </w:rPr>
              <w:t>+370</w:t>
            </w:r>
            <w:r>
              <w:rPr>
                <w:color w:val="363636"/>
                <w:sz w:val="22"/>
                <w:szCs w:val="22"/>
              </w:rPr>
              <w:t>64140815</w:t>
            </w:r>
            <w:r w:rsidR="009E28B1" w:rsidRPr="00247315">
              <w:rPr>
                <w:color w:val="363636"/>
                <w:sz w:val="22"/>
                <w:szCs w:val="22"/>
              </w:rPr>
              <w:t xml:space="preserve"> </w:t>
            </w:r>
            <w:proofErr w:type="spellStart"/>
            <w:r w:rsidR="009E28B1" w:rsidRPr="00247315">
              <w:rPr>
                <w:color w:val="363636"/>
                <w:sz w:val="22"/>
                <w:szCs w:val="22"/>
              </w:rPr>
              <w:t>el.p</w:t>
            </w:r>
            <w:proofErr w:type="spellEnd"/>
            <w:r w:rsidR="009E28B1" w:rsidRPr="00247315">
              <w:rPr>
                <w:color w:val="363636"/>
                <w:sz w:val="22"/>
                <w:szCs w:val="22"/>
              </w:rPr>
              <w:t xml:space="preserve">. </w:t>
            </w:r>
            <w:r>
              <w:rPr>
                <w:color w:val="363636"/>
                <w:sz w:val="22"/>
                <w:szCs w:val="22"/>
              </w:rPr>
              <w:t>violeta.vilniskyte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31A26A67" w14:textId="77777777" w:rsidR="00710C5A" w:rsidRPr="004C5E61" w:rsidRDefault="00710C5A" w:rsidP="00710C5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yperlink"/>
                  <w:rFonts w:eastAsia="Calibri"/>
                  <w:color w:val="auto"/>
                  <w:sz w:val="22"/>
                  <w:szCs w:val="22"/>
                </w:rPr>
                <w:t>@kulig.lt</w:t>
              </w:r>
              <w:proofErr w:type="spellEnd"/>
            </w:hyperlink>
            <w:r w:rsidRPr="006D401E">
              <w:rPr>
                <w:rFonts w:eastAsia="TimesNewRomanPSMT"/>
                <w:sz w:val="22"/>
                <w:szCs w:val="22"/>
              </w:rPr>
              <w:t>;</w:t>
            </w: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 xml:space="preserve">Edita </w:t>
            </w:r>
            <w:proofErr w:type="spellStart"/>
            <w:r w:rsidRPr="00247315">
              <w:rPr>
                <w:rStyle w:val="markedcontent"/>
                <w:sz w:val="22"/>
                <w:szCs w:val="22"/>
                <w:shd w:val="clear" w:color="auto" w:fill="FFFFFF"/>
              </w:rPr>
              <w:t>Bertašienė</w:t>
            </w:r>
            <w:proofErr w:type="spellEnd"/>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183CCDE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C7432A">
              <w:rPr>
                <w:kern w:val="2"/>
                <w:sz w:val="22"/>
                <w:szCs w:val="22"/>
              </w:rPr>
              <w:t>as vienkartines medicinos priemones</w:t>
            </w:r>
            <w:r w:rsidR="00413D8F">
              <w:rPr>
                <w:kern w:val="2"/>
                <w:sz w:val="22"/>
                <w:szCs w:val="22"/>
              </w:rPr>
              <w:t xml:space="preserve">, </w:t>
            </w:r>
            <w:proofErr w:type="spellStart"/>
            <w:r w:rsidR="00413D8F">
              <w:rPr>
                <w:kern w:val="2"/>
                <w:sz w:val="22"/>
                <w:szCs w:val="22"/>
              </w:rPr>
              <w:t>biopsines</w:t>
            </w:r>
            <w:proofErr w:type="spellEnd"/>
            <w:r w:rsidR="00413D8F">
              <w:rPr>
                <w:kern w:val="2"/>
                <w:sz w:val="22"/>
                <w:szCs w:val="22"/>
              </w:rPr>
              <w:t xml:space="preserve"> adatas, šaudykles</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61E679A7" w14:textId="77777777" w:rsidR="00413D8F" w:rsidRPr="00432475" w:rsidRDefault="00413D8F" w:rsidP="00413D8F">
            <w:pPr>
              <w:jc w:val="center"/>
              <w:rPr>
                <w:b/>
                <w:caps/>
                <w:sz w:val="20"/>
              </w:rPr>
            </w:pPr>
            <w:r>
              <w:rPr>
                <w:b/>
                <w:caps/>
                <w:sz w:val="20"/>
              </w:rPr>
              <w:t>VIENKARTINĖS MEDICINOS PRIEMONĖS. BIOPSINĖS ADATOS. ŠAUDYKLĖS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7E5B70BC" w:rsidR="00AA083A" w:rsidRPr="00DA6E34" w:rsidRDefault="009E28B1" w:rsidP="009E28B1">
            <w:pPr>
              <w:jc w:val="both"/>
              <w:rPr>
                <w:rFonts w:eastAsia="Calibri"/>
                <w:sz w:val="22"/>
                <w:szCs w:val="22"/>
                <w:shd w:val="clear" w:color="auto" w:fill="FFFFFF"/>
              </w:rPr>
            </w:pPr>
            <w:r w:rsidRPr="00670B76">
              <w:rPr>
                <w:sz w:val="22"/>
                <w:szCs w:val="22"/>
              </w:rPr>
              <w:t xml:space="preserve">VšĮ Klaipėdos universiteto ligoninė, Liepojos g. </w:t>
            </w:r>
            <w:r w:rsidR="00413D8F">
              <w:rPr>
                <w:sz w:val="22"/>
                <w:szCs w:val="22"/>
              </w:rPr>
              <w:t xml:space="preserve">41, </w:t>
            </w:r>
            <w:r w:rsidRPr="00670B76">
              <w:rPr>
                <w:sz w:val="22"/>
                <w:szCs w:val="22"/>
              </w:rPr>
              <w:t>4</w:t>
            </w:r>
            <w:r w:rsidR="00CC5E88">
              <w:rPr>
                <w:sz w:val="22"/>
                <w:szCs w:val="22"/>
              </w:rPr>
              <w:t>5</w:t>
            </w:r>
            <w:r w:rsidRPr="00670B76">
              <w:rPr>
                <w:sz w:val="22"/>
                <w:szCs w:val="22"/>
              </w:rPr>
              <w:t>, LT-92288, Klaipėda</w:t>
            </w:r>
            <w:r w:rsidR="003352DF">
              <w:rPr>
                <w:sz w:val="22"/>
                <w:szCs w:val="22"/>
              </w:rPr>
              <w:t>,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w:t>
            </w:r>
            <w:r w:rsidRPr="000D629B">
              <w:rPr>
                <w:kern w:val="2"/>
                <w:sz w:val="22"/>
                <w:szCs w:val="22"/>
              </w:rPr>
              <w:lastRenderedPageBreak/>
              <w:t xml:space="preserve">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710C5A"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lastRenderedPageBreak/>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4925CE30"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76F7D">
              <w:rPr>
                <w:kern w:val="2"/>
                <w:sz w:val="22"/>
                <w:szCs w:val="22"/>
              </w:rPr>
              <w:t>37 (trisdešimt septynis)</w:t>
            </w:r>
            <w:r>
              <w:rPr>
                <w:kern w:val="2"/>
                <w:sz w:val="22"/>
                <w:szCs w:val="22"/>
              </w:rPr>
              <w:t xml:space="preserve"> mėnesi</w:t>
            </w:r>
            <w:r w:rsidR="00676F7D">
              <w:rPr>
                <w:kern w:val="2"/>
                <w:sz w:val="22"/>
                <w:szCs w:val="22"/>
              </w:rPr>
              <w:t>us</w:t>
            </w:r>
            <w:r w:rsidR="00247315">
              <w:rPr>
                <w:kern w:val="2"/>
                <w:sz w:val="22"/>
                <w:szCs w:val="22"/>
              </w:rPr>
              <w:t>, (</w:t>
            </w:r>
            <w:r w:rsidR="00676F7D">
              <w:rPr>
                <w:kern w:val="2"/>
                <w:sz w:val="22"/>
                <w:szCs w:val="22"/>
              </w:rPr>
              <w:t>36</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w:t>
            </w:r>
            <w:r w:rsidR="00AB14F8" w:rsidRPr="000D629B">
              <w:rPr>
                <w:bCs/>
                <w:sz w:val="22"/>
                <w:szCs w:val="22"/>
              </w:rPr>
              <w:lastRenderedPageBreak/>
              <w:t>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3.2.10.3. Tiekėjas ar subtiekėjas privalo pakeisti subtiekėją, jei paaiškėja, kad jis neatitinka jam pirkimo dokumentuose </w:t>
      </w:r>
      <w:r w:rsidRPr="009846C6">
        <w:rPr>
          <w:rFonts w:eastAsia="Cambria"/>
          <w:kern w:val="2"/>
          <w:sz w:val="20"/>
        </w:rPr>
        <w:lastRenderedPageBreak/>
        <w:t>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lastRenderedPageBreak/>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lastRenderedPageBreak/>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lastRenderedPageBreak/>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lastRenderedPageBreak/>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9846C6">
        <w:rPr>
          <w:color w:val="000000"/>
          <w:sz w:val="20"/>
        </w:rPr>
        <w:lastRenderedPageBreak/>
        <w:t>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9846C6">
        <w:rPr>
          <w:color w:val="000000"/>
          <w:sz w:val="20"/>
        </w:rPr>
        <w:lastRenderedPageBreak/>
        <w:t>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lastRenderedPageBreak/>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352D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0709B"/>
    <w:rsid w:val="00410A5E"/>
    <w:rsid w:val="00413D8F"/>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76F7D"/>
    <w:rsid w:val="006971AB"/>
    <w:rsid w:val="006A381F"/>
    <w:rsid w:val="006A60C5"/>
    <w:rsid w:val="006B3D65"/>
    <w:rsid w:val="006E5BA0"/>
    <w:rsid w:val="006F4C55"/>
    <w:rsid w:val="006F7E87"/>
    <w:rsid w:val="0070050B"/>
    <w:rsid w:val="00706B28"/>
    <w:rsid w:val="00710C5A"/>
    <w:rsid w:val="00714D48"/>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4AEE"/>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D111FF"/>
    <w:rsid w:val="00D11FA4"/>
    <w:rsid w:val="00D124CF"/>
    <w:rsid w:val="00D125C2"/>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25</Pages>
  <Words>66163</Words>
  <Characters>37713</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18</cp:revision>
  <dcterms:created xsi:type="dcterms:W3CDTF">2025-07-15T09:39:00Z</dcterms:created>
  <dcterms:modified xsi:type="dcterms:W3CDTF">2026-02-04T12:01:00Z</dcterms:modified>
</cp:coreProperties>
</file>