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07853" w14:textId="77777777" w:rsidR="000C192F" w:rsidRPr="001C62A1" w:rsidRDefault="000C192F" w:rsidP="0059773D">
      <w:pPr>
        <w:ind w:right="-1165"/>
        <w:jc w:val="center"/>
        <w:rPr>
          <w:rFonts w:ascii="Times New Roman" w:hAnsi="Times New Roman" w:cs="Times New Roman"/>
          <w:b/>
          <w:bCs/>
          <w:sz w:val="24"/>
        </w:rPr>
      </w:pPr>
      <w:r w:rsidRPr="001C62A1">
        <w:rPr>
          <w:rFonts w:ascii="Times New Roman" w:hAnsi="Times New Roman" w:cs="Times New Roman"/>
          <w:b/>
          <w:bCs/>
          <w:sz w:val="24"/>
        </w:rPr>
        <w:t xml:space="preserve">DENGIAMŲJŲ STIKLELIŲ, SKIRTŲ DENGIMO PROCESORIUI "CLEARVUE“, </w:t>
      </w:r>
      <w:r w:rsidR="00364AF6" w:rsidRPr="001C62A1">
        <w:rPr>
          <w:rFonts w:ascii="Times New Roman" w:hAnsi="Times New Roman" w:cs="Times New Roman"/>
          <w:b/>
          <w:bCs/>
          <w:sz w:val="24"/>
        </w:rPr>
        <w:t xml:space="preserve">KARTU SU ĮRANGOS ĮSIGIJIMU PANAUDOS BŪDU </w:t>
      </w:r>
      <w:r w:rsidRPr="001C62A1">
        <w:rPr>
          <w:rFonts w:ascii="Times New Roman" w:hAnsi="Times New Roman" w:cs="Times New Roman"/>
          <w:b/>
          <w:bCs/>
          <w:sz w:val="24"/>
        </w:rPr>
        <w:t>TECHNINĖ SPECIFIKACIJA</w:t>
      </w:r>
    </w:p>
    <w:p w14:paraId="6E907854" w14:textId="3EB874F6" w:rsidR="000C192F" w:rsidRPr="003C035E" w:rsidRDefault="000C192F" w:rsidP="0059773D">
      <w:pPr>
        <w:ind w:right="-1165"/>
        <w:jc w:val="both"/>
        <w:rPr>
          <w:rFonts w:ascii="Times New Roman" w:hAnsi="Times New Roman" w:cs="Times New Roman"/>
          <w:b/>
          <w:bCs/>
          <w:sz w:val="24"/>
        </w:rPr>
      </w:pPr>
      <w:r w:rsidRPr="003C035E">
        <w:rPr>
          <w:rFonts w:ascii="Times New Roman" w:hAnsi="Times New Roman" w:cs="Times New Roman"/>
          <w:b/>
          <w:bCs/>
          <w:sz w:val="24"/>
        </w:rPr>
        <w:t xml:space="preserve">Dengiamieji stikleliai privalo būti suderinti darbui su pirkėjo nuosavybės teise įsigytu automatiniu </w:t>
      </w:r>
      <w:r w:rsidR="0059773D" w:rsidRPr="003C035E">
        <w:rPr>
          <w:rFonts w:ascii="Times New Roman" w:hAnsi="Times New Roman" w:cs="Times New Roman"/>
          <w:b/>
          <w:bCs/>
          <w:sz w:val="24"/>
        </w:rPr>
        <w:t xml:space="preserve">histologinių preparatų </w:t>
      </w:r>
      <w:r w:rsidRPr="003C035E">
        <w:rPr>
          <w:rFonts w:ascii="Times New Roman" w:hAnsi="Times New Roman" w:cs="Times New Roman"/>
          <w:b/>
          <w:bCs/>
          <w:sz w:val="24"/>
        </w:rPr>
        <w:t>dengimo procesoriumi „</w:t>
      </w:r>
      <w:proofErr w:type="spellStart"/>
      <w:r w:rsidRPr="003C035E">
        <w:rPr>
          <w:rFonts w:ascii="Times New Roman" w:hAnsi="Times New Roman" w:cs="Times New Roman"/>
          <w:b/>
          <w:bCs/>
          <w:sz w:val="24"/>
        </w:rPr>
        <w:t>ClearVue</w:t>
      </w:r>
      <w:proofErr w:type="spellEnd"/>
      <w:r w:rsidRPr="003C035E">
        <w:rPr>
          <w:rFonts w:ascii="Times New Roman" w:hAnsi="Times New Roman" w:cs="Times New Roman"/>
          <w:b/>
          <w:bCs/>
          <w:sz w:val="24"/>
        </w:rPr>
        <w:t>“</w:t>
      </w:r>
      <w:r w:rsidR="00015DB7" w:rsidRPr="003C035E">
        <w:rPr>
          <w:rFonts w:ascii="Times New Roman" w:hAnsi="Times New Roman" w:cs="Times New Roman"/>
          <w:b/>
          <w:bCs/>
          <w:sz w:val="24"/>
        </w:rPr>
        <w:t xml:space="preserve">, </w:t>
      </w:r>
      <w:r w:rsidR="00364AF6" w:rsidRPr="003C035E">
        <w:rPr>
          <w:rFonts w:ascii="Times New Roman" w:hAnsi="Times New Roman" w:cs="Times New Roman"/>
          <w:b/>
          <w:bCs/>
          <w:sz w:val="24"/>
        </w:rPr>
        <w:t xml:space="preserve">kuris yra sujungtas su pirkėjo nuosavybės teise įsigytu </w:t>
      </w:r>
      <w:r w:rsidR="00FD40C3" w:rsidRPr="003C035E">
        <w:rPr>
          <w:rFonts w:ascii="Times New Roman" w:hAnsi="Times New Roman" w:cs="Times New Roman"/>
          <w:b/>
          <w:bCs/>
          <w:sz w:val="24"/>
        </w:rPr>
        <w:t xml:space="preserve">automatiniu </w:t>
      </w:r>
      <w:r w:rsidR="0059773D" w:rsidRPr="003C035E">
        <w:rPr>
          <w:rFonts w:ascii="Times New Roman" w:hAnsi="Times New Roman" w:cs="Times New Roman"/>
          <w:b/>
          <w:bCs/>
          <w:sz w:val="24"/>
        </w:rPr>
        <w:t xml:space="preserve">histologinių preparatų </w:t>
      </w:r>
      <w:r w:rsidR="00364AF6" w:rsidRPr="003C035E">
        <w:rPr>
          <w:rFonts w:ascii="Times New Roman" w:hAnsi="Times New Roman" w:cs="Times New Roman"/>
          <w:b/>
          <w:bCs/>
          <w:sz w:val="24"/>
        </w:rPr>
        <w:t>dažymo procesoriumi „</w:t>
      </w:r>
      <w:proofErr w:type="spellStart"/>
      <w:r w:rsidR="00DC0176" w:rsidRPr="003C035E">
        <w:rPr>
          <w:rFonts w:ascii="Times New Roman" w:hAnsi="Times New Roman" w:cs="Times New Roman"/>
          <w:b/>
          <w:bCs/>
          <w:sz w:val="24"/>
        </w:rPr>
        <w:t>Gemini</w:t>
      </w:r>
      <w:proofErr w:type="spellEnd"/>
      <w:r w:rsidR="00DC0176" w:rsidRPr="003C035E">
        <w:rPr>
          <w:rFonts w:ascii="Times New Roman" w:hAnsi="Times New Roman" w:cs="Times New Roman"/>
          <w:b/>
          <w:bCs/>
          <w:sz w:val="24"/>
        </w:rPr>
        <w:t xml:space="preserve"> AS“</w:t>
      </w:r>
      <w:r w:rsidRPr="003C035E">
        <w:rPr>
          <w:rFonts w:ascii="Times New Roman" w:hAnsi="Times New Roman" w:cs="Times New Roman"/>
          <w:b/>
          <w:bCs/>
          <w:sz w:val="24"/>
        </w:rPr>
        <w:t xml:space="preserve"> arba </w:t>
      </w:r>
      <w:r w:rsidR="0059773D" w:rsidRPr="003C035E">
        <w:rPr>
          <w:rFonts w:ascii="Times New Roman" w:hAnsi="Times New Roman" w:cs="Times New Roman"/>
          <w:b/>
          <w:bCs/>
          <w:sz w:val="24"/>
        </w:rPr>
        <w:t>tiekėjas</w:t>
      </w:r>
      <w:r w:rsidRPr="003C035E">
        <w:rPr>
          <w:rFonts w:ascii="Times New Roman" w:hAnsi="Times New Roman" w:cs="Times New Roman"/>
          <w:b/>
          <w:bCs/>
          <w:sz w:val="24"/>
        </w:rPr>
        <w:t xml:space="preserve"> visam sutarties galiojimo laikotarpiui</w:t>
      </w:r>
      <w:r w:rsidR="00364AF6" w:rsidRPr="003C035E">
        <w:rPr>
          <w:rFonts w:ascii="Times New Roman" w:hAnsi="Times New Roman" w:cs="Times New Roman"/>
          <w:b/>
          <w:bCs/>
          <w:sz w:val="24"/>
        </w:rPr>
        <w:t xml:space="preserve"> panaudai</w:t>
      </w:r>
      <w:r w:rsidRPr="003C035E">
        <w:rPr>
          <w:rFonts w:ascii="Times New Roman" w:hAnsi="Times New Roman" w:cs="Times New Roman"/>
          <w:b/>
          <w:bCs/>
          <w:sz w:val="24"/>
        </w:rPr>
        <w:t xml:space="preserve"> pateikia automatinį histologinių </w:t>
      </w:r>
      <w:r w:rsidR="00013077" w:rsidRPr="003C035E">
        <w:rPr>
          <w:rFonts w:ascii="Times New Roman" w:hAnsi="Times New Roman" w:cs="Times New Roman"/>
          <w:b/>
          <w:bCs/>
          <w:sz w:val="24"/>
        </w:rPr>
        <w:t xml:space="preserve">preparatų </w:t>
      </w:r>
      <w:r w:rsidRPr="003C035E">
        <w:rPr>
          <w:rFonts w:ascii="Times New Roman" w:hAnsi="Times New Roman" w:cs="Times New Roman"/>
          <w:b/>
          <w:bCs/>
          <w:sz w:val="24"/>
        </w:rPr>
        <w:t>de</w:t>
      </w:r>
      <w:r w:rsidR="00364AF6" w:rsidRPr="003C035E">
        <w:rPr>
          <w:rFonts w:ascii="Times New Roman" w:hAnsi="Times New Roman" w:cs="Times New Roman"/>
          <w:b/>
          <w:bCs/>
          <w:sz w:val="24"/>
        </w:rPr>
        <w:t>n</w:t>
      </w:r>
      <w:r w:rsidRPr="003C035E">
        <w:rPr>
          <w:rFonts w:ascii="Times New Roman" w:hAnsi="Times New Roman" w:cs="Times New Roman"/>
          <w:b/>
          <w:bCs/>
          <w:sz w:val="24"/>
        </w:rPr>
        <w:t>gimo procesorių</w:t>
      </w:r>
      <w:r w:rsidR="0059773D" w:rsidRPr="003C035E">
        <w:rPr>
          <w:rFonts w:ascii="Times New Roman" w:hAnsi="Times New Roman" w:cs="Times New Roman"/>
          <w:b/>
          <w:bCs/>
          <w:sz w:val="24"/>
        </w:rPr>
        <w:t>,</w:t>
      </w:r>
      <w:r w:rsidRPr="003C035E">
        <w:rPr>
          <w:rFonts w:ascii="Times New Roman" w:hAnsi="Times New Roman" w:cs="Times New Roman"/>
          <w:b/>
          <w:bCs/>
          <w:sz w:val="24"/>
        </w:rPr>
        <w:t xml:space="preserve"> </w:t>
      </w:r>
      <w:r w:rsidR="00364AF6" w:rsidRPr="003C035E">
        <w:rPr>
          <w:rFonts w:ascii="Times New Roman" w:hAnsi="Times New Roman" w:cs="Times New Roman"/>
          <w:b/>
          <w:bCs/>
          <w:sz w:val="24"/>
        </w:rPr>
        <w:t xml:space="preserve">sujungtą su </w:t>
      </w:r>
      <w:r w:rsidRPr="003C035E">
        <w:rPr>
          <w:rFonts w:ascii="Times New Roman" w:hAnsi="Times New Roman" w:cs="Times New Roman"/>
          <w:b/>
          <w:bCs/>
          <w:sz w:val="24"/>
        </w:rPr>
        <w:t>automatin</w:t>
      </w:r>
      <w:r w:rsidR="00364AF6" w:rsidRPr="003C035E">
        <w:rPr>
          <w:rFonts w:ascii="Times New Roman" w:hAnsi="Times New Roman" w:cs="Times New Roman"/>
          <w:b/>
          <w:bCs/>
          <w:sz w:val="24"/>
        </w:rPr>
        <w:t>iu</w:t>
      </w:r>
      <w:r w:rsidRPr="003C035E">
        <w:rPr>
          <w:rFonts w:ascii="Times New Roman" w:hAnsi="Times New Roman" w:cs="Times New Roman"/>
          <w:b/>
          <w:bCs/>
          <w:sz w:val="24"/>
        </w:rPr>
        <w:t xml:space="preserve"> </w:t>
      </w:r>
      <w:r w:rsidR="0059773D" w:rsidRPr="003C035E">
        <w:rPr>
          <w:rFonts w:ascii="Times New Roman" w:hAnsi="Times New Roman" w:cs="Times New Roman"/>
          <w:b/>
          <w:bCs/>
          <w:sz w:val="24"/>
        </w:rPr>
        <w:t xml:space="preserve">histologinių preparatų </w:t>
      </w:r>
      <w:r w:rsidRPr="003C035E">
        <w:rPr>
          <w:rFonts w:ascii="Times New Roman" w:hAnsi="Times New Roman" w:cs="Times New Roman"/>
          <w:b/>
          <w:bCs/>
          <w:sz w:val="24"/>
        </w:rPr>
        <w:t>dažymo procesori</w:t>
      </w:r>
      <w:r w:rsidR="00364AF6" w:rsidRPr="003C035E">
        <w:rPr>
          <w:rFonts w:ascii="Times New Roman" w:hAnsi="Times New Roman" w:cs="Times New Roman"/>
          <w:b/>
          <w:bCs/>
          <w:sz w:val="24"/>
        </w:rPr>
        <w:t>umi</w:t>
      </w:r>
      <w:r w:rsidRPr="003C035E">
        <w:rPr>
          <w:rFonts w:ascii="Times New Roman" w:hAnsi="Times New Roman" w:cs="Times New Roman"/>
          <w:b/>
          <w:bCs/>
          <w:sz w:val="24"/>
        </w:rPr>
        <w:t xml:space="preserve">, atitinkančius 1 priede </w:t>
      </w:r>
      <w:r w:rsidR="0059773D" w:rsidRPr="003C035E">
        <w:rPr>
          <w:rFonts w:ascii="Times New Roman" w:hAnsi="Times New Roman" w:cs="Times New Roman"/>
          <w:b/>
          <w:bCs/>
          <w:sz w:val="24"/>
        </w:rPr>
        <w:t>pateik</w:t>
      </w:r>
      <w:r w:rsidRPr="003C035E">
        <w:rPr>
          <w:rFonts w:ascii="Times New Roman" w:hAnsi="Times New Roman" w:cs="Times New Roman"/>
          <w:b/>
          <w:bCs/>
          <w:sz w:val="24"/>
        </w:rPr>
        <w:t>tus reikalavimus.</w:t>
      </w:r>
    </w:p>
    <w:p w14:paraId="6E907855" w14:textId="174233FE" w:rsidR="00377C6D" w:rsidRPr="003C035E" w:rsidRDefault="00377C6D" w:rsidP="00F272FB">
      <w:pPr>
        <w:jc w:val="right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eGrid"/>
        <w:tblW w:w="16018" w:type="dxa"/>
        <w:tblInd w:w="-572" w:type="dxa"/>
        <w:tblLook w:val="04A0" w:firstRow="1" w:lastRow="0" w:firstColumn="1" w:lastColumn="0" w:noHBand="0" w:noVBand="1"/>
      </w:tblPr>
      <w:tblGrid>
        <w:gridCol w:w="851"/>
        <w:gridCol w:w="1417"/>
        <w:gridCol w:w="3402"/>
        <w:gridCol w:w="1134"/>
        <w:gridCol w:w="1701"/>
        <w:gridCol w:w="1276"/>
        <w:gridCol w:w="1134"/>
        <w:gridCol w:w="851"/>
        <w:gridCol w:w="1417"/>
        <w:gridCol w:w="1276"/>
        <w:gridCol w:w="1559"/>
      </w:tblGrid>
      <w:tr w:rsidR="00A9167B" w:rsidRPr="003C035E" w14:paraId="6E907860" w14:textId="77777777" w:rsidTr="00A9167B">
        <w:tc>
          <w:tcPr>
            <w:tcW w:w="851" w:type="dxa"/>
          </w:tcPr>
          <w:p w14:paraId="6E907856" w14:textId="4DAFFB3D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Eil.</w:t>
            </w:r>
            <w:r w:rsidRPr="003C035E">
              <w:rPr>
                <w:rFonts w:ascii="Times New Roman" w:hAnsi="Times New Roman" w:cs="Times New Roman"/>
                <w:sz w:val="24"/>
              </w:rPr>
              <w:t xml:space="preserve"> Nr.</w:t>
            </w:r>
          </w:p>
        </w:tc>
        <w:tc>
          <w:tcPr>
            <w:tcW w:w="1417" w:type="dxa"/>
          </w:tcPr>
          <w:p w14:paraId="6E907857" w14:textId="7777777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Prekė</w:t>
            </w:r>
          </w:p>
        </w:tc>
        <w:tc>
          <w:tcPr>
            <w:tcW w:w="3402" w:type="dxa"/>
          </w:tcPr>
          <w:p w14:paraId="6E907858" w14:textId="7777777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Reikalavimai</w:t>
            </w:r>
          </w:p>
        </w:tc>
        <w:tc>
          <w:tcPr>
            <w:tcW w:w="1134" w:type="dxa"/>
          </w:tcPr>
          <w:p w14:paraId="6E907859" w14:textId="7777777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Mato vienetai</w:t>
            </w:r>
          </w:p>
        </w:tc>
        <w:tc>
          <w:tcPr>
            <w:tcW w:w="1701" w:type="dxa"/>
          </w:tcPr>
          <w:p w14:paraId="6E90785A" w14:textId="7777777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Perkamas orientacinis kiekis mato vienetais</w:t>
            </w:r>
          </w:p>
        </w:tc>
        <w:tc>
          <w:tcPr>
            <w:tcW w:w="1276" w:type="dxa"/>
          </w:tcPr>
          <w:p w14:paraId="6E90785B" w14:textId="296A3DC0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Siūlomas kiekis mato vienetais</w:t>
            </w:r>
          </w:p>
        </w:tc>
        <w:tc>
          <w:tcPr>
            <w:tcW w:w="1134" w:type="dxa"/>
          </w:tcPr>
          <w:p w14:paraId="6E90785C" w14:textId="7777777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Vieneto kaina be PVM</w:t>
            </w:r>
          </w:p>
        </w:tc>
        <w:tc>
          <w:tcPr>
            <w:tcW w:w="851" w:type="dxa"/>
          </w:tcPr>
          <w:p w14:paraId="6E90785D" w14:textId="7777777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PVM tarifas</w:t>
            </w:r>
          </w:p>
        </w:tc>
        <w:tc>
          <w:tcPr>
            <w:tcW w:w="1417" w:type="dxa"/>
          </w:tcPr>
          <w:p w14:paraId="425301E9" w14:textId="6AB79C1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 xml:space="preserve">Pasiūlymo kaina </w:t>
            </w:r>
            <w:r w:rsidRPr="00F152F5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F152F5">
              <w:rPr>
                <w:rFonts w:ascii="Times New Roman" w:hAnsi="Times New Roman" w:cs="Times New Roman"/>
                <w:b/>
                <w:sz w:val="24"/>
              </w:rPr>
              <w:t xml:space="preserve"> PVM</w:t>
            </w:r>
          </w:p>
        </w:tc>
        <w:tc>
          <w:tcPr>
            <w:tcW w:w="1276" w:type="dxa"/>
          </w:tcPr>
          <w:p w14:paraId="6E90785E" w14:textId="182AF05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 xml:space="preserve">Pasiūlymo kaina </w:t>
            </w:r>
            <w:bookmarkStart w:id="0" w:name="_GoBack"/>
            <w:r w:rsidRPr="00F152F5">
              <w:rPr>
                <w:rFonts w:ascii="Times New Roman" w:hAnsi="Times New Roman" w:cs="Times New Roman"/>
                <w:b/>
                <w:sz w:val="24"/>
              </w:rPr>
              <w:t>su PVM</w:t>
            </w:r>
            <w:bookmarkEnd w:id="0"/>
          </w:p>
        </w:tc>
        <w:tc>
          <w:tcPr>
            <w:tcW w:w="1559" w:type="dxa"/>
          </w:tcPr>
          <w:p w14:paraId="6E90785F" w14:textId="77777777" w:rsidR="00A9167B" w:rsidRPr="003C035E" w:rsidRDefault="00A9167B" w:rsidP="00C02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Gamintojas, katalogo Nr.</w:t>
            </w:r>
          </w:p>
        </w:tc>
      </w:tr>
      <w:tr w:rsidR="00A9167B" w:rsidRPr="003C035E" w14:paraId="6E907873" w14:textId="77777777" w:rsidTr="00A9167B">
        <w:tc>
          <w:tcPr>
            <w:tcW w:w="851" w:type="dxa"/>
          </w:tcPr>
          <w:p w14:paraId="6E907861" w14:textId="77777777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17" w:type="dxa"/>
          </w:tcPr>
          <w:p w14:paraId="6E907862" w14:textId="77777777" w:rsidR="00A9167B" w:rsidRPr="003C035E" w:rsidRDefault="00A9167B" w:rsidP="00C02264">
            <w:pPr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Dengiamieji stikleliai</w:t>
            </w:r>
          </w:p>
        </w:tc>
        <w:tc>
          <w:tcPr>
            <w:tcW w:w="3402" w:type="dxa"/>
          </w:tcPr>
          <w:p w14:paraId="6E907863" w14:textId="42392F7F" w:rsidR="00A9167B" w:rsidRPr="003C035E" w:rsidRDefault="00A9167B" w:rsidP="0023396B">
            <w:pPr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1. Suderinti darbui su automatiniu dengimo procesoriumi „</w:t>
            </w:r>
            <w:proofErr w:type="spellStart"/>
            <w:r w:rsidRPr="003C035E">
              <w:rPr>
                <w:rFonts w:ascii="Times New Roman" w:hAnsi="Times New Roman" w:cs="Times New Roman"/>
                <w:sz w:val="24"/>
              </w:rPr>
              <w:t>ClearVue</w:t>
            </w:r>
            <w:proofErr w:type="spellEnd"/>
            <w:r w:rsidRPr="003C035E">
              <w:rPr>
                <w:rFonts w:ascii="Times New Roman" w:hAnsi="Times New Roman" w:cs="Times New Roman"/>
                <w:sz w:val="24"/>
              </w:rPr>
              <w:t>“ arba su panaudai siūlomu dengimo procesoriumi, atitinkančiu 1 priede pateiktus reikalavimus.</w:t>
            </w:r>
          </w:p>
          <w:p w14:paraId="6E907865" w14:textId="77777777" w:rsidR="00A9167B" w:rsidRPr="003C035E" w:rsidRDefault="00A9167B" w:rsidP="0023396B">
            <w:pPr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2. Matmenys 24x50 mm.</w:t>
            </w:r>
          </w:p>
          <w:p w14:paraId="6E907867" w14:textId="77777777" w:rsidR="00A9167B" w:rsidRPr="003C035E" w:rsidRDefault="00A9167B" w:rsidP="0023396B">
            <w:pPr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3. Storis 0,16 – 0,19 mm.</w:t>
            </w:r>
          </w:p>
          <w:p w14:paraId="6E907869" w14:textId="77777777" w:rsidR="00A9167B" w:rsidRPr="003C035E" w:rsidRDefault="00A9167B" w:rsidP="0023396B">
            <w:pPr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4. Ženklinimas CE IVD (</w:t>
            </w:r>
            <w:r w:rsidRPr="003C035E">
              <w:rPr>
                <w:rFonts w:ascii="Times New Roman" w:hAnsi="Times New Roman" w:cs="Times New Roman"/>
                <w:b/>
                <w:i/>
                <w:sz w:val="24"/>
              </w:rPr>
              <w:t xml:space="preserve">kartu su pasiūlymu konkursui būtina pateikti </w:t>
            </w:r>
            <w:r w:rsidRPr="003C035E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galiojančio</w:t>
            </w:r>
            <w:r w:rsidRPr="003C035E">
              <w:rPr>
                <w:rFonts w:ascii="Times New Roman" w:hAnsi="Times New Roman" w:cs="Times New Roman"/>
                <w:b/>
                <w:i/>
                <w:sz w:val="24"/>
              </w:rPr>
              <w:t xml:space="preserve"> dokumento, liudijančio prekės žymėjimą CE IVD ženklu, kopiją</w:t>
            </w:r>
            <w:r w:rsidRPr="003C035E">
              <w:rPr>
                <w:rFonts w:ascii="Times New Roman" w:hAnsi="Times New Roman" w:cs="Times New Roman"/>
                <w:sz w:val="24"/>
              </w:rPr>
              <w:t>).</w:t>
            </w:r>
          </w:p>
          <w:p w14:paraId="6E90786B" w14:textId="77777777" w:rsidR="00A9167B" w:rsidRPr="003C035E" w:rsidRDefault="00A9167B" w:rsidP="00C022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6E90786C" w14:textId="77777777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Vnt.</w:t>
            </w:r>
          </w:p>
        </w:tc>
        <w:tc>
          <w:tcPr>
            <w:tcW w:w="1701" w:type="dxa"/>
          </w:tcPr>
          <w:p w14:paraId="6E90786D" w14:textId="77777777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035E">
              <w:rPr>
                <w:rFonts w:ascii="Times New Roman" w:hAnsi="Times New Roman" w:cs="Times New Roman"/>
                <w:sz w:val="24"/>
              </w:rPr>
              <w:t>540 000</w:t>
            </w:r>
          </w:p>
        </w:tc>
        <w:tc>
          <w:tcPr>
            <w:tcW w:w="1276" w:type="dxa"/>
          </w:tcPr>
          <w:p w14:paraId="6E90786E" w14:textId="1BCDEBDC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6E90786F" w14:textId="77777777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6E907870" w14:textId="77777777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E1B30F8" w14:textId="77777777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E907871" w14:textId="057D2C5A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E907872" w14:textId="77777777" w:rsidR="00A9167B" w:rsidRPr="003C035E" w:rsidRDefault="00A9167B" w:rsidP="007822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E907874" w14:textId="77777777" w:rsidR="00C47E16" w:rsidRPr="003C035E" w:rsidRDefault="000C192F" w:rsidP="00C47E16">
      <w:r w:rsidRPr="003C035E">
        <w:br w:type="page"/>
      </w:r>
    </w:p>
    <w:p w14:paraId="6E907875" w14:textId="77777777" w:rsidR="00C47E16" w:rsidRPr="003C035E" w:rsidRDefault="00C47E16" w:rsidP="00C47E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5E">
        <w:rPr>
          <w:rFonts w:ascii="Times New Roman" w:hAnsi="Times New Roman" w:cs="Times New Roman"/>
          <w:b/>
          <w:sz w:val="24"/>
          <w:szCs w:val="24"/>
        </w:rPr>
        <w:lastRenderedPageBreak/>
        <w:t>1 priedas</w:t>
      </w:r>
    </w:p>
    <w:p w14:paraId="6E907876" w14:textId="77777777" w:rsidR="000C192F" w:rsidRPr="003C035E" w:rsidRDefault="00EB5840" w:rsidP="00C47E16">
      <w:pPr>
        <w:rPr>
          <w:rFonts w:ascii="Times New Roman" w:hAnsi="Times New Roman" w:cs="Times New Roman"/>
          <w:sz w:val="24"/>
          <w:szCs w:val="24"/>
        </w:rPr>
      </w:pPr>
      <w:r w:rsidRPr="003C035E">
        <w:rPr>
          <w:rFonts w:ascii="Times New Roman" w:hAnsi="Times New Roman" w:cs="Times New Roman"/>
          <w:b/>
          <w:bCs/>
          <w:sz w:val="24"/>
          <w:szCs w:val="24"/>
        </w:rPr>
        <w:t>HISTOLOGINIŲ PREPARATŲ DENGIMO PROCESORIUS – 1 VNT.</w:t>
      </w:r>
    </w:p>
    <w:tbl>
      <w:tblPr>
        <w:tblW w:w="145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664"/>
        <w:gridCol w:w="22"/>
        <w:gridCol w:w="6520"/>
        <w:gridCol w:w="2126"/>
        <w:gridCol w:w="1418"/>
      </w:tblGrid>
      <w:tr w:rsidR="003C035E" w:rsidRPr="003C035E" w14:paraId="6E90787D" w14:textId="77777777" w:rsidTr="007822EB">
        <w:trPr>
          <w:trHeight w:val="667"/>
        </w:trPr>
        <w:tc>
          <w:tcPr>
            <w:tcW w:w="812" w:type="dxa"/>
          </w:tcPr>
          <w:p w14:paraId="6E907877" w14:textId="77777777" w:rsidR="00EB5840" w:rsidRPr="003C035E" w:rsidRDefault="00EB5840" w:rsidP="007822E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C035E">
              <w:rPr>
                <w:b/>
                <w:bCs/>
                <w:color w:val="auto"/>
                <w:sz w:val="23"/>
                <w:szCs w:val="23"/>
              </w:rPr>
              <w:t>Eil. Nr.</w:t>
            </w:r>
          </w:p>
        </w:tc>
        <w:tc>
          <w:tcPr>
            <w:tcW w:w="3686" w:type="dxa"/>
            <w:gridSpan w:val="2"/>
          </w:tcPr>
          <w:p w14:paraId="6E907878" w14:textId="77777777" w:rsidR="00EB5840" w:rsidRPr="003C035E" w:rsidRDefault="00EB5840" w:rsidP="007822EB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Parametras</w:t>
            </w:r>
          </w:p>
        </w:tc>
        <w:tc>
          <w:tcPr>
            <w:tcW w:w="6520" w:type="dxa"/>
          </w:tcPr>
          <w:p w14:paraId="6E907879" w14:textId="77777777" w:rsidR="00EB5840" w:rsidRPr="003C035E" w:rsidRDefault="00EB5840" w:rsidP="007822EB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Reikalaujama parametro reikšmė</w:t>
            </w:r>
          </w:p>
        </w:tc>
        <w:tc>
          <w:tcPr>
            <w:tcW w:w="2126" w:type="dxa"/>
          </w:tcPr>
          <w:p w14:paraId="6E90787A" w14:textId="77777777" w:rsidR="00EB5840" w:rsidRPr="003C035E" w:rsidRDefault="00EB5840" w:rsidP="00EB5840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Siūloma parametro reikšmė</w:t>
            </w:r>
          </w:p>
        </w:tc>
        <w:tc>
          <w:tcPr>
            <w:tcW w:w="1418" w:type="dxa"/>
          </w:tcPr>
          <w:p w14:paraId="6E90787B" w14:textId="77777777" w:rsidR="00EB5840" w:rsidRPr="003C035E" w:rsidRDefault="00FF4067" w:rsidP="00EB5840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Modelis,</w:t>
            </w:r>
          </w:p>
          <w:p w14:paraId="6E90787C" w14:textId="77777777" w:rsidR="00EB5840" w:rsidRPr="003C035E" w:rsidRDefault="00FF4067" w:rsidP="00EB5840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gamintojas</w:t>
            </w:r>
          </w:p>
        </w:tc>
      </w:tr>
      <w:tr w:rsidR="003C035E" w:rsidRPr="003C035E" w14:paraId="6E907887" w14:textId="77777777" w:rsidTr="007822EB">
        <w:trPr>
          <w:trHeight w:val="523"/>
        </w:trPr>
        <w:tc>
          <w:tcPr>
            <w:tcW w:w="812" w:type="dxa"/>
          </w:tcPr>
          <w:p w14:paraId="6E90787E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1. </w:t>
            </w:r>
          </w:p>
          <w:p w14:paraId="6E90787F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80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Paskirtis </w:t>
            </w:r>
          </w:p>
        </w:tc>
        <w:tc>
          <w:tcPr>
            <w:tcW w:w="6520" w:type="dxa"/>
          </w:tcPr>
          <w:p w14:paraId="6E907881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Automatinis objektinių stiklelių dengimo įrenginys, skirtas histologinių preparatų dengimui dengiamaisiais stikleliais </w:t>
            </w:r>
          </w:p>
        </w:tc>
        <w:tc>
          <w:tcPr>
            <w:tcW w:w="2126" w:type="dxa"/>
          </w:tcPr>
          <w:p w14:paraId="6E907882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</w:tcPr>
          <w:p w14:paraId="6E907883" w14:textId="77777777" w:rsidR="007822EB" w:rsidRPr="003C035E" w:rsidRDefault="007822E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907884" w14:textId="77777777" w:rsidR="007822EB" w:rsidRPr="003C035E" w:rsidRDefault="007822E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907885" w14:textId="77777777" w:rsidR="007822EB" w:rsidRPr="003C035E" w:rsidRDefault="007822E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907886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8E" w14:textId="77777777" w:rsidTr="007822EB">
        <w:trPr>
          <w:trHeight w:val="385"/>
        </w:trPr>
        <w:tc>
          <w:tcPr>
            <w:tcW w:w="812" w:type="dxa"/>
          </w:tcPr>
          <w:p w14:paraId="6E907888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2. </w:t>
            </w:r>
          </w:p>
          <w:p w14:paraId="6E907889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8A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Naudojamų objektinių stiklelių dydis </w:t>
            </w:r>
          </w:p>
        </w:tc>
        <w:tc>
          <w:tcPr>
            <w:tcW w:w="6520" w:type="dxa"/>
          </w:tcPr>
          <w:p w14:paraId="6E90788B" w14:textId="456BD9C8" w:rsidR="007822EB" w:rsidRPr="003C035E" w:rsidRDefault="007822EB" w:rsidP="003C035E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Įrenginys tinkamas dengti standartinius (26x76 mm) objektinius stiklelius </w:t>
            </w:r>
          </w:p>
        </w:tc>
        <w:tc>
          <w:tcPr>
            <w:tcW w:w="2126" w:type="dxa"/>
          </w:tcPr>
          <w:p w14:paraId="6E90788C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8D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95" w14:textId="77777777" w:rsidTr="007822EB">
        <w:trPr>
          <w:trHeight w:val="245"/>
        </w:trPr>
        <w:tc>
          <w:tcPr>
            <w:tcW w:w="812" w:type="dxa"/>
          </w:tcPr>
          <w:p w14:paraId="6E90788F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3.</w:t>
            </w:r>
          </w:p>
          <w:p w14:paraId="6E907890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91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Naudojamų objektinių stiklelių storis </w:t>
            </w:r>
          </w:p>
        </w:tc>
        <w:tc>
          <w:tcPr>
            <w:tcW w:w="6520" w:type="dxa"/>
          </w:tcPr>
          <w:p w14:paraId="6E907892" w14:textId="64381321" w:rsidR="007822EB" w:rsidRPr="003C035E" w:rsidRDefault="00FD40C3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Įrenginys tinkamas dengti nuo ≤ 0,8 mm iki ≥ 1,2 mm storio objektinius stiklelius </w:t>
            </w:r>
          </w:p>
        </w:tc>
        <w:tc>
          <w:tcPr>
            <w:tcW w:w="2126" w:type="dxa"/>
          </w:tcPr>
          <w:p w14:paraId="6E907893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94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9C" w14:textId="77777777" w:rsidTr="007822EB">
        <w:trPr>
          <w:trHeight w:val="323"/>
        </w:trPr>
        <w:tc>
          <w:tcPr>
            <w:tcW w:w="812" w:type="dxa"/>
          </w:tcPr>
          <w:p w14:paraId="6E907896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4. </w:t>
            </w:r>
          </w:p>
        </w:tc>
        <w:tc>
          <w:tcPr>
            <w:tcW w:w="3686" w:type="dxa"/>
            <w:gridSpan w:val="2"/>
          </w:tcPr>
          <w:p w14:paraId="6E907897" w14:textId="13A94863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Naudojamų dengiamųjų stiklelių dyd</w:t>
            </w:r>
            <w:r w:rsidR="00CB418E" w:rsidRPr="003C035E">
              <w:rPr>
                <w:color w:val="auto"/>
                <w:sz w:val="23"/>
                <w:szCs w:val="23"/>
              </w:rPr>
              <w:t>is</w:t>
            </w:r>
          </w:p>
        </w:tc>
        <w:tc>
          <w:tcPr>
            <w:tcW w:w="6520" w:type="dxa"/>
          </w:tcPr>
          <w:p w14:paraId="6E907898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24 x 50 mm</w:t>
            </w:r>
          </w:p>
        </w:tc>
        <w:tc>
          <w:tcPr>
            <w:tcW w:w="2126" w:type="dxa"/>
          </w:tcPr>
          <w:p w14:paraId="6E907899" w14:textId="77777777" w:rsidR="007822EB" w:rsidRPr="003C035E" w:rsidRDefault="007822EB" w:rsidP="009146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90789A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9B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A3" w14:textId="77777777" w:rsidTr="007822EB">
        <w:trPr>
          <w:trHeight w:val="247"/>
        </w:trPr>
        <w:tc>
          <w:tcPr>
            <w:tcW w:w="812" w:type="dxa"/>
          </w:tcPr>
          <w:p w14:paraId="6E90789D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5. </w:t>
            </w:r>
          </w:p>
          <w:p w14:paraId="6E90789E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9F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Našumas </w:t>
            </w:r>
          </w:p>
        </w:tc>
        <w:tc>
          <w:tcPr>
            <w:tcW w:w="6520" w:type="dxa"/>
          </w:tcPr>
          <w:p w14:paraId="6E9078A0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mažiau nei 200 stiklelių per valandą </w:t>
            </w:r>
          </w:p>
        </w:tc>
        <w:tc>
          <w:tcPr>
            <w:tcW w:w="2126" w:type="dxa"/>
          </w:tcPr>
          <w:p w14:paraId="6E9078A1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A2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AA" w14:textId="77777777" w:rsidTr="007822EB">
        <w:trPr>
          <w:trHeight w:val="523"/>
        </w:trPr>
        <w:tc>
          <w:tcPr>
            <w:tcW w:w="812" w:type="dxa"/>
          </w:tcPr>
          <w:p w14:paraId="6E9078A4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6. </w:t>
            </w:r>
          </w:p>
          <w:p w14:paraId="6E9078A5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A6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Suderinamumas </w:t>
            </w:r>
          </w:p>
        </w:tc>
        <w:tc>
          <w:tcPr>
            <w:tcW w:w="6520" w:type="dxa"/>
          </w:tcPr>
          <w:p w14:paraId="6E9078A7" w14:textId="05487E5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Įrenginys turi būti suderintas su </w:t>
            </w:r>
            <w:r w:rsidR="00CB418E" w:rsidRPr="003C035E">
              <w:rPr>
                <w:color w:val="auto"/>
                <w:sz w:val="23"/>
                <w:szCs w:val="23"/>
              </w:rPr>
              <w:t xml:space="preserve">panaudai pateikiamame </w:t>
            </w:r>
            <w:r w:rsidRPr="003C035E">
              <w:rPr>
                <w:color w:val="auto"/>
                <w:sz w:val="23"/>
                <w:szCs w:val="23"/>
              </w:rPr>
              <w:t xml:space="preserve"> histologinių preparatų dažymo procesoriuje naudojamais objektinių stiklelių laikikliais </w:t>
            </w:r>
          </w:p>
        </w:tc>
        <w:tc>
          <w:tcPr>
            <w:tcW w:w="2126" w:type="dxa"/>
          </w:tcPr>
          <w:p w14:paraId="6E9078A8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A9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B1" w14:textId="77777777" w:rsidTr="007822EB">
        <w:trPr>
          <w:trHeight w:val="385"/>
        </w:trPr>
        <w:tc>
          <w:tcPr>
            <w:tcW w:w="812" w:type="dxa"/>
          </w:tcPr>
          <w:p w14:paraId="6E9078AB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7. </w:t>
            </w:r>
          </w:p>
          <w:p w14:paraId="6E9078AC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AD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Dengimui naudojamos dengiamosios medžiagos </w:t>
            </w:r>
          </w:p>
        </w:tc>
        <w:tc>
          <w:tcPr>
            <w:tcW w:w="6520" w:type="dxa"/>
          </w:tcPr>
          <w:p w14:paraId="6E9078AE" w14:textId="2DA915E3" w:rsidR="007822EB" w:rsidRPr="003C035E" w:rsidRDefault="00CB418E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Yra</w:t>
            </w:r>
            <w:r w:rsidR="007822EB" w:rsidRPr="003C035E">
              <w:rPr>
                <w:color w:val="auto"/>
                <w:sz w:val="23"/>
                <w:szCs w:val="23"/>
              </w:rPr>
              <w:t xml:space="preserve"> galimybė naudoti įvairių gamintojų dengiamąsias medžiagas </w:t>
            </w:r>
          </w:p>
        </w:tc>
        <w:tc>
          <w:tcPr>
            <w:tcW w:w="2126" w:type="dxa"/>
          </w:tcPr>
          <w:p w14:paraId="6E9078AF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B0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B8" w14:textId="77777777" w:rsidTr="007822EB">
        <w:trPr>
          <w:trHeight w:val="385"/>
        </w:trPr>
        <w:tc>
          <w:tcPr>
            <w:tcW w:w="812" w:type="dxa"/>
          </w:tcPr>
          <w:p w14:paraId="6E9078B2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8. </w:t>
            </w:r>
          </w:p>
          <w:p w14:paraId="6E9078B3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B4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Automatinis dengiamųjų stiklelių pozicionavimas </w:t>
            </w:r>
          </w:p>
        </w:tc>
        <w:tc>
          <w:tcPr>
            <w:tcW w:w="6520" w:type="dxa"/>
          </w:tcPr>
          <w:p w14:paraId="6E9078B5" w14:textId="29BE14D1" w:rsidR="004008F0" w:rsidRPr="003C035E" w:rsidRDefault="004008F0" w:rsidP="007822EB">
            <w:pPr>
              <w:pStyle w:val="Default"/>
              <w:rPr>
                <w:color w:val="auto"/>
                <w:sz w:val="23"/>
                <w:szCs w:val="23"/>
                <w:highlight w:val="yellow"/>
              </w:rPr>
            </w:pPr>
            <w:r w:rsidRPr="003C035E">
              <w:rPr>
                <w:color w:val="auto"/>
                <w:sz w:val="23"/>
                <w:szCs w:val="23"/>
              </w:rPr>
              <w:t>Įrenginys turi dengiamųjų stiklelių automatinio pozicionavimo funkciją</w:t>
            </w:r>
          </w:p>
        </w:tc>
        <w:tc>
          <w:tcPr>
            <w:tcW w:w="2126" w:type="dxa"/>
          </w:tcPr>
          <w:p w14:paraId="6E9078B6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B7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BF" w14:textId="77777777" w:rsidTr="007822EB">
        <w:trPr>
          <w:trHeight w:val="385"/>
        </w:trPr>
        <w:tc>
          <w:tcPr>
            <w:tcW w:w="812" w:type="dxa"/>
          </w:tcPr>
          <w:p w14:paraId="6E9078B9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9. </w:t>
            </w:r>
          </w:p>
          <w:p w14:paraId="6E9078BA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BB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Automatinis objektinio stiklelio pozicijos nustatymas </w:t>
            </w:r>
          </w:p>
        </w:tc>
        <w:tc>
          <w:tcPr>
            <w:tcW w:w="6520" w:type="dxa"/>
          </w:tcPr>
          <w:p w14:paraId="6E9078BC" w14:textId="78216378" w:rsidR="004008F0" w:rsidRPr="003C035E" w:rsidRDefault="004008F0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Įrenginys turi objektinio stiklelio pozicijos automatinio nustatymo funkciją</w:t>
            </w:r>
          </w:p>
        </w:tc>
        <w:tc>
          <w:tcPr>
            <w:tcW w:w="2126" w:type="dxa"/>
          </w:tcPr>
          <w:p w14:paraId="6E9078BD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BE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C5" w14:textId="77777777" w:rsidTr="007822EB">
        <w:trPr>
          <w:trHeight w:val="577"/>
        </w:trPr>
        <w:tc>
          <w:tcPr>
            <w:tcW w:w="812" w:type="dxa"/>
          </w:tcPr>
          <w:p w14:paraId="6E9078C0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10.</w:t>
            </w:r>
          </w:p>
        </w:tc>
        <w:tc>
          <w:tcPr>
            <w:tcW w:w="3686" w:type="dxa"/>
            <w:gridSpan w:val="2"/>
          </w:tcPr>
          <w:p w14:paraId="6E9078C1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Valdymas </w:t>
            </w:r>
          </w:p>
        </w:tc>
        <w:tc>
          <w:tcPr>
            <w:tcW w:w="6520" w:type="dxa"/>
          </w:tcPr>
          <w:p w14:paraId="6E9078C2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Integruoto į stiklelių dengimo įrenginį liečiamojo ekrano pagalba </w:t>
            </w:r>
          </w:p>
        </w:tc>
        <w:tc>
          <w:tcPr>
            <w:tcW w:w="2126" w:type="dxa"/>
          </w:tcPr>
          <w:p w14:paraId="6E9078C3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C4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CC" w14:textId="77777777" w:rsidTr="007822EB">
        <w:trPr>
          <w:trHeight w:val="385"/>
        </w:trPr>
        <w:tc>
          <w:tcPr>
            <w:tcW w:w="812" w:type="dxa"/>
          </w:tcPr>
          <w:p w14:paraId="6E9078C6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11. </w:t>
            </w:r>
          </w:p>
          <w:p w14:paraId="6E9078C7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6E9078C8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Automatinis stiklelių brūkšninių kodų nuskaitymas </w:t>
            </w:r>
          </w:p>
        </w:tc>
        <w:tc>
          <w:tcPr>
            <w:tcW w:w="6520" w:type="dxa"/>
          </w:tcPr>
          <w:p w14:paraId="6E9078C9" w14:textId="0DFC56F4" w:rsidR="007822EB" w:rsidRPr="003C035E" w:rsidRDefault="00CB418E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Įrenginys turi automatinio stiklelių brūkšninių kodų nuskaitymo funkciją </w:t>
            </w:r>
            <w:r w:rsidR="007822EB" w:rsidRPr="003C035E">
              <w:rPr>
                <w:color w:val="auto"/>
                <w:sz w:val="23"/>
                <w:szCs w:val="23"/>
              </w:rPr>
              <w:t xml:space="preserve">(įrenginyje integruotas automatinis </w:t>
            </w:r>
            <w:proofErr w:type="spellStart"/>
            <w:r w:rsidR="007822EB" w:rsidRPr="003C035E">
              <w:rPr>
                <w:color w:val="auto"/>
                <w:sz w:val="23"/>
                <w:szCs w:val="23"/>
              </w:rPr>
              <w:t>barkodų</w:t>
            </w:r>
            <w:proofErr w:type="spellEnd"/>
            <w:r w:rsidR="007822EB" w:rsidRPr="003C035E">
              <w:rPr>
                <w:color w:val="auto"/>
                <w:sz w:val="23"/>
                <w:szCs w:val="23"/>
              </w:rPr>
              <w:t xml:space="preserve"> skaitytuvas) </w:t>
            </w:r>
          </w:p>
        </w:tc>
        <w:tc>
          <w:tcPr>
            <w:tcW w:w="2126" w:type="dxa"/>
          </w:tcPr>
          <w:p w14:paraId="6E9078CA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CB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D3" w14:textId="77777777" w:rsidTr="007822EB">
        <w:trPr>
          <w:trHeight w:val="523"/>
        </w:trPr>
        <w:tc>
          <w:tcPr>
            <w:tcW w:w="812" w:type="dxa"/>
          </w:tcPr>
          <w:p w14:paraId="6E9078CD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12. </w:t>
            </w:r>
          </w:p>
          <w:p w14:paraId="6E9078CE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64" w:type="dxa"/>
          </w:tcPr>
          <w:p w14:paraId="6E9078CF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Galimybė įrenginį pajungti prie patologijos tyrimų informacinės sistemos </w:t>
            </w:r>
          </w:p>
        </w:tc>
        <w:tc>
          <w:tcPr>
            <w:tcW w:w="6542" w:type="dxa"/>
            <w:gridSpan w:val="2"/>
          </w:tcPr>
          <w:p w14:paraId="6E9078D0" w14:textId="1A907A57" w:rsidR="004008F0" w:rsidRPr="003C035E" w:rsidRDefault="004008F0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Atsiradus poreikiui, įrenginį galima prijungti prie patologijos tyrimų informacinės sistemos (</w:t>
            </w:r>
            <w:r w:rsidRPr="003C035E">
              <w:rPr>
                <w:i/>
                <w:color w:val="auto"/>
                <w:sz w:val="23"/>
                <w:szCs w:val="23"/>
              </w:rPr>
              <w:t xml:space="preserve">būtinas </w:t>
            </w:r>
            <w:r w:rsidR="00EC6894" w:rsidRPr="003C035E">
              <w:rPr>
                <w:i/>
                <w:color w:val="auto"/>
                <w:sz w:val="23"/>
                <w:szCs w:val="23"/>
              </w:rPr>
              <w:t>atitinkamas tiekėjo ir/arba gamintojo patvirtinimas</w:t>
            </w:r>
            <w:r w:rsidRPr="003C035E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2126" w:type="dxa"/>
          </w:tcPr>
          <w:p w14:paraId="6E9078D1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D2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DB" w14:textId="77777777" w:rsidTr="00CB418E">
        <w:trPr>
          <w:trHeight w:val="561"/>
        </w:trPr>
        <w:tc>
          <w:tcPr>
            <w:tcW w:w="812" w:type="dxa"/>
          </w:tcPr>
          <w:p w14:paraId="6E9078D4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lastRenderedPageBreak/>
              <w:t xml:space="preserve">13. </w:t>
            </w:r>
          </w:p>
          <w:p w14:paraId="6E9078D5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64" w:type="dxa"/>
          </w:tcPr>
          <w:p w14:paraId="6E9078D6" w14:textId="558EB462" w:rsidR="007822EB" w:rsidRPr="003C035E" w:rsidRDefault="007822EB" w:rsidP="003C035E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Jungtis su </w:t>
            </w:r>
            <w:r w:rsidR="00CB418E" w:rsidRPr="003C035E">
              <w:rPr>
                <w:color w:val="auto"/>
                <w:sz w:val="23"/>
                <w:szCs w:val="23"/>
              </w:rPr>
              <w:t xml:space="preserve">histologinių preparatų </w:t>
            </w:r>
            <w:r w:rsidRPr="003C035E">
              <w:rPr>
                <w:color w:val="auto"/>
                <w:sz w:val="23"/>
                <w:szCs w:val="23"/>
              </w:rPr>
              <w:t xml:space="preserve">dažymo įrenginiu </w:t>
            </w:r>
          </w:p>
        </w:tc>
        <w:tc>
          <w:tcPr>
            <w:tcW w:w="6542" w:type="dxa"/>
            <w:gridSpan w:val="2"/>
          </w:tcPr>
          <w:p w14:paraId="6E9078D7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1. Automatinis stiklelių dengimo įrenginys turi būti sujungtas su audinių dažymo įrenginiu</w:t>
            </w:r>
          </w:p>
          <w:p w14:paraId="6E9078D8" w14:textId="5E8EF7C8" w:rsidR="007822EB" w:rsidRPr="003C035E" w:rsidRDefault="007822EB" w:rsidP="003C035E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2. Nudažytų preparatų perdavimo stiklelių dengimui procesas pilnai uždaras ir automatizuotas</w:t>
            </w:r>
          </w:p>
        </w:tc>
        <w:tc>
          <w:tcPr>
            <w:tcW w:w="2126" w:type="dxa"/>
          </w:tcPr>
          <w:p w14:paraId="6E9078D9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DA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E2" w14:textId="77777777" w:rsidTr="007822EB">
        <w:trPr>
          <w:trHeight w:val="562"/>
        </w:trPr>
        <w:tc>
          <w:tcPr>
            <w:tcW w:w="812" w:type="dxa"/>
          </w:tcPr>
          <w:p w14:paraId="6E9078DC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14. </w:t>
            </w:r>
          </w:p>
          <w:p w14:paraId="6E9078DD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64" w:type="dxa"/>
          </w:tcPr>
          <w:p w14:paraId="6E9078DE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Dažymo krepšelių pozicijos jungtyje nustatymas </w:t>
            </w:r>
          </w:p>
        </w:tc>
        <w:tc>
          <w:tcPr>
            <w:tcW w:w="6542" w:type="dxa"/>
            <w:gridSpan w:val="2"/>
          </w:tcPr>
          <w:p w14:paraId="6E9078DF" w14:textId="7A5B49D0" w:rsidR="007822EB" w:rsidRPr="003C035E" w:rsidRDefault="00CB418E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Įrenginyje </w:t>
            </w:r>
            <w:r w:rsidR="007822EB" w:rsidRPr="003C035E">
              <w:rPr>
                <w:color w:val="auto"/>
                <w:sz w:val="23"/>
                <w:szCs w:val="23"/>
              </w:rPr>
              <w:t xml:space="preserve">integruoti jutikliai teisingos dažymo krepšelių padėties jungtyje nustatymui </w:t>
            </w:r>
          </w:p>
        </w:tc>
        <w:tc>
          <w:tcPr>
            <w:tcW w:w="2126" w:type="dxa"/>
          </w:tcPr>
          <w:p w14:paraId="6E9078E0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E1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EB" w14:textId="77777777" w:rsidTr="007822EB">
        <w:trPr>
          <w:trHeight w:val="697"/>
        </w:trPr>
        <w:tc>
          <w:tcPr>
            <w:tcW w:w="812" w:type="dxa"/>
          </w:tcPr>
          <w:p w14:paraId="6E9078E3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15. </w:t>
            </w:r>
          </w:p>
          <w:p w14:paraId="6E9078E4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64" w:type="dxa"/>
          </w:tcPr>
          <w:p w14:paraId="6E9078E5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Garų surinkimo sistema </w:t>
            </w:r>
          </w:p>
        </w:tc>
        <w:tc>
          <w:tcPr>
            <w:tcW w:w="6542" w:type="dxa"/>
            <w:gridSpan w:val="2"/>
          </w:tcPr>
          <w:p w14:paraId="6E9078E6" w14:textId="2DC49BF5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1. Įrenginyje integruoti ventiliatoriai su anglies filtrais </w:t>
            </w:r>
          </w:p>
          <w:p w14:paraId="6E9078E7" w14:textId="5E97A329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2. </w:t>
            </w:r>
            <w:r w:rsidR="00CB418E" w:rsidRPr="003C035E">
              <w:rPr>
                <w:color w:val="auto"/>
                <w:sz w:val="23"/>
                <w:szCs w:val="23"/>
              </w:rPr>
              <w:t>Yra</w:t>
            </w:r>
            <w:r w:rsidRPr="003C035E">
              <w:rPr>
                <w:color w:val="auto"/>
                <w:sz w:val="23"/>
                <w:szCs w:val="23"/>
              </w:rPr>
              <w:t xml:space="preserve"> galimybė garų surinkimo sistemą prijungti prie laboratorijos ventiliavimo sistemos </w:t>
            </w:r>
          </w:p>
        </w:tc>
        <w:tc>
          <w:tcPr>
            <w:tcW w:w="2126" w:type="dxa"/>
          </w:tcPr>
          <w:p w14:paraId="6E9078E8" w14:textId="77777777" w:rsidR="007822EB" w:rsidRPr="003C035E" w:rsidRDefault="007822EB" w:rsidP="009146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9078E9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EA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F2" w14:textId="77777777" w:rsidTr="007822EB">
        <w:trPr>
          <w:trHeight w:val="1660"/>
        </w:trPr>
        <w:tc>
          <w:tcPr>
            <w:tcW w:w="812" w:type="dxa"/>
          </w:tcPr>
          <w:p w14:paraId="6E9078EC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16. </w:t>
            </w:r>
          </w:p>
          <w:p w14:paraId="6E9078ED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64" w:type="dxa"/>
          </w:tcPr>
          <w:p w14:paraId="6E9078EE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Įrangos pristatymas, iškrovimas, pervežimas į instaliavimo vietą, instaliavimas, po instaliavimo likusių įpakavimo medžiagų išvežimas (utilizavimas) ir vartotojų apmokymas </w:t>
            </w:r>
          </w:p>
        </w:tc>
        <w:tc>
          <w:tcPr>
            <w:tcW w:w="6542" w:type="dxa"/>
            <w:gridSpan w:val="2"/>
          </w:tcPr>
          <w:p w14:paraId="6E9078EF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Įrangos pristatymo, iškrovimo, pervežimo į instaliavimo vietą, instaliavimo, po instaliavimo likusių įpakavimo medžiagų išvežimo (utilizavimo) ir vartotojų apmokymo išlaidos įskaičiuotos į pasiūlymo kainą </w:t>
            </w:r>
          </w:p>
        </w:tc>
        <w:tc>
          <w:tcPr>
            <w:tcW w:w="2126" w:type="dxa"/>
          </w:tcPr>
          <w:p w14:paraId="6E9078F0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F1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8F8" w14:textId="77777777" w:rsidTr="007822EB">
        <w:trPr>
          <w:trHeight w:val="1058"/>
        </w:trPr>
        <w:tc>
          <w:tcPr>
            <w:tcW w:w="812" w:type="dxa"/>
          </w:tcPr>
          <w:p w14:paraId="6E9078F3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17.</w:t>
            </w:r>
          </w:p>
        </w:tc>
        <w:tc>
          <w:tcPr>
            <w:tcW w:w="3664" w:type="dxa"/>
          </w:tcPr>
          <w:p w14:paraId="6E9078F4" w14:textId="6A9FD9D9" w:rsidR="007822EB" w:rsidRPr="003C035E" w:rsidRDefault="0063206C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Į</w:t>
            </w:r>
            <w:r w:rsidR="007822EB" w:rsidRPr="003C035E">
              <w:rPr>
                <w:color w:val="auto"/>
                <w:sz w:val="23"/>
                <w:szCs w:val="23"/>
              </w:rPr>
              <w:t xml:space="preserve">rangos CE ženklinimas </w:t>
            </w:r>
          </w:p>
        </w:tc>
        <w:tc>
          <w:tcPr>
            <w:tcW w:w="6542" w:type="dxa"/>
            <w:gridSpan w:val="2"/>
          </w:tcPr>
          <w:p w14:paraId="6E9078F5" w14:textId="11753D7D" w:rsidR="007822EB" w:rsidRPr="003C035E" w:rsidRDefault="007822EB" w:rsidP="003C035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Panaudai </w:t>
            </w:r>
            <w:r w:rsidR="0063206C" w:rsidRPr="003C035E">
              <w:rPr>
                <w:rFonts w:ascii="Times New Roman" w:hAnsi="Times New Roman" w:cs="Times New Roman"/>
                <w:sz w:val="23"/>
                <w:szCs w:val="23"/>
              </w:rPr>
              <w:t>siūloma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 įranga turi CE ženklinimą pagal Europos Parlamento ir Tarybos reglamento (ES) 2017/746 dėl </w:t>
            </w:r>
            <w:proofErr w:type="spellStart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proofErr w:type="spellEnd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vitro</w:t>
            </w:r>
            <w:proofErr w:type="spellEnd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 diagnostikos medicinos priemonių  reikalavimus </w:t>
            </w:r>
            <w:r w:rsidR="00013077"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arba pagal </w:t>
            </w:r>
            <w:proofErr w:type="spellStart"/>
            <w:r w:rsidR="00013077" w:rsidRPr="003C035E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proofErr w:type="spellEnd"/>
            <w:r w:rsidR="00013077"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013077" w:rsidRPr="003C035E">
              <w:rPr>
                <w:rFonts w:ascii="Times New Roman" w:hAnsi="Times New Roman" w:cs="Times New Roman"/>
                <w:sz w:val="23"/>
                <w:szCs w:val="23"/>
              </w:rPr>
              <w:t>vitro</w:t>
            </w:r>
            <w:proofErr w:type="spellEnd"/>
            <w:r w:rsidR="00013077"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 diagnostikos medicinos prietaisų direktyvos 98/79/EC reikalavimus 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3C035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kartu su pasiūlymu konkursui būtina pateikti </w:t>
            </w:r>
            <w:r w:rsidRPr="003C035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u w:val="single"/>
              </w:rPr>
              <w:t>galiojančių</w:t>
            </w:r>
            <w:r w:rsidRPr="003C035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dokumentų, liudijančių žymėjimą CE ženklu, kopijas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2126" w:type="dxa"/>
          </w:tcPr>
          <w:p w14:paraId="6E9078F6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8F7" w14:textId="77777777" w:rsidR="007822EB" w:rsidRPr="003C035E" w:rsidRDefault="007822EB" w:rsidP="00A10A0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01" w14:textId="77777777" w:rsidTr="007822EB">
        <w:trPr>
          <w:trHeight w:val="1461"/>
        </w:trPr>
        <w:tc>
          <w:tcPr>
            <w:tcW w:w="812" w:type="dxa"/>
          </w:tcPr>
          <w:p w14:paraId="6E9078F9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18.</w:t>
            </w:r>
          </w:p>
        </w:tc>
        <w:tc>
          <w:tcPr>
            <w:tcW w:w="3664" w:type="dxa"/>
          </w:tcPr>
          <w:p w14:paraId="6E9078FA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Kartu su įranga pateikiama dokumentacija </w:t>
            </w:r>
          </w:p>
          <w:p w14:paraId="6E9078FB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542" w:type="dxa"/>
            <w:gridSpan w:val="2"/>
          </w:tcPr>
          <w:p w14:paraId="6E9078FC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Naudojimo instrukcija  (vartotojo vadovas) lietuvių ir anglų kalbomis (elektroninė versija)</w:t>
            </w:r>
          </w:p>
          <w:p w14:paraId="6E9078FD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4.4.4.1 punktu</w:t>
            </w:r>
          </w:p>
        </w:tc>
        <w:tc>
          <w:tcPr>
            <w:tcW w:w="2126" w:type="dxa"/>
          </w:tcPr>
          <w:p w14:paraId="6E9078FE" w14:textId="77777777" w:rsidR="007822EB" w:rsidRPr="003C035E" w:rsidRDefault="007822EB" w:rsidP="009146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9078FF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00" w14:textId="77777777" w:rsidR="007822EB" w:rsidRPr="003C035E" w:rsidRDefault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08" w14:textId="77777777" w:rsidTr="007822EB">
        <w:trPr>
          <w:trHeight w:val="2263"/>
        </w:trPr>
        <w:tc>
          <w:tcPr>
            <w:tcW w:w="812" w:type="dxa"/>
          </w:tcPr>
          <w:p w14:paraId="6E907902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lastRenderedPageBreak/>
              <w:t>19.</w:t>
            </w:r>
          </w:p>
          <w:p w14:paraId="6E907903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664" w:type="dxa"/>
          </w:tcPr>
          <w:p w14:paraId="6E907904" w14:textId="77777777" w:rsidR="007822EB" w:rsidRPr="003C035E" w:rsidRDefault="007822EB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Įrangos priežiūra sutarties galiojimo laikotarpiu</w:t>
            </w:r>
          </w:p>
        </w:tc>
        <w:tc>
          <w:tcPr>
            <w:tcW w:w="6542" w:type="dxa"/>
            <w:gridSpan w:val="2"/>
          </w:tcPr>
          <w:p w14:paraId="6E907905" w14:textId="695C4A98" w:rsidR="007822EB" w:rsidRPr="003C035E" w:rsidRDefault="007822EB" w:rsidP="003C035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1. Tiekėjas, pateikęs įrangą panaudos būdu, privalo savo sąskaita ją įdiegti, apmokyti vartotojus (įskaitant sertifikuotų sistemos taikymo (angl. </w:t>
            </w:r>
            <w:proofErr w:type="spellStart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application</w:t>
            </w:r>
            <w:proofErr w:type="spellEnd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) specialistų pagalbą), užtikrinti jos techninę priežiūrą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</w:t>
            </w:r>
            <w:r w:rsidRPr="003C035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būtinas atitinkamas tiekėjo patvirtinimas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</w:t>
            </w:r>
            <w:proofErr w:type="spellStart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savalaikiškai</w:t>
            </w:r>
            <w:proofErr w:type="spellEnd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 atlikti </w:t>
            </w:r>
            <w:r w:rsidR="00FD40C3"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darbus, kuriems naudojama tiekėjo pateikta įranga 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3C035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būtinas atitinkamas tiekėjo patvirtinimas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2126" w:type="dxa"/>
          </w:tcPr>
          <w:p w14:paraId="6E907906" w14:textId="77777777" w:rsidR="007822EB" w:rsidRPr="003C035E" w:rsidRDefault="007822EB" w:rsidP="0091461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07" w14:textId="77777777" w:rsidR="007822EB" w:rsidRPr="003C035E" w:rsidRDefault="007822EB" w:rsidP="00EB584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6E907909" w14:textId="77777777" w:rsidR="009A57D7" w:rsidRPr="003C035E" w:rsidRDefault="009A57D7" w:rsidP="00FF40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0790A" w14:textId="77777777" w:rsidR="009A57D7" w:rsidRPr="003C035E" w:rsidRDefault="009A57D7" w:rsidP="00FF40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0790B" w14:textId="77777777" w:rsidR="001544F0" w:rsidRPr="003C035E" w:rsidRDefault="00FF4067" w:rsidP="00FF4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35E">
        <w:rPr>
          <w:rFonts w:ascii="Times New Roman" w:hAnsi="Times New Roman" w:cs="Times New Roman"/>
          <w:b/>
          <w:bCs/>
          <w:sz w:val="24"/>
          <w:szCs w:val="24"/>
        </w:rPr>
        <w:t>HISTOLOGINIŲ PREPARATŲ DAŽYMO PROCESORIUS – 1 VNT.</w:t>
      </w: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34"/>
        <w:gridCol w:w="40"/>
        <w:gridCol w:w="6232"/>
        <w:gridCol w:w="2126"/>
        <w:gridCol w:w="1418"/>
      </w:tblGrid>
      <w:tr w:rsidR="003C035E" w:rsidRPr="003C035E" w14:paraId="6E907912" w14:textId="77777777" w:rsidTr="00DC3B71">
        <w:trPr>
          <w:trHeight w:val="247"/>
        </w:trPr>
        <w:tc>
          <w:tcPr>
            <w:tcW w:w="817" w:type="dxa"/>
          </w:tcPr>
          <w:p w14:paraId="6E90790C" w14:textId="77777777" w:rsidR="007822EB" w:rsidRPr="003C035E" w:rsidRDefault="007822EB" w:rsidP="00FF4067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Eil. Nr.</w:t>
            </w:r>
          </w:p>
        </w:tc>
        <w:tc>
          <w:tcPr>
            <w:tcW w:w="3934" w:type="dxa"/>
          </w:tcPr>
          <w:p w14:paraId="6E90790D" w14:textId="77777777" w:rsidR="007822EB" w:rsidRPr="003C035E" w:rsidRDefault="007822EB" w:rsidP="00FF4067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Parametras</w:t>
            </w:r>
          </w:p>
        </w:tc>
        <w:tc>
          <w:tcPr>
            <w:tcW w:w="6272" w:type="dxa"/>
            <w:gridSpan w:val="2"/>
          </w:tcPr>
          <w:p w14:paraId="6E90790E" w14:textId="77777777" w:rsidR="007822EB" w:rsidRPr="003C035E" w:rsidRDefault="007822EB" w:rsidP="00FF4067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Reikalaujama parametro reikšmė</w:t>
            </w:r>
          </w:p>
          <w:p w14:paraId="6E90790F" w14:textId="77777777" w:rsidR="007822EB" w:rsidRPr="003C035E" w:rsidRDefault="007822EB" w:rsidP="00FF4067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E907910" w14:textId="77777777" w:rsidR="007822EB" w:rsidRPr="003C035E" w:rsidRDefault="007822EB" w:rsidP="00FF406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Siūloma parametro reikšmė</w:t>
            </w:r>
          </w:p>
        </w:tc>
        <w:tc>
          <w:tcPr>
            <w:tcW w:w="1418" w:type="dxa"/>
          </w:tcPr>
          <w:p w14:paraId="6E907911" w14:textId="77777777" w:rsidR="007822EB" w:rsidRPr="003C035E" w:rsidRDefault="007822EB" w:rsidP="00FF4067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C035E">
              <w:rPr>
                <w:b/>
                <w:color w:val="auto"/>
                <w:sz w:val="23"/>
                <w:szCs w:val="23"/>
              </w:rPr>
              <w:t>Modelis, gamintojas</w:t>
            </w:r>
          </w:p>
        </w:tc>
      </w:tr>
      <w:tr w:rsidR="003C035E" w:rsidRPr="003C035E" w14:paraId="6E907919" w14:textId="77777777" w:rsidTr="00DC3B71">
        <w:trPr>
          <w:trHeight w:val="385"/>
        </w:trPr>
        <w:tc>
          <w:tcPr>
            <w:tcW w:w="817" w:type="dxa"/>
          </w:tcPr>
          <w:p w14:paraId="6E90791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1. </w:t>
            </w:r>
          </w:p>
          <w:p w14:paraId="6E907914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1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Paskirtis </w:t>
            </w:r>
          </w:p>
        </w:tc>
        <w:tc>
          <w:tcPr>
            <w:tcW w:w="6232" w:type="dxa"/>
          </w:tcPr>
          <w:p w14:paraId="6E90791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Automatinis įrenginys, skirtas histologiniam ir citologiniam audinių dažymui </w:t>
            </w:r>
          </w:p>
        </w:tc>
        <w:tc>
          <w:tcPr>
            <w:tcW w:w="2126" w:type="dxa"/>
          </w:tcPr>
          <w:p w14:paraId="6E907917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</w:tcPr>
          <w:p w14:paraId="6E907918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20" w14:textId="77777777" w:rsidTr="00DC3B71">
        <w:trPr>
          <w:trHeight w:val="523"/>
        </w:trPr>
        <w:tc>
          <w:tcPr>
            <w:tcW w:w="817" w:type="dxa"/>
          </w:tcPr>
          <w:p w14:paraId="6E90791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2. </w:t>
            </w:r>
          </w:p>
          <w:p w14:paraId="6E90791B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1C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Dažymo protokolai </w:t>
            </w:r>
          </w:p>
        </w:tc>
        <w:tc>
          <w:tcPr>
            <w:tcW w:w="6232" w:type="dxa"/>
          </w:tcPr>
          <w:p w14:paraId="6E90791D" w14:textId="14A6A886" w:rsidR="00DC3B71" w:rsidRPr="003C035E" w:rsidRDefault="0063206C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Yra </w:t>
            </w:r>
            <w:r w:rsidR="00DC3B71" w:rsidRPr="003C035E">
              <w:rPr>
                <w:color w:val="auto"/>
                <w:sz w:val="23"/>
                <w:szCs w:val="23"/>
              </w:rPr>
              <w:t xml:space="preserve">galimybė paleisti skirtingus dažymo protokolus, įskaitant H-E, PAP ir specialiuosius </w:t>
            </w:r>
            <w:proofErr w:type="spellStart"/>
            <w:r w:rsidR="00DC3B71" w:rsidRPr="003C035E">
              <w:rPr>
                <w:color w:val="auto"/>
                <w:sz w:val="23"/>
                <w:szCs w:val="23"/>
              </w:rPr>
              <w:t>histocheminius</w:t>
            </w:r>
            <w:proofErr w:type="spellEnd"/>
            <w:r w:rsidR="00DC3B71" w:rsidRPr="003C035E">
              <w:rPr>
                <w:color w:val="auto"/>
                <w:sz w:val="23"/>
                <w:szCs w:val="23"/>
              </w:rPr>
              <w:t xml:space="preserve"> dažymus </w:t>
            </w:r>
          </w:p>
        </w:tc>
        <w:tc>
          <w:tcPr>
            <w:tcW w:w="2126" w:type="dxa"/>
          </w:tcPr>
          <w:p w14:paraId="6E90791E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1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27" w14:textId="77777777" w:rsidTr="00DC3B71">
        <w:trPr>
          <w:trHeight w:val="385"/>
        </w:trPr>
        <w:tc>
          <w:tcPr>
            <w:tcW w:w="817" w:type="dxa"/>
          </w:tcPr>
          <w:p w14:paraId="6E907921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3. </w:t>
            </w:r>
          </w:p>
          <w:p w14:paraId="6E907922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23" w14:textId="5C12A9B1" w:rsidR="00DC3B71" w:rsidRPr="003C035E" w:rsidRDefault="00FD40C3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Vartotojo p</w:t>
            </w:r>
            <w:r w:rsidR="00DC3B71" w:rsidRPr="003C035E">
              <w:rPr>
                <w:color w:val="auto"/>
                <w:sz w:val="23"/>
                <w:szCs w:val="23"/>
              </w:rPr>
              <w:t xml:space="preserve">asirenkamų dažymo protokolų skaičius </w:t>
            </w:r>
          </w:p>
        </w:tc>
        <w:tc>
          <w:tcPr>
            <w:tcW w:w="6232" w:type="dxa"/>
          </w:tcPr>
          <w:p w14:paraId="6E907924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mažiau nei 50 </w:t>
            </w:r>
          </w:p>
        </w:tc>
        <w:tc>
          <w:tcPr>
            <w:tcW w:w="2126" w:type="dxa"/>
          </w:tcPr>
          <w:p w14:paraId="6E90792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2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2E" w14:textId="77777777" w:rsidTr="00DC3B71">
        <w:trPr>
          <w:trHeight w:val="385"/>
        </w:trPr>
        <w:tc>
          <w:tcPr>
            <w:tcW w:w="817" w:type="dxa"/>
          </w:tcPr>
          <w:p w14:paraId="6E907928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4. </w:t>
            </w:r>
          </w:p>
          <w:p w14:paraId="6E907929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2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Stiklelių dydis </w:t>
            </w:r>
          </w:p>
        </w:tc>
        <w:tc>
          <w:tcPr>
            <w:tcW w:w="6232" w:type="dxa"/>
          </w:tcPr>
          <w:p w14:paraId="6E90792B" w14:textId="589BE775" w:rsidR="00DC3B71" w:rsidRPr="003C035E" w:rsidRDefault="00DC3B71" w:rsidP="003C035E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Įrenginys tinkamas dažyti audinius, naudojant standartinius (26x76x1 mm) objektinius stiklelius </w:t>
            </w:r>
          </w:p>
        </w:tc>
        <w:tc>
          <w:tcPr>
            <w:tcW w:w="2126" w:type="dxa"/>
          </w:tcPr>
          <w:p w14:paraId="6E90792C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2D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35" w14:textId="77777777" w:rsidTr="00DC3B71">
        <w:trPr>
          <w:trHeight w:val="385"/>
        </w:trPr>
        <w:tc>
          <w:tcPr>
            <w:tcW w:w="817" w:type="dxa"/>
          </w:tcPr>
          <w:p w14:paraId="6E90792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5. </w:t>
            </w:r>
          </w:p>
          <w:p w14:paraId="6E907930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31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Našumas </w:t>
            </w:r>
          </w:p>
        </w:tc>
        <w:tc>
          <w:tcPr>
            <w:tcW w:w="6232" w:type="dxa"/>
          </w:tcPr>
          <w:p w14:paraId="6E907932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Dažymo našumas ne mažiau nei 200 standartinių objektinių stiklelių per valandą </w:t>
            </w:r>
          </w:p>
        </w:tc>
        <w:tc>
          <w:tcPr>
            <w:tcW w:w="2126" w:type="dxa"/>
          </w:tcPr>
          <w:p w14:paraId="6E90793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34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3C" w14:textId="77777777" w:rsidTr="00DC3B71">
        <w:trPr>
          <w:trHeight w:val="247"/>
        </w:trPr>
        <w:tc>
          <w:tcPr>
            <w:tcW w:w="817" w:type="dxa"/>
          </w:tcPr>
          <w:p w14:paraId="6E90793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6. </w:t>
            </w:r>
          </w:p>
          <w:p w14:paraId="6E907937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38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lastRenderedPageBreak/>
              <w:t xml:space="preserve">Dažymo etapų skaičius </w:t>
            </w:r>
          </w:p>
        </w:tc>
        <w:tc>
          <w:tcPr>
            <w:tcW w:w="6232" w:type="dxa"/>
          </w:tcPr>
          <w:p w14:paraId="6E907939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mažiau nei 50 </w:t>
            </w:r>
          </w:p>
        </w:tc>
        <w:tc>
          <w:tcPr>
            <w:tcW w:w="2126" w:type="dxa"/>
          </w:tcPr>
          <w:p w14:paraId="6E90793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3B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44" w14:textId="77777777" w:rsidTr="00DC3B71">
        <w:trPr>
          <w:trHeight w:val="497"/>
        </w:trPr>
        <w:tc>
          <w:tcPr>
            <w:tcW w:w="817" w:type="dxa"/>
          </w:tcPr>
          <w:p w14:paraId="6E90793D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7. </w:t>
            </w:r>
          </w:p>
          <w:p w14:paraId="6E90793E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3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Reagentų talpų skaičius</w:t>
            </w:r>
          </w:p>
        </w:tc>
        <w:tc>
          <w:tcPr>
            <w:tcW w:w="6232" w:type="dxa"/>
          </w:tcPr>
          <w:p w14:paraId="6E907940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mažiau nei 25 </w:t>
            </w:r>
          </w:p>
          <w:p w14:paraId="6E907941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E907942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4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4B" w14:textId="77777777" w:rsidTr="00DC3B71">
        <w:trPr>
          <w:trHeight w:val="247"/>
        </w:trPr>
        <w:tc>
          <w:tcPr>
            <w:tcW w:w="817" w:type="dxa"/>
          </w:tcPr>
          <w:p w14:paraId="6E90794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8. </w:t>
            </w:r>
          </w:p>
          <w:p w14:paraId="6E90794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47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Vandens talpų skaičius </w:t>
            </w:r>
          </w:p>
        </w:tc>
        <w:tc>
          <w:tcPr>
            <w:tcW w:w="6232" w:type="dxa"/>
          </w:tcPr>
          <w:p w14:paraId="6E907948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mažiau nei 5 </w:t>
            </w:r>
          </w:p>
        </w:tc>
        <w:tc>
          <w:tcPr>
            <w:tcW w:w="2126" w:type="dxa"/>
          </w:tcPr>
          <w:p w14:paraId="6E907949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4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52" w14:textId="77777777" w:rsidTr="00DC3B71">
        <w:trPr>
          <w:trHeight w:val="247"/>
        </w:trPr>
        <w:tc>
          <w:tcPr>
            <w:tcW w:w="817" w:type="dxa"/>
          </w:tcPr>
          <w:p w14:paraId="6E90794C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9. </w:t>
            </w:r>
          </w:p>
          <w:p w14:paraId="6E90794D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4E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Pakrovimo talpų skaičius </w:t>
            </w:r>
          </w:p>
        </w:tc>
        <w:tc>
          <w:tcPr>
            <w:tcW w:w="6232" w:type="dxa"/>
          </w:tcPr>
          <w:p w14:paraId="6E90794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mažiau nei 2 </w:t>
            </w:r>
          </w:p>
        </w:tc>
        <w:tc>
          <w:tcPr>
            <w:tcW w:w="2126" w:type="dxa"/>
          </w:tcPr>
          <w:p w14:paraId="6E907950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51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59" w14:textId="77777777" w:rsidTr="00DC3B71">
        <w:trPr>
          <w:trHeight w:val="247"/>
        </w:trPr>
        <w:tc>
          <w:tcPr>
            <w:tcW w:w="817" w:type="dxa"/>
          </w:tcPr>
          <w:p w14:paraId="6E90795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10. </w:t>
            </w:r>
          </w:p>
          <w:p w14:paraId="6E907954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5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Iškrovimo talpų skaičius </w:t>
            </w:r>
          </w:p>
        </w:tc>
        <w:tc>
          <w:tcPr>
            <w:tcW w:w="6232" w:type="dxa"/>
          </w:tcPr>
          <w:p w14:paraId="6E90795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mažiau nei 2 </w:t>
            </w:r>
          </w:p>
        </w:tc>
        <w:tc>
          <w:tcPr>
            <w:tcW w:w="2126" w:type="dxa"/>
          </w:tcPr>
          <w:p w14:paraId="6E907957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58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60" w14:textId="77777777" w:rsidTr="00DC3B71">
        <w:trPr>
          <w:trHeight w:val="109"/>
        </w:trPr>
        <w:tc>
          <w:tcPr>
            <w:tcW w:w="817" w:type="dxa"/>
          </w:tcPr>
          <w:p w14:paraId="6E90795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11. </w:t>
            </w:r>
          </w:p>
          <w:p w14:paraId="6E90795B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5C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Talpos tūris </w:t>
            </w:r>
          </w:p>
        </w:tc>
        <w:tc>
          <w:tcPr>
            <w:tcW w:w="6232" w:type="dxa"/>
          </w:tcPr>
          <w:p w14:paraId="6E90795D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daugiau nei 350 ml </w:t>
            </w:r>
          </w:p>
        </w:tc>
        <w:tc>
          <w:tcPr>
            <w:tcW w:w="2126" w:type="dxa"/>
          </w:tcPr>
          <w:p w14:paraId="6E90795E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5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67" w14:textId="77777777" w:rsidTr="00DC3B71">
        <w:trPr>
          <w:trHeight w:val="247"/>
        </w:trPr>
        <w:tc>
          <w:tcPr>
            <w:tcW w:w="817" w:type="dxa"/>
          </w:tcPr>
          <w:p w14:paraId="6E907961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12. </w:t>
            </w:r>
          </w:p>
          <w:p w14:paraId="6E907962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6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Maksimali krepšelio pakrovimo talpa </w:t>
            </w:r>
          </w:p>
        </w:tc>
        <w:tc>
          <w:tcPr>
            <w:tcW w:w="6232" w:type="dxa"/>
          </w:tcPr>
          <w:p w14:paraId="6E907964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daugiau nei 20 standartinių objektinių stiklelių </w:t>
            </w:r>
          </w:p>
        </w:tc>
        <w:tc>
          <w:tcPr>
            <w:tcW w:w="2126" w:type="dxa"/>
          </w:tcPr>
          <w:p w14:paraId="6E90796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6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6D" w14:textId="77777777" w:rsidTr="00DC3B71">
        <w:trPr>
          <w:trHeight w:val="247"/>
        </w:trPr>
        <w:tc>
          <w:tcPr>
            <w:tcW w:w="817" w:type="dxa"/>
          </w:tcPr>
          <w:p w14:paraId="6E907968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13. </w:t>
            </w:r>
          </w:p>
        </w:tc>
        <w:tc>
          <w:tcPr>
            <w:tcW w:w="3974" w:type="dxa"/>
            <w:gridSpan w:val="2"/>
          </w:tcPr>
          <w:p w14:paraId="6E907969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Vienu metu dažomų krepšelių skaičius </w:t>
            </w:r>
          </w:p>
        </w:tc>
        <w:tc>
          <w:tcPr>
            <w:tcW w:w="6232" w:type="dxa"/>
          </w:tcPr>
          <w:p w14:paraId="6E90796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Ne mažiau nei 10 </w:t>
            </w:r>
          </w:p>
        </w:tc>
        <w:tc>
          <w:tcPr>
            <w:tcW w:w="2126" w:type="dxa"/>
          </w:tcPr>
          <w:p w14:paraId="6E90796B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6C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74" w14:textId="77777777" w:rsidTr="00DC3B71">
        <w:trPr>
          <w:trHeight w:val="385"/>
        </w:trPr>
        <w:tc>
          <w:tcPr>
            <w:tcW w:w="817" w:type="dxa"/>
          </w:tcPr>
          <w:p w14:paraId="6E90796E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14. </w:t>
            </w:r>
          </w:p>
          <w:p w14:paraId="6E90796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70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Reagentų maišymas dažymo metu </w:t>
            </w:r>
          </w:p>
        </w:tc>
        <w:tc>
          <w:tcPr>
            <w:tcW w:w="6232" w:type="dxa"/>
          </w:tcPr>
          <w:p w14:paraId="6E907971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Būtini ne mažiau nei 3 pasirenkami maišymo režimai: pradinis (tik įmerkus), dažnas (kas 1-1,5 min), nepertraukiamas</w:t>
            </w:r>
          </w:p>
        </w:tc>
        <w:tc>
          <w:tcPr>
            <w:tcW w:w="2126" w:type="dxa"/>
          </w:tcPr>
          <w:p w14:paraId="6E907972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7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7B" w14:textId="77777777" w:rsidTr="0063206C">
        <w:trPr>
          <w:trHeight w:val="876"/>
        </w:trPr>
        <w:tc>
          <w:tcPr>
            <w:tcW w:w="817" w:type="dxa"/>
          </w:tcPr>
          <w:p w14:paraId="6E90797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15. </w:t>
            </w:r>
          </w:p>
          <w:p w14:paraId="6E90797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77" w14:textId="4F936852" w:rsidR="00932CCE" w:rsidRPr="003C035E" w:rsidRDefault="00932CCE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Skubaus – prioritetinio protokolo paleidimo funkcija</w:t>
            </w:r>
          </w:p>
        </w:tc>
        <w:tc>
          <w:tcPr>
            <w:tcW w:w="6232" w:type="dxa"/>
          </w:tcPr>
          <w:p w14:paraId="6E907978" w14:textId="2459E637" w:rsidR="00EF063D" w:rsidRPr="003C035E" w:rsidRDefault="00EF063D" w:rsidP="007822EB">
            <w:pPr>
              <w:pStyle w:val="Default"/>
              <w:rPr>
                <w:color w:val="auto"/>
                <w:sz w:val="23"/>
                <w:szCs w:val="23"/>
                <w:highlight w:val="yellow"/>
              </w:rPr>
            </w:pPr>
            <w:r w:rsidRPr="003C035E">
              <w:rPr>
                <w:color w:val="auto"/>
                <w:sz w:val="23"/>
                <w:szCs w:val="23"/>
              </w:rPr>
              <w:t>Įrenginys turi skubaus – prioritetinio protokolo paleidimo funkciją (</w:t>
            </w:r>
            <w:r w:rsidR="00932CCE" w:rsidRPr="003C035E">
              <w:rPr>
                <w:color w:val="auto"/>
                <w:sz w:val="23"/>
                <w:szCs w:val="23"/>
              </w:rPr>
              <w:t>yra galimybė naują dažymo protokolą pradėti bet kuriuo proceso metu</w:t>
            </w:r>
            <w:r w:rsidRPr="003C035E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2126" w:type="dxa"/>
          </w:tcPr>
          <w:p w14:paraId="6E907979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7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82" w14:textId="77777777" w:rsidTr="00DC3B71">
        <w:trPr>
          <w:trHeight w:val="385"/>
        </w:trPr>
        <w:tc>
          <w:tcPr>
            <w:tcW w:w="817" w:type="dxa"/>
          </w:tcPr>
          <w:p w14:paraId="6E90797C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16. </w:t>
            </w:r>
          </w:p>
          <w:p w14:paraId="6E90797D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7E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Galimybė atšaukti / grąžinti krepšelį į pakrovimo talpą </w:t>
            </w:r>
          </w:p>
        </w:tc>
        <w:tc>
          <w:tcPr>
            <w:tcW w:w="6232" w:type="dxa"/>
          </w:tcPr>
          <w:p w14:paraId="6E90797F" w14:textId="5EE87925" w:rsidR="00EF063D" w:rsidRPr="003C035E" w:rsidRDefault="00EF063D" w:rsidP="007822EB">
            <w:pPr>
              <w:pStyle w:val="Default"/>
              <w:rPr>
                <w:color w:val="auto"/>
                <w:sz w:val="23"/>
                <w:szCs w:val="23"/>
                <w:highlight w:val="yellow"/>
              </w:rPr>
            </w:pPr>
            <w:r w:rsidRPr="003C035E">
              <w:rPr>
                <w:color w:val="auto"/>
                <w:sz w:val="23"/>
                <w:szCs w:val="23"/>
              </w:rPr>
              <w:t>Įrenginys turi krepšelio atšaukimo/grąžinimo į pakrovimo talpą funkciją</w:t>
            </w:r>
          </w:p>
        </w:tc>
        <w:tc>
          <w:tcPr>
            <w:tcW w:w="2126" w:type="dxa"/>
          </w:tcPr>
          <w:p w14:paraId="6E907980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81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88" w14:textId="77777777" w:rsidTr="0063206C">
        <w:trPr>
          <w:trHeight w:val="443"/>
        </w:trPr>
        <w:tc>
          <w:tcPr>
            <w:tcW w:w="817" w:type="dxa"/>
          </w:tcPr>
          <w:p w14:paraId="6E90798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17. </w:t>
            </w:r>
          </w:p>
        </w:tc>
        <w:tc>
          <w:tcPr>
            <w:tcW w:w="3974" w:type="dxa"/>
            <w:gridSpan w:val="2"/>
          </w:tcPr>
          <w:p w14:paraId="6E907984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Valdymas </w:t>
            </w:r>
          </w:p>
        </w:tc>
        <w:tc>
          <w:tcPr>
            <w:tcW w:w="6232" w:type="dxa"/>
          </w:tcPr>
          <w:p w14:paraId="6E90798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Integruoto į dažymo įrenginį spalvoto liečiamojo ekrano pagalba </w:t>
            </w:r>
          </w:p>
        </w:tc>
        <w:tc>
          <w:tcPr>
            <w:tcW w:w="2126" w:type="dxa"/>
          </w:tcPr>
          <w:p w14:paraId="6E90798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87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8E" w14:textId="77777777" w:rsidTr="0063206C">
        <w:trPr>
          <w:trHeight w:val="422"/>
        </w:trPr>
        <w:tc>
          <w:tcPr>
            <w:tcW w:w="817" w:type="dxa"/>
          </w:tcPr>
          <w:p w14:paraId="6E907989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18. </w:t>
            </w:r>
          </w:p>
        </w:tc>
        <w:tc>
          <w:tcPr>
            <w:tcW w:w="3974" w:type="dxa"/>
            <w:gridSpan w:val="2"/>
          </w:tcPr>
          <w:p w14:paraId="6E90798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Apšvietimas </w:t>
            </w:r>
          </w:p>
        </w:tc>
        <w:tc>
          <w:tcPr>
            <w:tcW w:w="6232" w:type="dxa"/>
          </w:tcPr>
          <w:p w14:paraId="6E90798B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Vidinis LED (arba lygiavertis) apšvietimas </w:t>
            </w:r>
          </w:p>
        </w:tc>
        <w:tc>
          <w:tcPr>
            <w:tcW w:w="2126" w:type="dxa"/>
          </w:tcPr>
          <w:p w14:paraId="6E90798C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8D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97" w14:textId="77777777" w:rsidTr="00DC3B71">
        <w:trPr>
          <w:trHeight w:val="675"/>
        </w:trPr>
        <w:tc>
          <w:tcPr>
            <w:tcW w:w="817" w:type="dxa"/>
          </w:tcPr>
          <w:p w14:paraId="6E90798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19. </w:t>
            </w:r>
          </w:p>
          <w:p w14:paraId="6E907990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92" w14:textId="60F52700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Apsauga nuo įrenginio išsijungimo nutrūkus maitinimui iš elektros tinklo </w:t>
            </w:r>
          </w:p>
        </w:tc>
        <w:tc>
          <w:tcPr>
            <w:tcW w:w="6232" w:type="dxa"/>
          </w:tcPr>
          <w:p w14:paraId="6E907994" w14:textId="37E61A1F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Integruotas maitinimo elementas (akumuliatorius), užtikrinantis autonominį įrenginio maitinimą ne mažiau nei 30 min. </w:t>
            </w:r>
          </w:p>
        </w:tc>
        <w:tc>
          <w:tcPr>
            <w:tcW w:w="2126" w:type="dxa"/>
          </w:tcPr>
          <w:p w14:paraId="6E90799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9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A0" w14:textId="77777777" w:rsidTr="00DC3B71">
        <w:trPr>
          <w:trHeight w:val="675"/>
        </w:trPr>
        <w:tc>
          <w:tcPr>
            <w:tcW w:w="817" w:type="dxa"/>
          </w:tcPr>
          <w:p w14:paraId="6E907998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20. </w:t>
            </w:r>
          </w:p>
        </w:tc>
        <w:tc>
          <w:tcPr>
            <w:tcW w:w="3974" w:type="dxa"/>
            <w:gridSpan w:val="2"/>
          </w:tcPr>
          <w:p w14:paraId="6E907999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Garų surinkimo sistema</w:t>
            </w:r>
          </w:p>
          <w:p w14:paraId="6E90799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E90799B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32" w:type="dxa"/>
          </w:tcPr>
          <w:p w14:paraId="6E90799C" w14:textId="1184D90D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1.</w:t>
            </w:r>
            <w:r w:rsidR="0063206C" w:rsidRPr="003C035E">
              <w:rPr>
                <w:color w:val="auto"/>
                <w:sz w:val="23"/>
                <w:szCs w:val="23"/>
              </w:rPr>
              <w:t xml:space="preserve"> </w:t>
            </w:r>
            <w:r w:rsidRPr="003C035E">
              <w:rPr>
                <w:color w:val="auto"/>
                <w:sz w:val="23"/>
                <w:szCs w:val="23"/>
              </w:rPr>
              <w:t>Į įrangą integruoti ventiliatoriai su anglies filtrais</w:t>
            </w:r>
          </w:p>
          <w:p w14:paraId="6E90799D" w14:textId="68972638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2.</w:t>
            </w:r>
            <w:r w:rsidR="0063206C" w:rsidRPr="003C035E">
              <w:rPr>
                <w:color w:val="auto"/>
                <w:sz w:val="23"/>
                <w:szCs w:val="23"/>
              </w:rPr>
              <w:t xml:space="preserve"> Yra g</w:t>
            </w:r>
            <w:r w:rsidRPr="003C035E">
              <w:rPr>
                <w:color w:val="auto"/>
                <w:sz w:val="23"/>
                <w:szCs w:val="23"/>
              </w:rPr>
              <w:t>alimybė garų surinkimo sistemą prijungti  prie laboratorijos ventiliacijos sistemos</w:t>
            </w:r>
            <w:r w:rsidR="00EF063D" w:rsidRPr="003C035E">
              <w:rPr>
                <w:color w:val="auto"/>
                <w:sz w:val="23"/>
                <w:szCs w:val="23"/>
              </w:rPr>
              <w:t xml:space="preserve"> (</w:t>
            </w:r>
            <w:r w:rsidR="00EF063D" w:rsidRPr="003C035E">
              <w:rPr>
                <w:i/>
                <w:color w:val="auto"/>
                <w:sz w:val="23"/>
                <w:szCs w:val="23"/>
              </w:rPr>
              <w:t>būtinas atitinkamas tiekėjo ir/arba gamintojo patvirtinimas</w:t>
            </w:r>
            <w:r w:rsidR="00EF063D" w:rsidRPr="003C035E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2126" w:type="dxa"/>
          </w:tcPr>
          <w:p w14:paraId="6E90799E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9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A7" w14:textId="77777777" w:rsidTr="00DC3B71">
        <w:trPr>
          <w:trHeight w:val="309"/>
        </w:trPr>
        <w:tc>
          <w:tcPr>
            <w:tcW w:w="817" w:type="dxa"/>
          </w:tcPr>
          <w:p w14:paraId="6E9079A1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21.</w:t>
            </w:r>
          </w:p>
        </w:tc>
        <w:tc>
          <w:tcPr>
            <w:tcW w:w="3974" w:type="dxa"/>
            <w:gridSpan w:val="2"/>
          </w:tcPr>
          <w:p w14:paraId="6E9079A2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Jungtis su stiklelių dengimo įrenginiu</w:t>
            </w:r>
          </w:p>
          <w:p w14:paraId="6E9079A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32" w:type="dxa"/>
          </w:tcPr>
          <w:p w14:paraId="6E9079A4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Audinių dažymo įrenginys turi būti sujungtas su stiklelių dengimo įrenginiu</w:t>
            </w:r>
          </w:p>
        </w:tc>
        <w:tc>
          <w:tcPr>
            <w:tcW w:w="2126" w:type="dxa"/>
          </w:tcPr>
          <w:p w14:paraId="6E9079A5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A6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AE" w14:textId="77777777" w:rsidTr="00DC3B71">
        <w:trPr>
          <w:trHeight w:val="1420"/>
        </w:trPr>
        <w:tc>
          <w:tcPr>
            <w:tcW w:w="817" w:type="dxa"/>
          </w:tcPr>
          <w:p w14:paraId="6E9079A8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lastRenderedPageBreak/>
              <w:t xml:space="preserve">22. </w:t>
            </w:r>
          </w:p>
          <w:p w14:paraId="6E9079A9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AA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Įrangos pristatymas, iškrovimas, pervežimas į instaliavimo vietą, instaliavimas, po instaliavimo likusių įpakavimo medžiagų išvežimas (utilizavimas) ir vartotojų apmokymas </w:t>
            </w:r>
          </w:p>
        </w:tc>
        <w:tc>
          <w:tcPr>
            <w:tcW w:w="6232" w:type="dxa"/>
          </w:tcPr>
          <w:p w14:paraId="6E9079AB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Įrangos pristatymo, iškrovimo, pervežimo į instaliavimo vietą, instaliavimo, po instaliavimo likusių įpakavimo medžiagų išvežimo (utilizavimo) ir vartotojų apmokymo išlaidos įskaičiuotos į pasiūlymo kainą </w:t>
            </w:r>
          </w:p>
        </w:tc>
        <w:tc>
          <w:tcPr>
            <w:tcW w:w="2126" w:type="dxa"/>
          </w:tcPr>
          <w:p w14:paraId="6E9079AC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AD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B5" w14:textId="77777777" w:rsidTr="00AA47C7">
        <w:trPr>
          <w:trHeight w:val="661"/>
        </w:trPr>
        <w:tc>
          <w:tcPr>
            <w:tcW w:w="817" w:type="dxa"/>
          </w:tcPr>
          <w:p w14:paraId="6E9079AF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23. </w:t>
            </w:r>
          </w:p>
          <w:p w14:paraId="6E9079B0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B1" w14:textId="7E3B2846" w:rsidR="00DC3B71" w:rsidRPr="003C035E" w:rsidRDefault="0063206C" w:rsidP="007822EB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Į</w:t>
            </w:r>
            <w:r w:rsidR="00DC3B71" w:rsidRPr="003C035E">
              <w:rPr>
                <w:color w:val="auto"/>
                <w:sz w:val="23"/>
                <w:szCs w:val="23"/>
              </w:rPr>
              <w:t xml:space="preserve">rangos CE ženklinimas </w:t>
            </w:r>
          </w:p>
        </w:tc>
        <w:tc>
          <w:tcPr>
            <w:tcW w:w="6232" w:type="dxa"/>
          </w:tcPr>
          <w:p w14:paraId="6E9079B2" w14:textId="700B57FB" w:rsidR="00DC3B71" w:rsidRPr="003C035E" w:rsidRDefault="00DC3B71" w:rsidP="003C035E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Panaudai </w:t>
            </w:r>
            <w:r w:rsidR="0063206C" w:rsidRPr="003C035E">
              <w:rPr>
                <w:color w:val="auto"/>
                <w:sz w:val="23"/>
                <w:szCs w:val="23"/>
              </w:rPr>
              <w:t>siūloma</w:t>
            </w:r>
            <w:r w:rsidRPr="003C035E">
              <w:rPr>
                <w:color w:val="auto"/>
                <w:sz w:val="23"/>
                <w:szCs w:val="23"/>
              </w:rPr>
              <w:t xml:space="preserve"> įranga turi CE ženklinimą pagal Europos Parlamento ir Tarybos reglamento (ES) 2017/746 dėl </w:t>
            </w:r>
            <w:proofErr w:type="spellStart"/>
            <w:r w:rsidRPr="003C035E">
              <w:rPr>
                <w:color w:val="auto"/>
                <w:sz w:val="23"/>
                <w:szCs w:val="23"/>
              </w:rPr>
              <w:t>in</w:t>
            </w:r>
            <w:proofErr w:type="spellEnd"/>
            <w:r w:rsidRPr="003C035E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3C035E">
              <w:rPr>
                <w:color w:val="auto"/>
                <w:sz w:val="23"/>
                <w:szCs w:val="23"/>
              </w:rPr>
              <w:t>vitro</w:t>
            </w:r>
            <w:proofErr w:type="spellEnd"/>
            <w:r w:rsidRPr="003C035E">
              <w:rPr>
                <w:color w:val="auto"/>
                <w:sz w:val="23"/>
                <w:szCs w:val="23"/>
              </w:rPr>
              <w:t xml:space="preserve"> diagnostikos medicinos priemonių  reikalavimus </w:t>
            </w:r>
            <w:r w:rsidR="00013077" w:rsidRPr="003C035E">
              <w:rPr>
                <w:color w:val="auto"/>
                <w:sz w:val="23"/>
                <w:szCs w:val="23"/>
              </w:rPr>
              <w:t xml:space="preserve">arba pagal </w:t>
            </w:r>
            <w:proofErr w:type="spellStart"/>
            <w:r w:rsidR="00013077" w:rsidRPr="003C035E">
              <w:rPr>
                <w:color w:val="auto"/>
                <w:sz w:val="23"/>
                <w:szCs w:val="23"/>
              </w:rPr>
              <w:t>In</w:t>
            </w:r>
            <w:proofErr w:type="spellEnd"/>
            <w:r w:rsidR="00013077" w:rsidRPr="003C035E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3077" w:rsidRPr="003C035E">
              <w:rPr>
                <w:color w:val="auto"/>
                <w:sz w:val="23"/>
                <w:szCs w:val="23"/>
              </w:rPr>
              <w:t>vitro</w:t>
            </w:r>
            <w:proofErr w:type="spellEnd"/>
            <w:r w:rsidR="00013077" w:rsidRPr="003C035E">
              <w:rPr>
                <w:color w:val="auto"/>
                <w:sz w:val="23"/>
                <w:szCs w:val="23"/>
              </w:rPr>
              <w:t xml:space="preserve"> diagnostikos medicinos prietaisų direktyvos 98/79/EC reikalavimus </w:t>
            </w:r>
            <w:r w:rsidRPr="003C035E">
              <w:rPr>
                <w:color w:val="auto"/>
                <w:sz w:val="23"/>
                <w:szCs w:val="23"/>
              </w:rPr>
              <w:t>(</w:t>
            </w:r>
            <w:r w:rsidRPr="003C035E">
              <w:rPr>
                <w:b/>
                <w:i/>
                <w:color w:val="auto"/>
                <w:sz w:val="23"/>
                <w:szCs w:val="23"/>
              </w:rPr>
              <w:t xml:space="preserve">kartu su pasiūlymu konkursui būtina pateikti </w:t>
            </w:r>
            <w:r w:rsidRPr="003C035E">
              <w:rPr>
                <w:b/>
                <w:i/>
                <w:color w:val="auto"/>
                <w:sz w:val="23"/>
                <w:szCs w:val="23"/>
                <w:u w:val="single"/>
              </w:rPr>
              <w:t>galiojančių</w:t>
            </w:r>
            <w:r w:rsidRPr="003C035E">
              <w:rPr>
                <w:b/>
                <w:i/>
                <w:color w:val="auto"/>
                <w:sz w:val="23"/>
                <w:szCs w:val="23"/>
              </w:rPr>
              <w:t xml:space="preserve"> dokumentų, liudijančių žymėjimą CE ženklu, kopijas</w:t>
            </w:r>
            <w:r w:rsidRPr="003C035E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9079B3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B4" w14:textId="77777777" w:rsidR="00DC3B71" w:rsidRPr="003C035E" w:rsidRDefault="00DC3B71" w:rsidP="007822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BD" w14:textId="77777777" w:rsidTr="00AA47C7">
        <w:trPr>
          <w:trHeight w:val="661"/>
        </w:trPr>
        <w:tc>
          <w:tcPr>
            <w:tcW w:w="817" w:type="dxa"/>
          </w:tcPr>
          <w:p w14:paraId="6E9079B6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24. </w:t>
            </w:r>
          </w:p>
          <w:p w14:paraId="6E9079B7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B8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Kartu su įranga pateikiama dokumentacija </w:t>
            </w:r>
          </w:p>
        </w:tc>
        <w:tc>
          <w:tcPr>
            <w:tcW w:w="6232" w:type="dxa"/>
          </w:tcPr>
          <w:p w14:paraId="6E9079B9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Naudojimo instrukcija  (vartotojo vadovas) lietuvių ir anglų kalbomis (elektroninė versija).</w:t>
            </w:r>
          </w:p>
          <w:p w14:paraId="6E9079BA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9079BB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14:paraId="6E9079BC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C035E" w:rsidRPr="003C035E" w14:paraId="6E9079C4" w14:textId="77777777" w:rsidTr="00DC3B71">
        <w:trPr>
          <w:trHeight w:val="661"/>
        </w:trPr>
        <w:tc>
          <w:tcPr>
            <w:tcW w:w="817" w:type="dxa"/>
          </w:tcPr>
          <w:p w14:paraId="6E9079BE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 xml:space="preserve">25. </w:t>
            </w:r>
          </w:p>
          <w:p w14:paraId="6E9079BF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974" w:type="dxa"/>
            <w:gridSpan w:val="2"/>
          </w:tcPr>
          <w:p w14:paraId="6E9079C0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  <w:r w:rsidRPr="003C035E">
              <w:rPr>
                <w:color w:val="auto"/>
                <w:sz w:val="23"/>
                <w:szCs w:val="23"/>
              </w:rPr>
              <w:t>Įrangos priežiūra sutarties galiojimo laikotarpiu</w:t>
            </w:r>
          </w:p>
        </w:tc>
        <w:tc>
          <w:tcPr>
            <w:tcW w:w="6232" w:type="dxa"/>
          </w:tcPr>
          <w:p w14:paraId="6E9079C1" w14:textId="3E84FB71" w:rsidR="0063206C" w:rsidRPr="003C035E" w:rsidRDefault="00DC3B71" w:rsidP="003C035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1. Tiekėjas, pateikęs įrangą panaudos būdu, privalo savo sąskaita ją įdiegti, apmokyti vartotojus (įskaitant sertifikuotų sistemos taikymo (angl. </w:t>
            </w:r>
            <w:proofErr w:type="spellStart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application</w:t>
            </w:r>
            <w:proofErr w:type="spellEnd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) specialistų pagalbą), užtikrinti jos techninę priežiūrą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</w:t>
            </w:r>
            <w:r w:rsidRPr="003C035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būtinas atitinkamas tiekėjo patvirtinimas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</w:t>
            </w:r>
            <w:proofErr w:type="spellStart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savalaikiškai</w:t>
            </w:r>
            <w:proofErr w:type="spellEnd"/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 atlikti </w:t>
            </w:r>
            <w:r w:rsidR="00013077" w:rsidRPr="003C035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darbus, kuriems naudojama tiekėjo pateikta įranga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3C035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būtinas atitinkamas tiekėjo patvirtinimas</w:t>
            </w:r>
            <w:r w:rsidRPr="003C035E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9079C2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E9079C3" w14:textId="77777777" w:rsidR="00DC3B71" w:rsidRPr="003C035E" w:rsidRDefault="00DC3B71" w:rsidP="00DC3B7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6E9079C5" w14:textId="77777777" w:rsidR="001544F0" w:rsidRPr="003C035E" w:rsidRDefault="001544F0"/>
    <w:sectPr w:rsidR="001544F0" w:rsidRPr="003C035E" w:rsidSect="0063206C">
      <w:pgSz w:w="16838" w:h="11906" w:orient="landscape"/>
      <w:pgMar w:top="1701" w:right="1701" w:bottom="993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65EBF"/>
    <w:multiLevelType w:val="hybridMultilevel"/>
    <w:tmpl w:val="8EEEE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434C"/>
    <w:multiLevelType w:val="hybridMultilevel"/>
    <w:tmpl w:val="08C0F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F3059"/>
    <w:multiLevelType w:val="hybridMultilevel"/>
    <w:tmpl w:val="16D40B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C6B79"/>
    <w:multiLevelType w:val="hybridMultilevel"/>
    <w:tmpl w:val="91DA04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F0"/>
    <w:rsid w:val="00013077"/>
    <w:rsid w:val="00015DB7"/>
    <w:rsid w:val="000C192F"/>
    <w:rsid w:val="001544F0"/>
    <w:rsid w:val="001C62A1"/>
    <w:rsid w:val="0023396B"/>
    <w:rsid w:val="00333A5F"/>
    <w:rsid w:val="00364AF6"/>
    <w:rsid w:val="00377C6D"/>
    <w:rsid w:val="003C035E"/>
    <w:rsid w:val="004008F0"/>
    <w:rsid w:val="0044424A"/>
    <w:rsid w:val="00480130"/>
    <w:rsid w:val="004D3FE2"/>
    <w:rsid w:val="00572326"/>
    <w:rsid w:val="0059773D"/>
    <w:rsid w:val="00623629"/>
    <w:rsid w:val="0063206C"/>
    <w:rsid w:val="00741A82"/>
    <w:rsid w:val="007559DC"/>
    <w:rsid w:val="007822EB"/>
    <w:rsid w:val="0088393A"/>
    <w:rsid w:val="008A3CFA"/>
    <w:rsid w:val="0091461B"/>
    <w:rsid w:val="00915012"/>
    <w:rsid w:val="00932CCE"/>
    <w:rsid w:val="009346A4"/>
    <w:rsid w:val="00974EBF"/>
    <w:rsid w:val="00983D17"/>
    <w:rsid w:val="009972AA"/>
    <w:rsid w:val="009A57D7"/>
    <w:rsid w:val="009B7193"/>
    <w:rsid w:val="00A9167B"/>
    <w:rsid w:val="00B726FF"/>
    <w:rsid w:val="00BE595F"/>
    <w:rsid w:val="00C47E16"/>
    <w:rsid w:val="00CB418E"/>
    <w:rsid w:val="00CD39D7"/>
    <w:rsid w:val="00DC0176"/>
    <w:rsid w:val="00DC3B71"/>
    <w:rsid w:val="00EB5840"/>
    <w:rsid w:val="00EC5BCF"/>
    <w:rsid w:val="00EC6894"/>
    <w:rsid w:val="00EF063D"/>
    <w:rsid w:val="00F152F5"/>
    <w:rsid w:val="00F272FB"/>
    <w:rsid w:val="00F45AFB"/>
    <w:rsid w:val="00FD40C3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7851"/>
  <w15:chartTrackingRefBased/>
  <w15:docId w15:val="{90C7E539-4871-4290-9167-87DE94EA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C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A57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1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A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A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62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9182-8A90-4A58-874C-14ED66D41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0EBC9-43BF-43FD-9187-8970043A2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7E3D18-5122-4FE8-A58B-C28D7EC19D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8BF330-5DCF-4C0F-A1CE-CB1FBC5D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6663</Words>
  <Characters>3799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Monika Vaitkevičiūtė</cp:lastModifiedBy>
  <cp:revision>8</cp:revision>
  <dcterms:created xsi:type="dcterms:W3CDTF">2026-01-22T09:48:00Z</dcterms:created>
  <dcterms:modified xsi:type="dcterms:W3CDTF">2026-02-05T06:56:00Z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