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10A03D70" w14:textId="5ABF6048" w:rsidR="00AC0A8D" w:rsidRDefault="00AC0A8D" w:rsidP="000A022D">
      <w:pPr>
        <w:spacing w:after="160" w:line="256" w:lineRule="auto"/>
        <w:jc w:val="center"/>
        <w:rPr>
          <w:rFonts w:ascii="Times New Roman" w:eastAsia="Calibri" w:hAnsi="Times New Roman" w:cs="Times New Roman"/>
          <w:b/>
          <w:noProof/>
          <w:sz w:val="24"/>
          <w:szCs w:val="22"/>
          <w:lang w:eastAsia="ja-JP"/>
        </w:rPr>
      </w:pPr>
    </w:p>
    <w:p w14:paraId="2145867B" w14:textId="74B9C5B7" w:rsidR="00853B9D" w:rsidRPr="000A022D" w:rsidRDefault="00853B9D"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DIAGNOSTIKOS REAGENTŲ SU ANALIZATORIŲ PANAUDA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3A2B6E7F"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944A54">
              <w:rPr>
                <w:rFonts w:ascii="Times New Roman" w:eastAsia="Times New Roman" w:hAnsi="Times New Roman" w:cs="Times New Roman"/>
                <w:b/>
                <w:noProof/>
                <w:sz w:val="22"/>
                <w:szCs w:val="22"/>
              </w:rPr>
              <w:t xml:space="preserve"> </w:t>
            </w:r>
            <w:r w:rsidR="00853B9D">
              <w:rPr>
                <w:rFonts w:ascii="Times New Roman" w:eastAsia="Times New Roman" w:hAnsi="Times New Roman" w:cs="Times New Roman"/>
                <w:b/>
                <w:noProof/>
                <w:sz w:val="22"/>
                <w:szCs w:val="22"/>
              </w:rPr>
              <w:t xml:space="preserve">diagnostikos reagentų su analizatorių panauda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853B9D">
              <w:rPr>
                <w:rFonts w:ascii="Times New Roman" w:eastAsia="Times New Roman" w:hAnsi="Times New Roman" w:cs="Times New Roman"/>
                <w:b/>
                <w:noProof/>
                <w:sz w:val="22"/>
                <w:szCs w:val="22"/>
              </w:rPr>
              <w:t>33696500-0</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6B7F328D"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853B9D">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w:t>
            </w:r>
            <w:r w:rsidR="00853B9D">
              <w:rPr>
                <w:rFonts w:ascii="Times New Roman" w:eastAsia="Times New Roman" w:hAnsi="Times New Roman" w:cs="Times New Roman"/>
                <w:b/>
                <w:sz w:val="22"/>
                <w:szCs w:val="22"/>
              </w:rPr>
              <w:t xml:space="preserve"> vasario 12</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516880" w:rsidRDefault="0089160E" w:rsidP="0089160E">
            <w:pPr>
              <w:spacing w:line="256" w:lineRule="auto"/>
              <w:rPr>
                <w:rFonts w:ascii="Times New Roman" w:eastAsia="Times New Roman" w:hAnsi="Times New Roman" w:cs="Times New Roman"/>
                <w:iCs/>
                <w:sz w:val="22"/>
                <w:szCs w:val="22"/>
              </w:rPr>
            </w:pPr>
            <w:r w:rsidRPr="00516880">
              <w:rPr>
                <w:rFonts w:ascii="Times New Roman" w:eastAsia="Times New Roman" w:hAnsi="Times New Roman" w:cs="Times New Roman"/>
                <w:iCs/>
                <w:sz w:val="22"/>
                <w:szCs w:val="22"/>
              </w:rPr>
              <w:t>1) Prašome užpildyti pateikiamą klausimyną</w:t>
            </w:r>
            <w:r w:rsidR="00D446A0" w:rsidRPr="00516880">
              <w:rPr>
                <w:rFonts w:ascii="Times New Roman" w:eastAsia="Times New Roman" w:hAnsi="Times New Roman" w:cs="Times New Roman"/>
                <w:iCs/>
                <w:sz w:val="22"/>
                <w:szCs w:val="22"/>
              </w:rPr>
              <w:t>, priedą Nr. 2</w:t>
            </w:r>
            <w:r w:rsidRPr="00516880">
              <w:rPr>
                <w:rFonts w:ascii="Times New Roman" w:eastAsia="Times New Roman" w:hAnsi="Times New Roman" w:cs="Times New Roman"/>
                <w:iCs/>
                <w:sz w:val="22"/>
                <w:szCs w:val="22"/>
              </w:rPr>
              <w:t xml:space="preserve">. </w:t>
            </w:r>
          </w:p>
          <w:p w14:paraId="28A30850" w14:textId="1E11A20C" w:rsidR="0089160E" w:rsidRPr="00516880" w:rsidRDefault="0089160E" w:rsidP="0089160E">
            <w:pPr>
              <w:spacing w:line="256" w:lineRule="auto"/>
              <w:rPr>
                <w:rFonts w:ascii="Times New Roman" w:eastAsia="Times New Roman" w:hAnsi="Times New Roman" w:cs="Times New Roman"/>
                <w:iCs/>
                <w:sz w:val="22"/>
                <w:szCs w:val="22"/>
              </w:rPr>
            </w:pPr>
            <w:r w:rsidRPr="00516880">
              <w:rPr>
                <w:rFonts w:ascii="Times New Roman" w:eastAsia="Times New Roman" w:hAnsi="Times New Roman" w:cs="Times New Roman"/>
                <w:iCs/>
                <w:sz w:val="22"/>
                <w:szCs w:val="22"/>
              </w:rPr>
              <w:t>2) Prašome užpildyti techninę specifikaciją</w:t>
            </w:r>
            <w:r w:rsidR="00D446A0" w:rsidRPr="00516880">
              <w:rPr>
                <w:rFonts w:ascii="Times New Roman" w:eastAsia="Times New Roman" w:hAnsi="Times New Roman" w:cs="Times New Roman"/>
                <w:iCs/>
                <w:sz w:val="22"/>
                <w:szCs w:val="22"/>
              </w:rPr>
              <w:t xml:space="preserve"> (priedas Nr. 1)</w:t>
            </w:r>
            <w:r w:rsidRPr="00516880">
              <w:rPr>
                <w:rFonts w:ascii="Times New Roman" w:eastAsia="Times New Roman" w:hAnsi="Times New Roman" w:cs="Times New Roman"/>
                <w:iCs/>
                <w:sz w:val="22"/>
                <w:szCs w:val="22"/>
              </w:rPr>
              <w:t>, nurodydami galimos pasiūlyti įrangos techninius duomenis pagal perkančio</w:t>
            </w:r>
            <w:r w:rsidR="00D446A0" w:rsidRPr="00516880">
              <w:rPr>
                <w:rFonts w:ascii="Times New Roman" w:eastAsia="Times New Roman" w:hAnsi="Times New Roman" w:cs="Times New Roman"/>
                <w:iCs/>
                <w:sz w:val="22"/>
                <w:szCs w:val="22"/>
              </w:rPr>
              <w:t>sios organizacijos</w:t>
            </w:r>
            <w:r w:rsidRPr="00516880">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516880">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6A2C8180"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pirkimo objekto –</w:t>
            </w:r>
            <w:r w:rsidR="00853B9D">
              <w:rPr>
                <w:rFonts w:ascii="Times New Roman" w:hAnsi="Times New Roman" w:cs="Times New Roman"/>
                <w:sz w:val="22"/>
                <w:szCs w:val="22"/>
              </w:rPr>
              <w:t>V</w:t>
            </w:r>
            <w:r w:rsidR="005F0657">
              <w:rPr>
                <w:rFonts w:ascii="Times New Roman" w:hAnsi="Times New Roman" w:cs="Times New Roman"/>
                <w:sz w:val="22"/>
                <w:szCs w:val="22"/>
              </w:rPr>
              <w:t>yr. laborantė Rita Apanavičienė</w:t>
            </w:r>
            <w:r w:rsidR="00855E75">
              <w:rPr>
                <w:rFonts w:ascii="Times New Roman" w:hAnsi="Times New Roman" w:cs="Times New Roman"/>
                <w:sz w:val="22"/>
                <w:szCs w:val="22"/>
              </w:rPr>
              <w:t xml:space="preserve">, </w:t>
            </w:r>
            <w:r w:rsidR="00B32AA7">
              <w:rPr>
                <w:rFonts w:ascii="Times New Roman" w:hAnsi="Times New Roman" w:cs="Times New Roman"/>
                <w:sz w:val="22"/>
                <w:szCs w:val="22"/>
              </w:rPr>
              <w:t xml:space="preserve">el. paštas </w:t>
            </w:r>
            <w:hyperlink r:id="rId5" w:history="1">
              <w:r w:rsidR="005F0657" w:rsidRPr="005F0657">
                <w:rPr>
                  <w:rStyle w:val="Hyperlink"/>
                  <w:rFonts w:ascii="Times New Roman" w:hAnsi="Times New Roman" w:cs="Times New Roman"/>
                  <w:sz w:val="24"/>
                  <w:szCs w:val="24"/>
                </w:rPr>
                <w:t>r.apanaviciene</w:t>
              </w:r>
              <w:r w:rsidR="005F0657" w:rsidRPr="005F0657">
                <w:rPr>
                  <w:rStyle w:val="Hyperlink"/>
                  <w:rFonts w:ascii="Times New Roman" w:hAnsi="Times New Roman" w:cs="Times New Roman"/>
                  <w:sz w:val="24"/>
                  <w:szCs w:val="24"/>
                  <w:lang w:val="en-US"/>
                </w:rPr>
                <w:t>@druskligonine.lt</w:t>
              </w:r>
            </w:hyperlink>
            <w:r w:rsidR="00855E75" w:rsidRPr="005F0657">
              <w:rPr>
                <w:rFonts w:ascii="Times New Roman" w:hAnsi="Times New Roman" w:cs="Times New Roman"/>
                <w:sz w:val="24"/>
                <w:szCs w:val="24"/>
                <w:lang w:val="en-US"/>
              </w:rPr>
              <w:t>,</w:t>
            </w:r>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w:t>
            </w:r>
            <w:r w:rsidR="005F0657">
              <w:rPr>
                <w:rFonts w:ascii="Times New Roman" w:hAnsi="Times New Roman" w:cs="Times New Roman"/>
                <w:sz w:val="22"/>
                <w:szCs w:val="22"/>
              </w:rPr>
              <w:t>313 59 145</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210A"/>
    <w:rsid w:val="000B48F8"/>
    <w:rsid w:val="000C76E8"/>
    <w:rsid w:val="000D2588"/>
    <w:rsid w:val="000D5C6D"/>
    <w:rsid w:val="000E0661"/>
    <w:rsid w:val="000E7D21"/>
    <w:rsid w:val="000F74FA"/>
    <w:rsid w:val="00121FE2"/>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24F8E"/>
    <w:rsid w:val="00441BCE"/>
    <w:rsid w:val="004B2DAC"/>
    <w:rsid w:val="00516880"/>
    <w:rsid w:val="005427C6"/>
    <w:rsid w:val="00542FFC"/>
    <w:rsid w:val="00555939"/>
    <w:rsid w:val="00556162"/>
    <w:rsid w:val="005605C6"/>
    <w:rsid w:val="005C185B"/>
    <w:rsid w:val="005F0657"/>
    <w:rsid w:val="00605876"/>
    <w:rsid w:val="00644123"/>
    <w:rsid w:val="0065708F"/>
    <w:rsid w:val="00665E1A"/>
    <w:rsid w:val="0067173E"/>
    <w:rsid w:val="00677A7C"/>
    <w:rsid w:val="00730DA5"/>
    <w:rsid w:val="007B4BA8"/>
    <w:rsid w:val="007C1F79"/>
    <w:rsid w:val="007C2980"/>
    <w:rsid w:val="007F43A0"/>
    <w:rsid w:val="00852462"/>
    <w:rsid w:val="00853B9D"/>
    <w:rsid w:val="00855E75"/>
    <w:rsid w:val="00861B88"/>
    <w:rsid w:val="0089160E"/>
    <w:rsid w:val="00891F5C"/>
    <w:rsid w:val="008D39DC"/>
    <w:rsid w:val="0093683E"/>
    <w:rsid w:val="00944A54"/>
    <w:rsid w:val="00950EEB"/>
    <w:rsid w:val="009641F3"/>
    <w:rsid w:val="009B4246"/>
    <w:rsid w:val="00AC0A8D"/>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26271"/>
    <w:rsid w:val="00D31C9A"/>
    <w:rsid w:val="00D446A0"/>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panavic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2966</Words>
  <Characters>1691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3</cp:revision>
  <cp:lastPrinted>2022-05-02T12:42:00Z</cp:lastPrinted>
  <dcterms:created xsi:type="dcterms:W3CDTF">2026-02-05T09:36:00Z</dcterms:created>
  <dcterms:modified xsi:type="dcterms:W3CDTF">2026-02-05T09:40:00Z</dcterms:modified>
</cp:coreProperties>
</file>