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A07E" w14:textId="77777777" w:rsidR="00354369" w:rsidRDefault="00354369" w:rsidP="00354369">
      <w:pPr>
        <w:pStyle w:val="Heading20"/>
        <w:keepNext/>
        <w:keepLines/>
        <w:shd w:val="clear" w:color="auto" w:fill="auto"/>
        <w:tabs>
          <w:tab w:val="left" w:pos="851"/>
        </w:tabs>
        <w:spacing w:after="0"/>
      </w:pPr>
      <w:bookmarkStart w:id="0" w:name="bookmark20"/>
      <w:bookmarkStart w:id="1" w:name="bookmark21"/>
      <w:r w:rsidRPr="00FC49E6">
        <w:t>SPECIALIOS</w:t>
      </w:r>
      <w:r>
        <w:t>IOS</w:t>
      </w:r>
      <w:r w:rsidRPr="00FC49E6">
        <w:t xml:space="preserve"> PASKIRTIES TECHNINĖS ĮRANGOS</w:t>
      </w:r>
      <w:bookmarkEnd w:id="0"/>
      <w:bookmarkEnd w:id="1"/>
    </w:p>
    <w:p w14:paraId="4C2DD984" w14:textId="77777777" w:rsidR="00354369" w:rsidRDefault="00354369" w:rsidP="00354369">
      <w:pPr>
        <w:pStyle w:val="Heading20"/>
        <w:keepNext/>
        <w:keepLines/>
        <w:shd w:val="clear" w:color="auto" w:fill="auto"/>
        <w:tabs>
          <w:tab w:val="left" w:pos="851"/>
        </w:tabs>
        <w:spacing w:after="0"/>
        <w:ind w:left="851" w:hanging="709"/>
      </w:pPr>
      <w:r w:rsidRPr="00FC49E6">
        <w:t>SPECIFIKACIJA</w:t>
      </w:r>
    </w:p>
    <w:p w14:paraId="15FE6B55" w14:textId="77777777" w:rsidR="00354369" w:rsidRDefault="00354369" w:rsidP="00354369">
      <w:pPr>
        <w:pStyle w:val="Heading20"/>
        <w:keepNext/>
        <w:keepLines/>
        <w:shd w:val="clear" w:color="auto" w:fill="auto"/>
        <w:tabs>
          <w:tab w:val="left" w:pos="851"/>
        </w:tabs>
        <w:spacing w:after="0"/>
        <w:ind w:left="851" w:hanging="709"/>
      </w:pPr>
    </w:p>
    <w:p w14:paraId="28B367FE" w14:textId="77777777" w:rsidR="00354369" w:rsidRPr="00445A6C" w:rsidRDefault="00354369" w:rsidP="00354369">
      <w:pPr>
        <w:pStyle w:val="Pagrindinistekstas"/>
        <w:numPr>
          <w:ilvl w:val="0"/>
          <w:numId w:val="1"/>
        </w:numPr>
        <w:shd w:val="clear" w:color="auto" w:fill="auto"/>
        <w:tabs>
          <w:tab w:val="left" w:pos="851"/>
        </w:tabs>
        <w:rPr>
          <w:b/>
        </w:rPr>
      </w:pPr>
      <w:r w:rsidRPr="00445A6C">
        <w:rPr>
          <w:b/>
        </w:rPr>
        <w:t>Bendrieji reikalavimai:</w:t>
      </w:r>
    </w:p>
    <w:p w14:paraId="05A9368C"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 xml:space="preserve">visa pateikiama techninė įranga privalo būti nauja (negali būti atnaujinta, restauruota (angl. </w:t>
      </w:r>
      <w:proofErr w:type="spellStart"/>
      <w:r w:rsidRPr="00FC49E6">
        <w:rPr>
          <w:i/>
          <w:iCs/>
        </w:rPr>
        <w:t>refurbished</w:t>
      </w:r>
      <w:proofErr w:type="spellEnd"/>
      <w:r w:rsidRPr="00FC49E6">
        <w:t>), nenaudota, pateikta nepažeistoje gamyklinėje pakuotėje);</w:t>
      </w:r>
    </w:p>
    <w:p w14:paraId="479E3FF9"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 xml:space="preserve">tiekėjas turi užtikrinti, kad gamintojas nėra paskelbęs žinios apie siūlomos įrangos gamybos arba tobulinimo nutraukimą (pvz., angl. </w:t>
      </w:r>
      <w:proofErr w:type="spellStart"/>
      <w:r w:rsidRPr="00FC49E6">
        <w:rPr>
          <w:i/>
          <w:iCs/>
        </w:rPr>
        <w:t>End</w:t>
      </w:r>
      <w:proofErr w:type="spellEnd"/>
      <w:r w:rsidRPr="00FC49E6">
        <w:rPr>
          <w:i/>
          <w:iCs/>
        </w:rPr>
        <w:t xml:space="preserve"> of </w:t>
      </w:r>
      <w:proofErr w:type="spellStart"/>
      <w:r w:rsidRPr="00FC49E6">
        <w:rPr>
          <w:i/>
          <w:iCs/>
        </w:rPr>
        <w:t>Life</w:t>
      </w:r>
      <w:proofErr w:type="spellEnd"/>
      <w:r w:rsidRPr="00FC49E6">
        <w:rPr>
          <w:i/>
          <w:iCs/>
        </w:rPr>
        <w:t xml:space="preserve"> </w:t>
      </w:r>
      <w:proofErr w:type="spellStart"/>
      <w:r w:rsidRPr="00FC49E6">
        <w:rPr>
          <w:i/>
          <w:iCs/>
        </w:rPr>
        <w:t>time</w:t>
      </w:r>
      <w:proofErr w:type="spellEnd"/>
      <w:r w:rsidRPr="00FC49E6">
        <w:t xml:space="preserve"> ar </w:t>
      </w:r>
      <w:proofErr w:type="spellStart"/>
      <w:r w:rsidRPr="00FC49E6">
        <w:rPr>
          <w:i/>
          <w:iCs/>
        </w:rPr>
        <w:t>Discontinued</w:t>
      </w:r>
      <w:proofErr w:type="spellEnd"/>
      <w:r w:rsidRPr="00FC49E6">
        <w:t>);</w:t>
      </w:r>
    </w:p>
    <w:p w14:paraId="1D090641"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tiekėjas turi pateikti nuorodą į gamintojo puslapį, kuriame yra tiksli pasiūlymą atitinkančios techninės ar programinės įrangos techninė specifikacija;</w:t>
      </w:r>
    </w:p>
    <w:p w14:paraId="7E41BA6F"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įrangos dokumentai turi būti lietuvių arba anglų kalba. Užrašai ant įrenginio ir jo dalių turi būti anglų arba lietuvių kalba. Gamintojo interneto svetainėje tvarkyklių ir dokumentų paieška atliekama anglų arba lietuvių kalba;</w:t>
      </w:r>
    </w:p>
    <w:p w14:paraId="3A9A37D3"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tiekėjas į savo pasiūlymą turi įtraukti visą aparatinę ir programinę įrangą bei medžiagas, reikalingas šioje specifikacijoje nurodytiems reikalavimams įvykdyti;</w:t>
      </w:r>
    </w:p>
    <w:p w14:paraId="495C6B19"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visos programinės įrangos licencija turi būti suteikiama neribotam laikui (jei nenurodyta kitaip);</w:t>
      </w:r>
    </w:p>
    <w:p w14:paraId="798588ED"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visos techninės įrangos maitinimo įtampa turi būti 230V 50Hz su Europos kontinentinėje dalyje naudojama jungtimi (</w:t>
      </w:r>
      <w:r w:rsidRPr="00FC49E6">
        <w:rPr>
          <w:i/>
          <w:iCs/>
        </w:rPr>
        <w:t>CEE 7/7</w:t>
      </w:r>
      <w:r w:rsidRPr="00FC49E6">
        <w:t>) (jei nenurodyta kitaip);</w:t>
      </w:r>
    </w:p>
    <w:p w14:paraId="12E2ED0D"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techninė įranga privalo veikti be sutrikimų, kai temperatūros režimas techninės įrangos įdiegimo patalpoje yra nuo +10 °C iki +40 °C, o santykinė oro drėgmė - 70 proc. ir mažesnė (jei nenurodyta kitaip);</w:t>
      </w:r>
    </w:p>
    <w:p w14:paraId="26ACD66E" w14:textId="77777777" w:rsidR="00354369" w:rsidRPr="00FC49E6" w:rsidRDefault="00354369" w:rsidP="00354369">
      <w:pPr>
        <w:pStyle w:val="Pagrindinistekstas"/>
        <w:numPr>
          <w:ilvl w:val="1"/>
          <w:numId w:val="1"/>
        </w:numPr>
        <w:shd w:val="clear" w:color="auto" w:fill="auto"/>
        <w:tabs>
          <w:tab w:val="left" w:pos="851"/>
          <w:tab w:val="left" w:pos="1082"/>
        </w:tabs>
        <w:jc w:val="both"/>
      </w:pPr>
      <w:r w:rsidRPr="00FC49E6">
        <w:t xml:space="preserve">Gamintojo įranga (iki </w:t>
      </w:r>
      <w:proofErr w:type="spellStart"/>
      <w:r w:rsidRPr="00FC49E6">
        <w:t>Tempest</w:t>
      </w:r>
      <w:proofErr w:type="spellEnd"/>
      <w:r w:rsidRPr="00FC49E6">
        <w:t xml:space="preserve"> sertifikavimo laboratorijoje) turi atitikti energijos vartojimo efektyvumo reikalavimus, nustatytus Europos Komisijos 2013 m. birželio 26 d. reglamentu Nr. 617/2013, kuriuo įgyvendinant Europos Parlamento ir Tarybos direktyvą 2009/125/EB nustatomi kompiuterių ir serverių ekologinio projektavimo reikalavimai.</w:t>
      </w:r>
    </w:p>
    <w:p w14:paraId="4FAAF11C" w14:textId="77777777" w:rsidR="00354369" w:rsidRPr="00FC49E6" w:rsidRDefault="00354369" w:rsidP="00354369">
      <w:pPr>
        <w:pStyle w:val="Pagrindinistekstas"/>
        <w:numPr>
          <w:ilvl w:val="1"/>
          <w:numId w:val="1"/>
        </w:numPr>
        <w:shd w:val="clear" w:color="auto" w:fill="auto"/>
        <w:tabs>
          <w:tab w:val="left" w:pos="851"/>
          <w:tab w:val="left" w:pos="1216"/>
        </w:tabs>
        <w:jc w:val="both"/>
      </w:pPr>
      <w:r w:rsidRPr="00FC49E6">
        <w:t>saugumo reikalavimai (netaikoma programinei įrangai):</w:t>
      </w:r>
    </w:p>
    <w:p w14:paraId="6BF08D05" w14:textId="77777777" w:rsidR="00354369" w:rsidRPr="00FC49E6" w:rsidRDefault="00354369" w:rsidP="00354369">
      <w:pPr>
        <w:pStyle w:val="Pagrindinistekstas"/>
        <w:numPr>
          <w:ilvl w:val="2"/>
          <w:numId w:val="1"/>
        </w:numPr>
        <w:shd w:val="clear" w:color="auto" w:fill="auto"/>
        <w:tabs>
          <w:tab w:val="left" w:pos="851"/>
          <w:tab w:val="left" w:pos="1401"/>
        </w:tabs>
        <w:jc w:val="both"/>
      </w:pPr>
      <w:r w:rsidRPr="00FC49E6">
        <w:t xml:space="preserve">standieji ar puslaidininkiniai diskai (angl. </w:t>
      </w:r>
      <w:r w:rsidRPr="00FC49E6">
        <w:rPr>
          <w:i/>
          <w:iCs/>
        </w:rPr>
        <w:t>HDD/SSD</w:t>
      </w:r>
      <w:r w:rsidRPr="00FC49E6">
        <w:t>), jeigu tokie yra, ar kitos atminties laikmenos gedimo atveju turi būti keičiamos naujomis. Sugedusios atminties laikmenos sunaikinamos pirkėjo patalpose ir tiekėjui negrąžinamos;</w:t>
      </w:r>
    </w:p>
    <w:p w14:paraId="065EEE75" w14:textId="77777777" w:rsidR="00354369" w:rsidRPr="00FC49E6" w:rsidRDefault="00354369" w:rsidP="00354369">
      <w:pPr>
        <w:pStyle w:val="Pagrindinistekstas"/>
        <w:numPr>
          <w:ilvl w:val="2"/>
          <w:numId w:val="1"/>
        </w:numPr>
        <w:shd w:val="clear" w:color="auto" w:fill="auto"/>
        <w:tabs>
          <w:tab w:val="left" w:pos="851"/>
          <w:tab w:val="left" w:pos="1401"/>
        </w:tabs>
        <w:jc w:val="both"/>
      </w:pPr>
      <w:r w:rsidRPr="00FC49E6">
        <w:t xml:space="preserve">įrangos gedimo atveju iš instaliacijos vietos remontui išvežamą pas tiekėją (jo atstovą) sugedusią įrangą pirkėjas pateikia be joje sumontuotų standžiųjų ar puslaidininkinių diskų (angl. </w:t>
      </w:r>
      <w:r w:rsidRPr="00FC49E6">
        <w:rPr>
          <w:i/>
          <w:iCs/>
        </w:rPr>
        <w:t>HDD/SSD</w:t>
      </w:r>
      <w:r w:rsidRPr="00FC49E6">
        <w:t>) ar kitų atminties laikmenų.</w:t>
      </w:r>
    </w:p>
    <w:p w14:paraId="02EEB8E1" w14:textId="77777777" w:rsidR="00354369" w:rsidRPr="00FC49E6" w:rsidRDefault="00354369" w:rsidP="00354369">
      <w:pPr>
        <w:pStyle w:val="Pagrindinistekstas"/>
        <w:numPr>
          <w:ilvl w:val="1"/>
          <w:numId w:val="1"/>
        </w:numPr>
        <w:shd w:val="clear" w:color="auto" w:fill="auto"/>
        <w:tabs>
          <w:tab w:val="left" w:pos="851"/>
          <w:tab w:val="left" w:pos="1198"/>
        </w:tabs>
        <w:jc w:val="both"/>
      </w:pPr>
      <w:r w:rsidRPr="00FC49E6">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p w14:paraId="1B372FF6" w14:textId="77777777" w:rsidR="00354369" w:rsidRPr="00FC49E6" w:rsidRDefault="00354369" w:rsidP="00354369">
      <w:pPr>
        <w:pStyle w:val="Pagrindinistekstas"/>
        <w:numPr>
          <w:ilvl w:val="2"/>
          <w:numId w:val="1"/>
        </w:numPr>
        <w:shd w:val="clear" w:color="auto" w:fill="auto"/>
        <w:tabs>
          <w:tab w:val="left" w:pos="851"/>
          <w:tab w:val="left" w:pos="1401"/>
        </w:tabs>
        <w:jc w:val="both"/>
      </w:pPr>
      <w:r w:rsidRPr="00FC49E6">
        <w:t>įranga grąžinama tiekėjui arba keičiama nauja lygiaverte ar geresne, tačiau saugumo reikalavimus atitinkančia įranga;</w:t>
      </w:r>
    </w:p>
    <w:p w14:paraId="2F37A7E5" w14:textId="77777777" w:rsidR="00354369" w:rsidRPr="00FC49E6" w:rsidRDefault="00354369" w:rsidP="00354369">
      <w:pPr>
        <w:pStyle w:val="Pagrindinistekstas"/>
        <w:numPr>
          <w:ilvl w:val="2"/>
          <w:numId w:val="1"/>
        </w:numPr>
        <w:shd w:val="clear" w:color="auto" w:fill="auto"/>
        <w:tabs>
          <w:tab w:val="left" w:pos="851"/>
          <w:tab w:val="left" w:pos="1401"/>
        </w:tabs>
      </w:pPr>
      <w:r w:rsidRPr="00FC49E6">
        <w:t>tiekėjas padengia pirkimo proceso metu pirkėjo patirtą materialinę žalą.</w:t>
      </w:r>
    </w:p>
    <w:p w14:paraId="0530B72A" w14:textId="77777777" w:rsidR="00354369" w:rsidRPr="00FC49E6" w:rsidRDefault="00354369" w:rsidP="00354369">
      <w:pPr>
        <w:pStyle w:val="Pagrindinistekstas"/>
        <w:numPr>
          <w:ilvl w:val="1"/>
          <w:numId w:val="1"/>
        </w:numPr>
        <w:shd w:val="clear" w:color="auto" w:fill="auto"/>
        <w:tabs>
          <w:tab w:val="left" w:pos="851"/>
          <w:tab w:val="left" w:pos="1401"/>
        </w:tabs>
      </w:pPr>
      <w:r w:rsidRPr="00FC49E6">
        <w:t>Garantija (jei nenurodyta kitaip):</w:t>
      </w:r>
    </w:p>
    <w:p w14:paraId="38EF77DC" w14:textId="77777777" w:rsidR="00354369" w:rsidRPr="00FC49E6" w:rsidRDefault="00354369" w:rsidP="00354369">
      <w:pPr>
        <w:pStyle w:val="Pagrindinistekstas"/>
        <w:numPr>
          <w:ilvl w:val="2"/>
          <w:numId w:val="1"/>
        </w:numPr>
        <w:shd w:val="clear" w:color="auto" w:fill="auto"/>
        <w:tabs>
          <w:tab w:val="left" w:pos="851"/>
          <w:tab w:val="left" w:pos="1401"/>
        </w:tabs>
        <w:spacing w:after="120"/>
        <w:jc w:val="both"/>
      </w:pPr>
      <w:r w:rsidRPr="00FC49E6">
        <w:t xml:space="preserve">tiekiamai įrangai turi būti suteikta garantija ne trumpesniam kaip </w:t>
      </w:r>
      <w:r>
        <w:t>60</w:t>
      </w:r>
      <w:r w:rsidRPr="00FC49E6">
        <w:t xml:space="preserve"> mėn. laikotarpiui;</w:t>
      </w:r>
    </w:p>
    <w:p w14:paraId="55D61633" w14:textId="77777777" w:rsidR="00354369" w:rsidRPr="00FC49E6" w:rsidRDefault="00354369" w:rsidP="00354369">
      <w:pPr>
        <w:pStyle w:val="Pagrindinistekstas"/>
        <w:numPr>
          <w:ilvl w:val="2"/>
          <w:numId w:val="1"/>
        </w:numPr>
        <w:shd w:val="clear" w:color="auto" w:fill="auto"/>
        <w:tabs>
          <w:tab w:val="left" w:pos="851"/>
          <w:tab w:val="left" w:pos="1405"/>
        </w:tabs>
        <w:jc w:val="both"/>
      </w:pPr>
      <w:r w:rsidRPr="00FC49E6">
        <w:t>garantinio remonto trukmė - ne ilgiau kaip 45 kalendorinių dienų. Jei sugedusios įrangos per šį laikotarpį pataisyti neįmanoma, ji pakeičiama ekvivalentiška nauja;</w:t>
      </w:r>
    </w:p>
    <w:p w14:paraId="111E9638" w14:textId="77777777" w:rsidR="00354369" w:rsidRPr="00FC49E6" w:rsidRDefault="00354369" w:rsidP="00354369">
      <w:pPr>
        <w:pStyle w:val="Pagrindinistekstas"/>
        <w:numPr>
          <w:ilvl w:val="2"/>
          <w:numId w:val="1"/>
        </w:numPr>
        <w:shd w:val="clear" w:color="auto" w:fill="auto"/>
        <w:tabs>
          <w:tab w:val="left" w:pos="851"/>
          <w:tab w:val="left" w:pos="1390"/>
        </w:tabs>
        <w:jc w:val="both"/>
      </w:pPr>
      <w:r w:rsidRPr="00FC49E6">
        <w:t>siūlomos įrangos techninė priežiūra turi būti atliekama tik įrangos gamintojo sertifikuotuose techninės priežiūros centruose;</w:t>
      </w:r>
    </w:p>
    <w:p w14:paraId="5D75A734" w14:textId="77777777" w:rsidR="00354369" w:rsidRPr="00FC49E6" w:rsidRDefault="00354369" w:rsidP="00354369">
      <w:pPr>
        <w:pStyle w:val="Pagrindinistekstas"/>
        <w:numPr>
          <w:ilvl w:val="2"/>
          <w:numId w:val="1"/>
        </w:numPr>
        <w:shd w:val="clear" w:color="auto" w:fill="auto"/>
        <w:tabs>
          <w:tab w:val="left" w:pos="851"/>
          <w:tab w:val="left" w:pos="1395"/>
        </w:tabs>
        <w:jc w:val="both"/>
      </w:pPr>
      <w:r w:rsidRPr="00FC49E6">
        <w:t>garantinis laikotarpis skaičiuojamas nuo priėmimo-perdavimo akto pasirašymo dienos;</w:t>
      </w:r>
    </w:p>
    <w:p w14:paraId="059C4CF6" w14:textId="77777777" w:rsidR="00354369" w:rsidRPr="00FC49E6" w:rsidRDefault="00354369" w:rsidP="00354369">
      <w:pPr>
        <w:pStyle w:val="Pagrindinistekstas"/>
        <w:numPr>
          <w:ilvl w:val="2"/>
          <w:numId w:val="1"/>
        </w:numPr>
        <w:shd w:val="clear" w:color="auto" w:fill="auto"/>
        <w:tabs>
          <w:tab w:val="left" w:pos="851"/>
          <w:tab w:val="left" w:pos="1405"/>
        </w:tabs>
        <w:jc w:val="both"/>
      </w:pPr>
      <w:r w:rsidRPr="00FC49E6">
        <w:t>garantiniu laikotarpiu tiekėjas privalo atlikti darbus savo lėšomis, įskaitant transportavimo išlaidas.</w:t>
      </w:r>
    </w:p>
    <w:p w14:paraId="5AD599F1" w14:textId="5014A9A4" w:rsidR="00354369" w:rsidRDefault="00354369" w:rsidP="00354369">
      <w:pPr>
        <w:pStyle w:val="Pagrindinistekstas"/>
        <w:numPr>
          <w:ilvl w:val="1"/>
          <w:numId w:val="1"/>
        </w:numPr>
        <w:shd w:val="clear" w:color="auto" w:fill="auto"/>
        <w:tabs>
          <w:tab w:val="left" w:pos="851"/>
          <w:tab w:val="left" w:pos="1260"/>
        </w:tabs>
      </w:pPr>
      <w:r w:rsidRPr="00FC49E6">
        <w:t>Pirkimo objektas (prekės) turi nekelti grėsmės nacionaliniam saugumui</w:t>
      </w:r>
      <w:r>
        <w:t>.</w:t>
      </w:r>
    </w:p>
    <w:sectPr w:rsidR="003543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D4450"/>
    <w:multiLevelType w:val="multilevel"/>
    <w:tmpl w:val="7B0AA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378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69"/>
    <w:rsid w:val="00354369"/>
    <w:rsid w:val="004F4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BFB1"/>
  <w15:chartTrackingRefBased/>
  <w15:docId w15:val="{3AA5ADC9-6A38-4676-911E-8B92B46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54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4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43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43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43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43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43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43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43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43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43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43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43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43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43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43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43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43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4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43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43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43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43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4369"/>
    <w:rPr>
      <w:i/>
      <w:iCs/>
      <w:color w:val="404040" w:themeColor="text1" w:themeTint="BF"/>
    </w:rPr>
  </w:style>
  <w:style w:type="paragraph" w:styleId="Sraopastraipa">
    <w:name w:val="List Paragraph"/>
    <w:basedOn w:val="prastasis"/>
    <w:uiPriority w:val="34"/>
    <w:qFormat/>
    <w:rsid w:val="00354369"/>
    <w:pPr>
      <w:ind w:left="720"/>
      <w:contextualSpacing/>
    </w:pPr>
  </w:style>
  <w:style w:type="character" w:styleId="Rykuspabraukimas">
    <w:name w:val="Intense Emphasis"/>
    <w:basedOn w:val="Numatytasispastraiposriftas"/>
    <w:uiPriority w:val="21"/>
    <w:qFormat/>
    <w:rsid w:val="00354369"/>
    <w:rPr>
      <w:i/>
      <w:iCs/>
      <w:color w:val="0F4761" w:themeColor="accent1" w:themeShade="BF"/>
    </w:rPr>
  </w:style>
  <w:style w:type="paragraph" w:styleId="Iskirtacitata">
    <w:name w:val="Intense Quote"/>
    <w:basedOn w:val="prastasis"/>
    <w:next w:val="prastasis"/>
    <w:link w:val="IskirtacitataDiagrama"/>
    <w:uiPriority w:val="30"/>
    <w:qFormat/>
    <w:rsid w:val="00354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4369"/>
    <w:rPr>
      <w:i/>
      <w:iCs/>
      <w:color w:val="0F4761" w:themeColor="accent1" w:themeShade="BF"/>
    </w:rPr>
  </w:style>
  <w:style w:type="character" w:styleId="Rykinuoroda">
    <w:name w:val="Intense Reference"/>
    <w:basedOn w:val="Numatytasispastraiposriftas"/>
    <w:uiPriority w:val="32"/>
    <w:qFormat/>
    <w:rsid w:val="00354369"/>
    <w:rPr>
      <w:b/>
      <w:bCs/>
      <w:smallCaps/>
      <w:color w:val="0F4761" w:themeColor="accent1" w:themeShade="BF"/>
      <w:spacing w:val="5"/>
    </w:rPr>
  </w:style>
  <w:style w:type="character" w:customStyle="1" w:styleId="PagrindinistekstasDiagrama">
    <w:name w:val="Pagrindinis tekstas Diagrama"/>
    <w:link w:val="Pagrindinistekstas"/>
    <w:rsid w:val="00354369"/>
    <w:rPr>
      <w:rFonts w:ascii="Times New Roman" w:eastAsia="Times New Roman" w:hAnsi="Times New Roman" w:cs="Times New Roman"/>
      <w:shd w:val="clear" w:color="auto" w:fill="FFFFFF"/>
    </w:rPr>
  </w:style>
  <w:style w:type="character" w:customStyle="1" w:styleId="Heading2">
    <w:name w:val="Heading #2_"/>
    <w:link w:val="Heading20"/>
    <w:rsid w:val="00354369"/>
    <w:rPr>
      <w:rFonts w:ascii="Times New Roman" w:eastAsia="Times New Roman" w:hAnsi="Times New Roman" w:cs="Times New Roman"/>
      <w:b/>
      <w:bCs/>
      <w:shd w:val="clear" w:color="auto" w:fill="FFFFFF"/>
    </w:rPr>
  </w:style>
  <w:style w:type="paragraph" w:styleId="Pagrindinistekstas">
    <w:name w:val="Body Text"/>
    <w:basedOn w:val="prastasis"/>
    <w:link w:val="PagrindinistekstasDiagrama"/>
    <w:qFormat/>
    <w:rsid w:val="00354369"/>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354369"/>
  </w:style>
  <w:style w:type="paragraph" w:customStyle="1" w:styleId="Heading20">
    <w:name w:val="Heading #2"/>
    <w:basedOn w:val="prastasis"/>
    <w:link w:val="Heading2"/>
    <w:rsid w:val="00354369"/>
    <w:pPr>
      <w:widowControl w:val="0"/>
      <w:shd w:val="clear" w:color="auto" w:fill="FFFFFF"/>
      <w:spacing w:after="260" w:line="240" w:lineRule="auto"/>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2187</Words>
  <Characters>1248</Characters>
  <Application>Microsoft Office Word</Application>
  <DocSecurity>0</DocSecurity>
  <Lines>10</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2026-01-21T06:51:00Z</dcterms:created>
  <dc:creator>Justas Gaidys</dc:creator>
  <cp:lastModifiedBy>Justas Gaidys</cp:lastModifiedBy>
  <dcterms:modified xsi:type="dcterms:W3CDTF">2026-01-21T06:52:00Z</dcterms:modified>
  <cp:revision>1</cp:revision>
</cp:coreProperties>
</file>