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392F" w14:textId="77777777" w:rsidR="00160EEF" w:rsidRPr="00160EEF" w:rsidRDefault="00160EEF" w:rsidP="00160EEF">
      <w:pPr>
        <w:rPr>
          <w:rFonts w:ascii="Times New Roman" w:hAnsi="Times New Roman" w:cs="Times New Roman"/>
        </w:rPr>
      </w:pPr>
    </w:p>
    <w:p w14:paraId="14BCCCB1" w14:textId="4C60142D" w:rsidR="00160EEF" w:rsidRPr="00160EEF" w:rsidRDefault="00160EEF" w:rsidP="00160EEF">
      <w:pPr>
        <w:jc w:val="center"/>
        <w:rPr>
          <w:rFonts w:ascii="Times New Roman" w:hAnsi="Times New Roman" w:cs="Times New Roman"/>
          <w:b/>
        </w:rPr>
      </w:pPr>
      <w:r w:rsidRPr="00160EEF">
        <w:rPr>
          <w:rFonts w:ascii="Times New Roman" w:hAnsi="Times New Roman" w:cs="Times New Roman"/>
          <w:b/>
        </w:rPr>
        <w:t>„KLAIPĖDOS MIESTO GATVIŲ APŠVIETIMO SISTEMOS MODERNIZAVIMAS“ (PIRKIMO ID 6184344)</w:t>
      </w:r>
    </w:p>
    <w:p w14:paraId="1FC8460D" w14:textId="77777777" w:rsidR="00B01946" w:rsidRDefault="00160EEF" w:rsidP="00B01946">
      <w:pPr>
        <w:spacing w:after="0" w:line="240" w:lineRule="auto"/>
        <w:jc w:val="center"/>
        <w:rPr>
          <w:rFonts w:ascii="Times New Roman" w:hAnsi="Times New Roman" w:cs="Times New Roman"/>
        </w:rPr>
      </w:pPr>
      <w:r w:rsidRPr="00160EEF">
        <w:rPr>
          <w:rFonts w:ascii="Times New Roman" w:hAnsi="Times New Roman" w:cs="Times New Roman"/>
        </w:rPr>
        <w:t>Atsakymai į suinteresuotų tiekėjų pateiktus klausimus, prašymus patikslinti pirkimo dokumentus,</w:t>
      </w:r>
    </w:p>
    <w:p w14:paraId="7FAF9E9D" w14:textId="743B3E0C" w:rsidR="00726703" w:rsidRDefault="00160EEF" w:rsidP="00B01946">
      <w:pPr>
        <w:spacing w:after="0" w:line="240" w:lineRule="auto"/>
        <w:jc w:val="center"/>
        <w:rPr>
          <w:rFonts w:ascii="Times New Roman" w:hAnsi="Times New Roman" w:cs="Times New Roman"/>
        </w:rPr>
      </w:pPr>
      <w:r w:rsidRPr="00160EEF">
        <w:rPr>
          <w:rFonts w:ascii="Times New Roman" w:hAnsi="Times New Roman" w:cs="Times New Roman"/>
        </w:rPr>
        <w:t xml:space="preserve">pirkimo dokumentų paaiškinimas, patikslinimas Nr. </w:t>
      </w:r>
      <w:r w:rsidR="007A618E">
        <w:rPr>
          <w:rFonts w:ascii="Times New Roman" w:hAnsi="Times New Roman" w:cs="Times New Roman"/>
        </w:rPr>
        <w:t>2</w:t>
      </w:r>
      <w:r w:rsidRPr="00160EEF">
        <w:rPr>
          <w:rFonts w:ascii="Times New Roman" w:hAnsi="Times New Roman" w:cs="Times New Roman"/>
        </w:rPr>
        <w:t>:</w:t>
      </w:r>
    </w:p>
    <w:p w14:paraId="1F80A41D" w14:textId="2524AED9" w:rsidR="00160EEF" w:rsidRDefault="00160EEF">
      <w:pPr>
        <w:rPr>
          <w:rFonts w:ascii="Times New Roman" w:hAnsi="Times New Roman" w:cs="Times New Roman"/>
        </w:rPr>
      </w:pPr>
    </w:p>
    <w:tbl>
      <w:tblPr>
        <w:tblStyle w:val="Lentelstinklelis"/>
        <w:tblW w:w="14029" w:type="dxa"/>
        <w:tblLayout w:type="fixed"/>
        <w:tblLook w:val="04A0" w:firstRow="1" w:lastRow="0" w:firstColumn="1" w:lastColumn="0" w:noHBand="0" w:noVBand="1"/>
      </w:tblPr>
      <w:tblGrid>
        <w:gridCol w:w="570"/>
        <w:gridCol w:w="6655"/>
        <w:gridCol w:w="6804"/>
      </w:tblGrid>
      <w:tr w:rsidR="00603711" w:rsidRPr="00160EEF" w14:paraId="06FAAA49" w14:textId="77777777" w:rsidTr="00622F8A">
        <w:tc>
          <w:tcPr>
            <w:tcW w:w="570" w:type="dxa"/>
            <w:vAlign w:val="center"/>
          </w:tcPr>
          <w:p w14:paraId="19E2B936" w14:textId="6CE7577A" w:rsidR="000E15BE" w:rsidRPr="00160EEF" w:rsidRDefault="000E15BE" w:rsidP="000E15BE">
            <w:pPr>
              <w:jc w:val="center"/>
              <w:rPr>
                <w:rFonts w:ascii="Times New Roman" w:hAnsi="Times New Roman" w:cs="Times New Roman"/>
                <w:b/>
                <w:bCs/>
              </w:rPr>
            </w:pPr>
            <w:r>
              <w:rPr>
                <w:rFonts w:ascii="Times New Roman" w:hAnsi="Times New Roman" w:cs="Times New Roman"/>
                <w:b/>
                <w:bCs/>
              </w:rPr>
              <w:t xml:space="preserve">Eil. Nr. </w:t>
            </w:r>
          </w:p>
        </w:tc>
        <w:tc>
          <w:tcPr>
            <w:tcW w:w="6655" w:type="dxa"/>
            <w:vAlign w:val="center"/>
          </w:tcPr>
          <w:p w14:paraId="29E80B42" w14:textId="395E4D66" w:rsidR="000E15BE" w:rsidRPr="000E15BE" w:rsidRDefault="000E15BE" w:rsidP="000E15BE">
            <w:pPr>
              <w:jc w:val="center"/>
              <w:rPr>
                <w:rFonts w:ascii="Times New Roman" w:hAnsi="Times New Roman" w:cs="Times New Roman"/>
                <w:b/>
                <w:bCs/>
              </w:rPr>
            </w:pPr>
            <w:r w:rsidRPr="000E15BE">
              <w:rPr>
                <w:rFonts w:ascii="Times New Roman" w:hAnsi="Times New Roman" w:cs="Times New Roman"/>
                <w:b/>
                <w:bCs/>
              </w:rPr>
              <w:t>Tiekėjų klausimai</w:t>
            </w:r>
          </w:p>
        </w:tc>
        <w:tc>
          <w:tcPr>
            <w:tcW w:w="6804" w:type="dxa"/>
            <w:vAlign w:val="center"/>
          </w:tcPr>
          <w:p w14:paraId="3DF1F96D" w14:textId="3BD30ED5" w:rsidR="000E15BE" w:rsidRPr="000E15BE" w:rsidRDefault="000E15BE" w:rsidP="000E15BE">
            <w:pPr>
              <w:jc w:val="center"/>
              <w:rPr>
                <w:rFonts w:ascii="Times New Roman" w:hAnsi="Times New Roman" w:cs="Times New Roman"/>
                <w:b/>
                <w:bCs/>
              </w:rPr>
            </w:pPr>
            <w:r w:rsidRPr="000E15BE">
              <w:rPr>
                <w:rFonts w:ascii="Times New Roman" w:hAnsi="Times New Roman" w:cs="Times New Roman"/>
                <w:b/>
                <w:bCs/>
              </w:rPr>
              <w:t>Perkančiojo subjekto atsakymai</w:t>
            </w:r>
          </w:p>
        </w:tc>
      </w:tr>
      <w:tr w:rsidR="00603711" w:rsidRPr="00160EEF" w14:paraId="09EAC5C5" w14:textId="77777777" w:rsidTr="00622F8A">
        <w:tc>
          <w:tcPr>
            <w:tcW w:w="570" w:type="dxa"/>
            <w:vAlign w:val="center"/>
          </w:tcPr>
          <w:p w14:paraId="59636445" w14:textId="5FE88AD7" w:rsidR="00160EEF" w:rsidRPr="000E15BE" w:rsidRDefault="00603711" w:rsidP="00F33AD8">
            <w:pPr>
              <w:tabs>
                <w:tab w:val="left" w:pos="315"/>
              </w:tabs>
              <w:jc w:val="right"/>
              <w:rPr>
                <w:rFonts w:ascii="Times New Roman" w:hAnsi="Times New Roman" w:cs="Times New Roman"/>
              </w:rPr>
            </w:pPr>
            <w:r>
              <w:rPr>
                <w:rFonts w:ascii="Times New Roman" w:hAnsi="Times New Roman" w:cs="Times New Roman"/>
              </w:rPr>
              <w:t>1.</w:t>
            </w:r>
          </w:p>
        </w:tc>
        <w:tc>
          <w:tcPr>
            <w:tcW w:w="6655" w:type="dxa"/>
            <w:vAlign w:val="center"/>
          </w:tcPr>
          <w:p w14:paraId="7937336B" w14:textId="77777777" w:rsidR="007A618E" w:rsidRPr="007A618E" w:rsidRDefault="007A618E" w:rsidP="007A618E">
            <w:pPr>
              <w:jc w:val="both"/>
              <w:rPr>
                <w:rFonts w:ascii="Times New Roman" w:hAnsi="Times New Roman" w:cs="Times New Roman"/>
              </w:rPr>
            </w:pPr>
            <w:r w:rsidRPr="007A618E">
              <w:rPr>
                <w:rFonts w:ascii="Times New Roman" w:hAnsi="Times New Roman" w:cs="Times New Roman"/>
              </w:rPr>
              <w:t>Dėl Techninės specifikacijos priedo Nr. 1: siekiant atlikti apšvietimo skaičiavimus, trūksta duomenų:</w:t>
            </w:r>
          </w:p>
          <w:p w14:paraId="55BC7D7D" w14:textId="77777777" w:rsidR="007A618E" w:rsidRPr="007A618E" w:rsidRDefault="007A618E" w:rsidP="007A618E">
            <w:pPr>
              <w:tabs>
                <w:tab w:val="left" w:pos="313"/>
              </w:tabs>
              <w:rPr>
                <w:rFonts w:ascii="Times New Roman" w:hAnsi="Times New Roman" w:cs="Times New Roman"/>
              </w:rPr>
            </w:pPr>
            <w:r w:rsidRPr="007A618E">
              <w:rPr>
                <w:rFonts w:ascii="Times New Roman" w:hAnsi="Times New Roman" w:cs="Times New Roman"/>
              </w:rPr>
              <w:t>•</w:t>
            </w:r>
            <w:r w:rsidRPr="007A618E">
              <w:rPr>
                <w:rFonts w:ascii="Times New Roman" w:hAnsi="Times New Roman" w:cs="Times New Roman"/>
              </w:rPr>
              <w:tab/>
              <w:t>Koks yra gatvės plotis?</w:t>
            </w:r>
          </w:p>
          <w:p w14:paraId="3B271AB9" w14:textId="77777777" w:rsidR="007A618E" w:rsidRPr="007A618E" w:rsidRDefault="007A618E" w:rsidP="007A618E">
            <w:pPr>
              <w:tabs>
                <w:tab w:val="left" w:pos="313"/>
              </w:tabs>
              <w:rPr>
                <w:rFonts w:ascii="Times New Roman" w:hAnsi="Times New Roman" w:cs="Times New Roman"/>
              </w:rPr>
            </w:pPr>
            <w:r w:rsidRPr="007A618E">
              <w:rPr>
                <w:rFonts w:ascii="Times New Roman" w:hAnsi="Times New Roman" w:cs="Times New Roman"/>
              </w:rPr>
              <w:t>•</w:t>
            </w:r>
            <w:r w:rsidRPr="007A618E">
              <w:rPr>
                <w:rFonts w:ascii="Times New Roman" w:hAnsi="Times New Roman" w:cs="Times New Roman"/>
              </w:rPr>
              <w:tab/>
              <w:t>Koks yra atramos atstumas nuo važiuojamosios dalies?</w:t>
            </w:r>
          </w:p>
          <w:p w14:paraId="6638FDC7" w14:textId="77777777" w:rsidR="007A618E" w:rsidRPr="007A618E" w:rsidRDefault="007A618E" w:rsidP="005374B0">
            <w:pPr>
              <w:tabs>
                <w:tab w:val="left" w:pos="313"/>
              </w:tabs>
              <w:jc w:val="both"/>
              <w:rPr>
                <w:rFonts w:ascii="Times New Roman" w:hAnsi="Times New Roman" w:cs="Times New Roman"/>
              </w:rPr>
            </w:pPr>
            <w:r w:rsidRPr="007A618E">
              <w:rPr>
                <w:rFonts w:ascii="Times New Roman" w:hAnsi="Times New Roman" w:cs="Times New Roman"/>
              </w:rPr>
              <w:t>•</w:t>
            </w:r>
            <w:r w:rsidRPr="007A618E">
              <w:rPr>
                <w:rFonts w:ascii="Times New Roman" w:hAnsi="Times New Roman" w:cs="Times New Roman"/>
              </w:rPr>
              <w:tab/>
              <w:t>Jei dalyje prie skiriamoji juosta langelis yra tuščias – ar skiriamoji juosta yra? Jei yra, kokio ji pločio?</w:t>
            </w:r>
          </w:p>
          <w:p w14:paraId="336C9B94" w14:textId="77777777" w:rsidR="007A618E" w:rsidRPr="007A618E" w:rsidRDefault="007A618E" w:rsidP="007A618E">
            <w:pPr>
              <w:tabs>
                <w:tab w:val="left" w:pos="313"/>
              </w:tabs>
              <w:rPr>
                <w:rFonts w:ascii="Times New Roman" w:hAnsi="Times New Roman" w:cs="Times New Roman"/>
              </w:rPr>
            </w:pPr>
            <w:r w:rsidRPr="007A618E">
              <w:rPr>
                <w:rFonts w:ascii="Times New Roman" w:hAnsi="Times New Roman" w:cs="Times New Roman"/>
              </w:rPr>
              <w:t>•</w:t>
            </w:r>
            <w:r w:rsidRPr="007A618E">
              <w:rPr>
                <w:rFonts w:ascii="Times New Roman" w:hAnsi="Times New Roman" w:cs="Times New Roman"/>
              </w:rPr>
              <w:tab/>
              <w:t>Jei tuščias laukelis prie „Atramos iš abiejų šonų“ – tai atramos vienoje pusėje?</w:t>
            </w:r>
          </w:p>
          <w:p w14:paraId="68993FE6" w14:textId="77777777" w:rsidR="007A618E" w:rsidRPr="007A618E" w:rsidRDefault="007A618E" w:rsidP="005374B0">
            <w:pPr>
              <w:tabs>
                <w:tab w:val="left" w:pos="313"/>
              </w:tabs>
              <w:jc w:val="both"/>
              <w:rPr>
                <w:rFonts w:ascii="Times New Roman" w:hAnsi="Times New Roman" w:cs="Times New Roman"/>
              </w:rPr>
            </w:pPr>
            <w:r w:rsidRPr="007A618E">
              <w:rPr>
                <w:rFonts w:ascii="Times New Roman" w:hAnsi="Times New Roman" w:cs="Times New Roman"/>
              </w:rPr>
              <w:t>•</w:t>
            </w:r>
            <w:r w:rsidRPr="007A618E">
              <w:rPr>
                <w:rFonts w:ascii="Times New Roman" w:hAnsi="Times New Roman" w:cs="Times New Roman"/>
              </w:rPr>
              <w:tab/>
              <w:t>Jei prie gembės duomenų yra tuščias langelis – gembė nenaudojama?</w:t>
            </w:r>
          </w:p>
          <w:p w14:paraId="2770D365" w14:textId="4A77A6B4" w:rsidR="00160EEF" w:rsidRPr="00160EEF" w:rsidRDefault="007A618E" w:rsidP="007A618E">
            <w:pPr>
              <w:tabs>
                <w:tab w:val="left" w:pos="313"/>
              </w:tabs>
              <w:jc w:val="both"/>
              <w:rPr>
                <w:rFonts w:ascii="Times New Roman" w:hAnsi="Times New Roman" w:cs="Times New Roman"/>
              </w:rPr>
            </w:pPr>
            <w:r w:rsidRPr="007A618E">
              <w:rPr>
                <w:rFonts w:ascii="Times New Roman" w:hAnsi="Times New Roman" w:cs="Times New Roman"/>
              </w:rPr>
              <w:t>•</w:t>
            </w:r>
            <w:r w:rsidRPr="007A618E">
              <w:rPr>
                <w:rFonts w:ascii="Times New Roman" w:hAnsi="Times New Roman" w:cs="Times New Roman"/>
              </w:rPr>
              <w:tab/>
              <w:t>Su kokiomis skaičiavimo programomis galima atlikti fotometrinius skaičiavimus? Ar priimtina RELUX, DIALUX?</w:t>
            </w:r>
          </w:p>
        </w:tc>
        <w:tc>
          <w:tcPr>
            <w:tcW w:w="6804" w:type="dxa"/>
            <w:vAlign w:val="center"/>
          </w:tcPr>
          <w:p w14:paraId="158F2DF4" w14:textId="5B3E560F" w:rsidR="00D66DA8" w:rsidRPr="00D66DA8" w:rsidRDefault="00D66DA8" w:rsidP="005374B0">
            <w:pPr>
              <w:jc w:val="both"/>
              <w:rPr>
                <w:rFonts w:ascii="Times New Roman" w:hAnsi="Times New Roman" w:cs="Times New Roman"/>
              </w:rPr>
            </w:pPr>
            <w:r w:rsidRPr="00D66DA8">
              <w:rPr>
                <w:rFonts w:ascii="Times New Roman" w:hAnsi="Times New Roman" w:cs="Times New Roman"/>
              </w:rPr>
              <w:t>Papildomi geografiniai ir erdviniai duomenys (atstumai tarp atramų, jų išdėstymas, vieta gatvės atžvilgiu ir pan.) yra pateikti Perkančio</w:t>
            </w:r>
            <w:r w:rsidR="0063266D">
              <w:rPr>
                <w:rFonts w:ascii="Times New Roman" w:hAnsi="Times New Roman" w:cs="Times New Roman"/>
              </w:rPr>
              <w:t>jo subjekto</w:t>
            </w:r>
            <w:r w:rsidRPr="00D66DA8">
              <w:rPr>
                <w:rFonts w:ascii="Times New Roman" w:hAnsi="Times New Roman" w:cs="Times New Roman"/>
              </w:rPr>
              <w:t xml:space="preserve"> GIS sistemoje, prie kurios Tiekėjams suteikiama prieiga, kaip tai nurodyta Techninės specifikacijos specialiosios dalies 3 punkte („Šviestuvų keitimo duomenys“).</w:t>
            </w:r>
          </w:p>
          <w:p w14:paraId="30E29759" w14:textId="53D09F7D" w:rsidR="00D66DA8" w:rsidRPr="00D66DA8" w:rsidRDefault="00D66DA8" w:rsidP="00D66DA8">
            <w:pPr>
              <w:rPr>
                <w:rFonts w:ascii="Times New Roman" w:hAnsi="Times New Roman" w:cs="Times New Roman"/>
              </w:rPr>
            </w:pPr>
            <w:r w:rsidRPr="00D66DA8">
              <w:rPr>
                <w:rFonts w:ascii="Times New Roman" w:hAnsi="Times New Roman" w:cs="Times New Roman"/>
              </w:rPr>
              <w:t>Paaiškinam</w:t>
            </w:r>
            <w:r w:rsidR="005374B0">
              <w:rPr>
                <w:rFonts w:ascii="Times New Roman" w:hAnsi="Times New Roman" w:cs="Times New Roman"/>
              </w:rPr>
              <w:t>e</w:t>
            </w:r>
            <w:r w:rsidRPr="00D66DA8">
              <w:rPr>
                <w:rFonts w:ascii="Times New Roman" w:hAnsi="Times New Roman" w:cs="Times New Roman"/>
              </w:rPr>
              <w:t>, kad:</w:t>
            </w:r>
          </w:p>
          <w:p w14:paraId="7FD50386" w14:textId="77777777" w:rsidR="00D66DA8" w:rsidRPr="00D66DA8" w:rsidRDefault="00D66DA8" w:rsidP="005374B0">
            <w:pPr>
              <w:numPr>
                <w:ilvl w:val="0"/>
                <w:numId w:val="17"/>
              </w:numPr>
              <w:tabs>
                <w:tab w:val="clear" w:pos="720"/>
                <w:tab w:val="num" w:pos="360"/>
              </w:tabs>
              <w:ind w:left="314"/>
              <w:jc w:val="both"/>
              <w:rPr>
                <w:rFonts w:ascii="Times New Roman" w:hAnsi="Times New Roman" w:cs="Times New Roman"/>
              </w:rPr>
            </w:pPr>
            <w:r w:rsidRPr="00D66DA8">
              <w:rPr>
                <w:rFonts w:ascii="Times New Roman" w:hAnsi="Times New Roman" w:cs="Times New Roman"/>
              </w:rPr>
              <w:t>jeigu laukas apie skiriamąją juostą nėra užpildytas – laikoma, kad skiriamoji juosta nenumatyta;</w:t>
            </w:r>
          </w:p>
          <w:p w14:paraId="29F535D9" w14:textId="77777777" w:rsidR="00D66DA8" w:rsidRPr="00D66DA8" w:rsidRDefault="00D66DA8" w:rsidP="005374B0">
            <w:pPr>
              <w:numPr>
                <w:ilvl w:val="0"/>
                <w:numId w:val="17"/>
              </w:numPr>
              <w:tabs>
                <w:tab w:val="clear" w:pos="720"/>
                <w:tab w:val="num" w:pos="360"/>
              </w:tabs>
              <w:ind w:left="314"/>
              <w:jc w:val="both"/>
              <w:rPr>
                <w:rFonts w:ascii="Times New Roman" w:hAnsi="Times New Roman" w:cs="Times New Roman"/>
              </w:rPr>
            </w:pPr>
            <w:r w:rsidRPr="00D66DA8">
              <w:rPr>
                <w:rFonts w:ascii="Times New Roman" w:hAnsi="Times New Roman" w:cs="Times New Roman"/>
              </w:rPr>
              <w:t>jeigu laukas „Atramos iš abiejų šonų“ nėra pažymėtas – laikoma, kad atramos numatytos vienoje gatvės pusėje;</w:t>
            </w:r>
          </w:p>
          <w:p w14:paraId="3F1F9D93" w14:textId="77777777" w:rsidR="00D66DA8" w:rsidRPr="00D66DA8" w:rsidRDefault="00D66DA8" w:rsidP="005374B0">
            <w:pPr>
              <w:numPr>
                <w:ilvl w:val="0"/>
                <w:numId w:val="17"/>
              </w:numPr>
              <w:tabs>
                <w:tab w:val="clear" w:pos="720"/>
                <w:tab w:val="num" w:pos="360"/>
              </w:tabs>
              <w:ind w:left="314"/>
              <w:jc w:val="both"/>
              <w:rPr>
                <w:rFonts w:ascii="Times New Roman" w:hAnsi="Times New Roman" w:cs="Times New Roman"/>
              </w:rPr>
            </w:pPr>
            <w:r w:rsidRPr="00D66DA8">
              <w:rPr>
                <w:rFonts w:ascii="Times New Roman" w:hAnsi="Times New Roman" w:cs="Times New Roman"/>
              </w:rPr>
              <w:t>jeigu gembės duomenų laukas nėra užpildytas – laikoma, kad gembė nenumatyta arba sprendinys parenkamas projektavimo (remonto aprašo rengimo) metu;</w:t>
            </w:r>
          </w:p>
          <w:p w14:paraId="3AECDEC7" w14:textId="77777777" w:rsidR="00D66DA8" w:rsidRPr="00D66DA8" w:rsidRDefault="00D66DA8" w:rsidP="005374B0">
            <w:pPr>
              <w:numPr>
                <w:ilvl w:val="0"/>
                <w:numId w:val="17"/>
              </w:numPr>
              <w:tabs>
                <w:tab w:val="clear" w:pos="720"/>
                <w:tab w:val="num" w:pos="360"/>
              </w:tabs>
              <w:ind w:left="314"/>
              <w:jc w:val="both"/>
              <w:rPr>
                <w:rFonts w:ascii="Times New Roman" w:hAnsi="Times New Roman" w:cs="Times New Roman"/>
              </w:rPr>
            </w:pPr>
            <w:r w:rsidRPr="00D66DA8">
              <w:rPr>
                <w:rFonts w:ascii="Times New Roman" w:hAnsi="Times New Roman" w:cs="Times New Roman"/>
              </w:rPr>
              <w:t>konkretūs gatvių pločiai, atramų padėtys ir kiti erdviniai duomenys vertinami pagal GIS pateiktą informaciją ir faktinę situaciją vietoje.</w:t>
            </w:r>
          </w:p>
          <w:p w14:paraId="2C2B51FC" w14:textId="77777777" w:rsidR="00D66DA8" w:rsidRPr="00D66DA8" w:rsidRDefault="00D66DA8" w:rsidP="005374B0">
            <w:pPr>
              <w:jc w:val="both"/>
              <w:rPr>
                <w:rFonts w:ascii="Times New Roman" w:hAnsi="Times New Roman" w:cs="Times New Roman"/>
              </w:rPr>
            </w:pPr>
            <w:r w:rsidRPr="00D66DA8">
              <w:rPr>
                <w:rFonts w:ascii="Times New Roman" w:hAnsi="Times New Roman" w:cs="Times New Roman"/>
              </w:rPr>
              <w:t>Pažymėtina, kad fotometriniai skaičiavimai atliekami jau sutarties vykdymo metu, prieš darbų pradžią.</w:t>
            </w:r>
          </w:p>
          <w:p w14:paraId="70E7DBDE" w14:textId="108553D0" w:rsidR="00160EEF" w:rsidRPr="005374B0" w:rsidRDefault="00D66DA8" w:rsidP="005374B0">
            <w:pPr>
              <w:jc w:val="both"/>
              <w:rPr>
                <w:rFonts w:ascii="Times New Roman" w:hAnsi="Times New Roman" w:cs="Times New Roman"/>
              </w:rPr>
            </w:pPr>
            <w:r w:rsidRPr="00D66DA8">
              <w:rPr>
                <w:rFonts w:ascii="Times New Roman" w:hAnsi="Times New Roman" w:cs="Times New Roman"/>
              </w:rPr>
              <w:t>Fotometriniams skaičiavimams gali būti naudojamos DIALux, DIALux evo ar kitos lygiavertės apšvietimo skaičiavimo programos (pvz., RELUX), užtikrinančios galimybę įvertinti atitiktį LST EN 13201 reikalavimams.</w:t>
            </w:r>
          </w:p>
        </w:tc>
      </w:tr>
      <w:tr w:rsidR="00603711" w:rsidRPr="00160EEF" w14:paraId="3F3BDD30" w14:textId="77777777" w:rsidTr="00622F8A">
        <w:tc>
          <w:tcPr>
            <w:tcW w:w="570" w:type="dxa"/>
            <w:vAlign w:val="center"/>
          </w:tcPr>
          <w:p w14:paraId="0EB1BC42" w14:textId="0470BA87" w:rsidR="00160EEF" w:rsidRPr="00603711" w:rsidRDefault="00F33AD8" w:rsidP="00F33AD8">
            <w:pPr>
              <w:tabs>
                <w:tab w:val="left" w:pos="315"/>
              </w:tabs>
              <w:jc w:val="right"/>
              <w:rPr>
                <w:rFonts w:ascii="Times New Roman" w:hAnsi="Times New Roman" w:cs="Times New Roman"/>
              </w:rPr>
            </w:pPr>
            <w:r>
              <w:rPr>
                <w:rFonts w:ascii="Times New Roman" w:hAnsi="Times New Roman" w:cs="Times New Roman"/>
              </w:rPr>
              <w:t>2.</w:t>
            </w:r>
          </w:p>
        </w:tc>
        <w:tc>
          <w:tcPr>
            <w:tcW w:w="6655" w:type="dxa"/>
            <w:vAlign w:val="center"/>
          </w:tcPr>
          <w:p w14:paraId="1D4DFE68" w14:textId="76DE5636" w:rsidR="00160EEF" w:rsidRPr="00160EEF" w:rsidRDefault="007A618E" w:rsidP="007A618E">
            <w:pPr>
              <w:jc w:val="both"/>
              <w:rPr>
                <w:rFonts w:ascii="Times New Roman" w:hAnsi="Times New Roman" w:cs="Times New Roman"/>
              </w:rPr>
            </w:pPr>
            <w:r w:rsidRPr="007A618E">
              <w:rPr>
                <w:rFonts w:ascii="Times New Roman" w:hAnsi="Times New Roman" w:cs="Times New Roman"/>
              </w:rPr>
              <w:t>Reikalavimuose gatvės šviestuvams yra nurodyta: Apsaugos laipsnis nuo aplinkos veiksnių (elektros ir optikos dalims)</w:t>
            </w:r>
            <w:r>
              <w:rPr>
                <w:rFonts w:ascii="Times New Roman" w:hAnsi="Times New Roman" w:cs="Times New Roman"/>
              </w:rPr>
              <w:t xml:space="preserve"> </w:t>
            </w:r>
            <w:r w:rsidRPr="007A618E">
              <w:rPr>
                <w:rFonts w:ascii="Times New Roman" w:hAnsi="Times New Roman" w:cs="Times New Roman"/>
              </w:rPr>
              <w:t xml:space="preserve">- ne mažiau IP66. Nurodoma šviestuvo gamintojo techninėje specifikacijoje arba ENEC sertifikate ir prieduose. Prašome šio </w:t>
            </w:r>
            <w:r w:rsidRPr="007A618E">
              <w:rPr>
                <w:rFonts w:ascii="Times New Roman" w:hAnsi="Times New Roman" w:cs="Times New Roman"/>
              </w:rPr>
              <w:lastRenderedPageBreak/>
              <w:t>reikalavimo atitikimui įrodyti reikalauti ENEC sertifikato, nes kitu atveju, gamintojai ar tiekėjai galės techninėje specifikacijoje nurodyti IP66, nors toks šviestuvas realybėje gali neatitikti IP66.</w:t>
            </w:r>
          </w:p>
        </w:tc>
        <w:tc>
          <w:tcPr>
            <w:tcW w:w="6804" w:type="dxa"/>
            <w:vAlign w:val="center"/>
          </w:tcPr>
          <w:p w14:paraId="5D9182D7" w14:textId="477E816B" w:rsidR="00B4315C" w:rsidRPr="00B4315C" w:rsidRDefault="00B4315C" w:rsidP="00B4315C">
            <w:pPr>
              <w:jc w:val="both"/>
              <w:rPr>
                <w:rFonts w:ascii="Times New Roman" w:hAnsi="Times New Roman" w:cs="Times New Roman"/>
              </w:rPr>
            </w:pPr>
            <w:r>
              <w:rPr>
                <w:rFonts w:ascii="Times New Roman" w:hAnsi="Times New Roman" w:cs="Times New Roman"/>
              </w:rPr>
              <w:lastRenderedPageBreak/>
              <w:t>T</w:t>
            </w:r>
            <w:r w:rsidRPr="00B4315C">
              <w:rPr>
                <w:rFonts w:ascii="Times New Roman" w:hAnsi="Times New Roman" w:cs="Times New Roman"/>
              </w:rPr>
              <w:t>echninės specifikacijos 2 priede nustatyta</w:t>
            </w:r>
            <w:r w:rsidR="005374B0">
              <w:rPr>
                <w:rFonts w:ascii="Times New Roman" w:hAnsi="Times New Roman" w:cs="Times New Roman"/>
              </w:rPr>
              <w:t>, kad</w:t>
            </w:r>
            <w:r w:rsidRPr="00B4315C">
              <w:rPr>
                <w:rFonts w:ascii="Times New Roman" w:hAnsi="Times New Roman" w:cs="Times New Roman"/>
              </w:rPr>
              <w:t xml:space="preserve"> „nurodoma šviestuvo gamintojo techninėje specifikacijoje arba ENEC sertifikate ir prieduose“ taikoma tik IP apsaugos laipsnio (ne mažesnio kaip IP66) atitikties pagrindimo būdui</w:t>
            </w:r>
            <w:r w:rsidR="005374B0">
              <w:rPr>
                <w:rFonts w:ascii="Times New Roman" w:hAnsi="Times New Roman" w:cs="Times New Roman"/>
              </w:rPr>
              <w:t>“</w:t>
            </w:r>
            <w:r w:rsidRPr="00B4315C">
              <w:rPr>
                <w:rFonts w:ascii="Times New Roman" w:hAnsi="Times New Roman" w:cs="Times New Roman"/>
              </w:rPr>
              <w:t>.</w:t>
            </w:r>
          </w:p>
          <w:p w14:paraId="325563B3" w14:textId="77777777" w:rsidR="00B4315C" w:rsidRPr="00B4315C" w:rsidRDefault="00B4315C" w:rsidP="00B4315C">
            <w:pPr>
              <w:jc w:val="both"/>
              <w:rPr>
                <w:rFonts w:ascii="Times New Roman" w:hAnsi="Times New Roman" w:cs="Times New Roman"/>
              </w:rPr>
            </w:pPr>
            <w:r w:rsidRPr="00B4315C">
              <w:rPr>
                <w:rFonts w:ascii="Times New Roman" w:hAnsi="Times New Roman" w:cs="Times New Roman"/>
              </w:rPr>
              <w:lastRenderedPageBreak/>
              <w:t>Kartu pažymėtina, kad nepriklausomai nuo IP apsaugos laipsnio pagrindimo būdo, gatvės šviestuvai privalo atitikti Techninėje specifikacijoje nustatytą reikalavimą turėti galiojantį ENEC sertifikatą.</w:t>
            </w:r>
          </w:p>
          <w:p w14:paraId="2673B036" w14:textId="26E82773" w:rsidR="00160EEF" w:rsidRPr="00EB5E20" w:rsidRDefault="00B4315C" w:rsidP="00CB4062">
            <w:pPr>
              <w:jc w:val="both"/>
              <w:rPr>
                <w:rFonts w:ascii="Times New Roman" w:hAnsi="Times New Roman" w:cs="Times New Roman"/>
              </w:rPr>
            </w:pPr>
            <w:r w:rsidRPr="00B4315C">
              <w:rPr>
                <w:rFonts w:ascii="Times New Roman" w:hAnsi="Times New Roman" w:cs="Times New Roman"/>
              </w:rPr>
              <w:t>Atitinkamai papildomas reikalavimas, kad IP66 apsaugos laipsnis visais atvejais būtų patvirtintas tik ENEC sertifikatu, nenustatomas.</w:t>
            </w:r>
          </w:p>
        </w:tc>
      </w:tr>
      <w:tr w:rsidR="00603711" w:rsidRPr="00160EEF" w14:paraId="10AA5B9F" w14:textId="77777777" w:rsidTr="00622F8A">
        <w:tc>
          <w:tcPr>
            <w:tcW w:w="570" w:type="dxa"/>
            <w:vAlign w:val="center"/>
          </w:tcPr>
          <w:p w14:paraId="76A13E8B" w14:textId="310183C5" w:rsidR="00160EEF" w:rsidRPr="00F33AD8" w:rsidRDefault="00F33AD8" w:rsidP="00F33AD8">
            <w:pPr>
              <w:tabs>
                <w:tab w:val="left" w:pos="315"/>
              </w:tabs>
              <w:jc w:val="right"/>
              <w:rPr>
                <w:rFonts w:ascii="Times New Roman" w:hAnsi="Times New Roman" w:cs="Times New Roman"/>
              </w:rPr>
            </w:pPr>
            <w:r>
              <w:rPr>
                <w:rFonts w:ascii="Times New Roman" w:hAnsi="Times New Roman" w:cs="Times New Roman"/>
              </w:rPr>
              <w:lastRenderedPageBreak/>
              <w:t>3.</w:t>
            </w:r>
          </w:p>
        </w:tc>
        <w:tc>
          <w:tcPr>
            <w:tcW w:w="6655" w:type="dxa"/>
            <w:vAlign w:val="center"/>
          </w:tcPr>
          <w:p w14:paraId="2BFBE447" w14:textId="53183888" w:rsidR="00160EEF" w:rsidRPr="00160EEF" w:rsidRDefault="007A618E" w:rsidP="005E3BF4">
            <w:pPr>
              <w:jc w:val="both"/>
              <w:rPr>
                <w:rFonts w:ascii="Times New Roman" w:hAnsi="Times New Roman" w:cs="Times New Roman"/>
              </w:rPr>
            </w:pPr>
            <w:r w:rsidRPr="007A618E">
              <w:rPr>
                <w:rFonts w:ascii="Times New Roman" w:hAnsi="Times New Roman" w:cs="Times New Roman"/>
              </w:rPr>
              <w:t>Šviestuvo ir jo maitinimo šaltinio funkcijoms ir savybėms patvirtinti prašome reikalauti maitinimo šaltinio gamintojo techninės dokumentacijos, nes tik tokiu atveju Perkančioji organizacija galės įsitikinti šviestuvų atitiktimi reikalavimams.</w:t>
            </w:r>
          </w:p>
        </w:tc>
        <w:tc>
          <w:tcPr>
            <w:tcW w:w="6804" w:type="dxa"/>
            <w:vAlign w:val="center"/>
          </w:tcPr>
          <w:p w14:paraId="207A58B8" w14:textId="7E8A562B" w:rsidR="00160EEF" w:rsidRPr="00B4315C" w:rsidRDefault="00B4315C" w:rsidP="005E3BF4">
            <w:pPr>
              <w:jc w:val="both"/>
              <w:rPr>
                <w:rFonts w:ascii="Times New Roman" w:hAnsi="Times New Roman" w:cs="Times New Roman"/>
              </w:rPr>
            </w:pPr>
            <w:r w:rsidRPr="00B4315C">
              <w:rPr>
                <w:rFonts w:ascii="Times New Roman" w:hAnsi="Times New Roman" w:cs="Times New Roman"/>
              </w:rPr>
              <w:t>Šviestuvo ir jame sumontuoto maitinimo šaltinio funkcijos ir techninės charakteristikos turi būti pagrindžiamos šviestuvo gamintojo techninėje specifikacijoje pateikta informacija apie konkretų šviestuvo modelį su jame integruotu maitinimo šaltiniu, kaip tai numatyta Techninėje specifikacijoje</w:t>
            </w:r>
            <w:r>
              <w:rPr>
                <w:rFonts w:ascii="Times New Roman" w:hAnsi="Times New Roman" w:cs="Times New Roman"/>
              </w:rPr>
              <w:t>.</w:t>
            </w:r>
          </w:p>
        </w:tc>
      </w:tr>
      <w:tr w:rsidR="007A618E" w:rsidRPr="00160EEF" w14:paraId="40D8C85A" w14:textId="77777777" w:rsidTr="00622F8A">
        <w:tc>
          <w:tcPr>
            <w:tcW w:w="570" w:type="dxa"/>
            <w:vAlign w:val="center"/>
          </w:tcPr>
          <w:p w14:paraId="1CF69179" w14:textId="0C398097" w:rsidR="007A618E" w:rsidRDefault="007A618E" w:rsidP="00F33AD8">
            <w:pPr>
              <w:tabs>
                <w:tab w:val="left" w:pos="315"/>
              </w:tabs>
              <w:jc w:val="right"/>
              <w:rPr>
                <w:rFonts w:ascii="Times New Roman" w:hAnsi="Times New Roman" w:cs="Times New Roman"/>
              </w:rPr>
            </w:pPr>
            <w:r>
              <w:rPr>
                <w:rFonts w:ascii="Times New Roman" w:hAnsi="Times New Roman" w:cs="Times New Roman"/>
              </w:rPr>
              <w:t>4.</w:t>
            </w:r>
          </w:p>
        </w:tc>
        <w:tc>
          <w:tcPr>
            <w:tcW w:w="6655" w:type="dxa"/>
            <w:vAlign w:val="center"/>
          </w:tcPr>
          <w:p w14:paraId="3A379E4F" w14:textId="04639F10" w:rsidR="007A618E" w:rsidRPr="007A618E" w:rsidRDefault="007A618E" w:rsidP="005E3BF4">
            <w:pPr>
              <w:jc w:val="both"/>
              <w:rPr>
                <w:rFonts w:ascii="Times New Roman" w:hAnsi="Times New Roman" w:cs="Times New Roman"/>
              </w:rPr>
            </w:pPr>
            <w:r w:rsidRPr="007A618E">
              <w:rPr>
                <w:rFonts w:ascii="Times New Roman" w:hAnsi="Times New Roman" w:cs="Times New Roman"/>
              </w:rPr>
              <w:t>Atsižvelgiant į tai, kad Parko tipo LED šviestuvams taikomi labai griežti reikalavimai, nes reikalaujama ENEC+ sertifikavimo, bei taikomi kiti aukšti reikalavimai pvz</w:t>
            </w:r>
            <w:r w:rsidR="005374B0">
              <w:rPr>
                <w:rFonts w:ascii="Times New Roman" w:hAnsi="Times New Roman" w:cs="Times New Roman"/>
              </w:rPr>
              <w:t>.</w:t>
            </w:r>
            <w:r w:rsidRPr="007A618E">
              <w:rPr>
                <w:rFonts w:ascii="Times New Roman" w:hAnsi="Times New Roman" w:cs="Times New Roman"/>
              </w:rPr>
              <w:t xml:space="preserve"> CRI (kas sumažina potencialių gamintojų ratą), prašome leisti siūlyti šviestuvus su šviesos šaltinio spalvų atkūrimo indeksu CRI - 70, ir panaikinti ENEC + reikalavimą</w:t>
            </w:r>
            <w:r>
              <w:rPr>
                <w:rFonts w:ascii="Times New Roman" w:hAnsi="Times New Roman" w:cs="Times New Roman"/>
              </w:rPr>
              <w:t>.</w:t>
            </w:r>
          </w:p>
        </w:tc>
        <w:tc>
          <w:tcPr>
            <w:tcW w:w="6804" w:type="dxa"/>
            <w:vAlign w:val="center"/>
          </w:tcPr>
          <w:p w14:paraId="126B7383" w14:textId="02ACE904" w:rsidR="00E6234F" w:rsidRPr="00E6234F" w:rsidRDefault="00E6234F" w:rsidP="00E6234F">
            <w:pPr>
              <w:jc w:val="both"/>
              <w:rPr>
                <w:rFonts w:ascii="Times New Roman" w:hAnsi="Times New Roman" w:cs="Times New Roman"/>
              </w:rPr>
            </w:pPr>
            <w:r>
              <w:rPr>
                <w:rFonts w:ascii="Times New Roman" w:hAnsi="Times New Roman" w:cs="Times New Roman"/>
              </w:rPr>
              <w:t>P</w:t>
            </w:r>
            <w:r w:rsidRPr="00E6234F">
              <w:rPr>
                <w:rFonts w:ascii="Times New Roman" w:hAnsi="Times New Roman" w:cs="Times New Roman"/>
              </w:rPr>
              <w:t>arko tipo LED šviestuvams nustatyti reikalavimai dėl šviesos šaltinio spalvų atkūrimo indekso (CRI) ir ENEC+ sertifikavimo yra pagrįsti šių šviestuvų naudojimo paskirtimi viešosiose</w:t>
            </w:r>
            <w:r w:rsidR="003F628B">
              <w:rPr>
                <w:rFonts w:ascii="Times New Roman" w:hAnsi="Times New Roman" w:cs="Times New Roman"/>
              </w:rPr>
              <w:t xml:space="preserve">, </w:t>
            </w:r>
            <w:r w:rsidRPr="00E6234F">
              <w:rPr>
                <w:rFonts w:ascii="Times New Roman" w:hAnsi="Times New Roman" w:cs="Times New Roman"/>
              </w:rPr>
              <w:t>rekreacinėse erdvėse</w:t>
            </w:r>
            <w:r w:rsidR="003F628B">
              <w:rPr>
                <w:rFonts w:ascii="Times New Roman" w:hAnsi="Times New Roman" w:cs="Times New Roman"/>
              </w:rPr>
              <w:t xml:space="preserve"> ir miegamosiose kvartaluose</w:t>
            </w:r>
            <w:r w:rsidRPr="00E6234F">
              <w:rPr>
                <w:rFonts w:ascii="Times New Roman" w:hAnsi="Times New Roman" w:cs="Times New Roman"/>
              </w:rPr>
              <w:t>, kuriose aktuali ne tik apšvietimo lygio, bet ir šviesos kokybės bei žmonių vizualinio komforto užtikrinimo būtinybė.</w:t>
            </w:r>
          </w:p>
          <w:p w14:paraId="02C0FDE4" w14:textId="104D45A5" w:rsidR="007A618E" w:rsidRPr="00160EEF" w:rsidRDefault="00E6234F" w:rsidP="005E3BF4">
            <w:pPr>
              <w:jc w:val="both"/>
              <w:rPr>
                <w:rFonts w:ascii="Times New Roman" w:hAnsi="Times New Roman" w:cs="Times New Roman"/>
              </w:rPr>
            </w:pPr>
            <w:r w:rsidRPr="00E6234F">
              <w:rPr>
                <w:rFonts w:ascii="Times New Roman" w:hAnsi="Times New Roman" w:cs="Times New Roman"/>
              </w:rPr>
              <w:t>Techninėje specifikacijoje nustatyti reikalavimai nekeičiami.</w:t>
            </w:r>
          </w:p>
        </w:tc>
      </w:tr>
      <w:tr w:rsidR="007A618E" w:rsidRPr="00160EEF" w14:paraId="0562485D" w14:textId="77777777" w:rsidTr="00622F8A">
        <w:tc>
          <w:tcPr>
            <w:tcW w:w="570" w:type="dxa"/>
            <w:vAlign w:val="center"/>
          </w:tcPr>
          <w:p w14:paraId="2F4285D9" w14:textId="6AE96842" w:rsidR="007A618E" w:rsidRDefault="007A618E" w:rsidP="00F33AD8">
            <w:pPr>
              <w:tabs>
                <w:tab w:val="left" w:pos="315"/>
              </w:tabs>
              <w:jc w:val="right"/>
              <w:rPr>
                <w:rFonts w:ascii="Times New Roman" w:hAnsi="Times New Roman" w:cs="Times New Roman"/>
              </w:rPr>
            </w:pPr>
            <w:r>
              <w:rPr>
                <w:rFonts w:ascii="Times New Roman" w:hAnsi="Times New Roman" w:cs="Times New Roman"/>
              </w:rPr>
              <w:t>5.</w:t>
            </w:r>
          </w:p>
        </w:tc>
        <w:tc>
          <w:tcPr>
            <w:tcW w:w="6655" w:type="dxa"/>
            <w:vAlign w:val="center"/>
          </w:tcPr>
          <w:p w14:paraId="2615B42B" w14:textId="6B622FE5" w:rsidR="007A618E" w:rsidRPr="007A618E" w:rsidRDefault="000B57CF" w:rsidP="005E3BF4">
            <w:pPr>
              <w:jc w:val="both"/>
              <w:rPr>
                <w:rFonts w:ascii="Times New Roman" w:hAnsi="Times New Roman" w:cs="Times New Roman"/>
              </w:rPr>
            </w:pPr>
            <w:r w:rsidRPr="000B57CF">
              <w:rPr>
                <w:rFonts w:ascii="Times New Roman" w:hAnsi="Times New Roman" w:cs="Times New Roman"/>
              </w:rPr>
              <w:t>Kadangi nenumatyti vamzdžiai atviru būdu, ar kabelio tiesimo darbus vertinti įrengiant paklotą?</w:t>
            </w:r>
          </w:p>
        </w:tc>
        <w:tc>
          <w:tcPr>
            <w:tcW w:w="6804" w:type="dxa"/>
            <w:vAlign w:val="center"/>
          </w:tcPr>
          <w:p w14:paraId="29ADA366" w14:textId="67011B57" w:rsidR="007A618E" w:rsidRPr="00160EEF" w:rsidRDefault="00EC2FC9" w:rsidP="005374B0">
            <w:pPr>
              <w:spacing w:before="240" w:line="276" w:lineRule="auto"/>
              <w:jc w:val="both"/>
              <w:rPr>
                <w:rFonts w:ascii="Times New Roman" w:hAnsi="Times New Roman" w:cs="Times New Roman"/>
              </w:rPr>
            </w:pPr>
            <w:r w:rsidRPr="00EC2FC9">
              <w:rPr>
                <w:rFonts w:ascii="Times New Roman" w:hAnsi="Times New Roman" w:cs="Times New Roman"/>
              </w:rPr>
              <w:t xml:space="preserve">Prašome vadovautis techninės specifikacijos 6 priedo 1 punktu: Apšvietimo tinklai po žeme visoje trasoje klojami mechaniškai atspariuose apsauginiuose vamzdžiuose (D-75mm). Po važiuojama dalimi kabelius kloti ≥ 750 N atsparumo gniuždymui montažiniuose vamzdžiuose. Klojimo gylis ≥ 0,7 m., o po važiuojama dalimi – gylis ≥ 1,0 m. esant galimybei ≥ 1,2 m. Atliekant darbus vadovautis galiojančiomis </w:t>
            </w:r>
            <w:r w:rsidRPr="00EC2FC9">
              <w:rPr>
                <w:rFonts w:ascii="Times New Roman" w:hAnsi="Times New Roman" w:cs="Times New Roman"/>
                <w:b/>
                <w:bCs/>
                <w:i/>
                <w:iCs/>
              </w:rPr>
              <w:t>ELEKTROS LINIJŲ IR INSTALIACIJOS ĮRENGIMO TAISYKL</w:t>
            </w:r>
            <w:r w:rsidR="005374B0">
              <w:rPr>
                <w:rFonts w:ascii="Times New Roman" w:hAnsi="Times New Roman" w:cs="Times New Roman"/>
                <w:b/>
                <w:bCs/>
                <w:i/>
                <w:iCs/>
              </w:rPr>
              <w:t>ĖMIS</w:t>
            </w:r>
            <w:r w:rsidRPr="00EC2FC9">
              <w:rPr>
                <w:rFonts w:ascii="Times New Roman" w:hAnsi="Times New Roman" w:cs="Times New Roman"/>
                <w:b/>
                <w:bCs/>
                <w:i/>
                <w:iCs/>
              </w:rPr>
              <w:t xml:space="preserve"> bei kitais norminiais dokumentais</w:t>
            </w:r>
            <w:r w:rsidR="005374B0">
              <w:rPr>
                <w:rFonts w:ascii="Times New Roman" w:hAnsi="Times New Roman" w:cs="Times New Roman"/>
                <w:b/>
                <w:bCs/>
                <w:i/>
                <w:iCs/>
              </w:rPr>
              <w:t>,</w:t>
            </w:r>
            <w:r w:rsidRPr="00EC2FC9">
              <w:rPr>
                <w:rFonts w:ascii="Times New Roman" w:hAnsi="Times New Roman" w:cs="Times New Roman"/>
                <w:b/>
                <w:bCs/>
                <w:i/>
                <w:iCs/>
              </w:rPr>
              <w:t xml:space="preserve"> reglamentuojančius lauko darbus. Prieš pradedant bet kokius darbus turi būti gaunami visi reikalingi leidimai, užtikrinamos tinkamos darbų ir aplinkos apsaugos priemonės. Esant galimybei ir po pravažiuojamas kelio dalis naudoti betranšėjį kabelinių linijų prastūmimą</w:t>
            </w:r>
            <w:r w:rsidR="005374B0">
              <w:rPr>
                <w:rFonts w:ascii="Times New Roman" w:hAnsi="Times New Roman" w:cs="Times New Roman"/>
                <w:b/>
                <w:bCs/>
                <w:i/>
                <w:iCs/>
              </w:rPr>
              <w:t>.</w:t>
            </w:r>
          </w:p>
        </w:tc>
      </w:tr>
      <w:tr w:rsidR="00F95637" w:rsidRPr="00160EEF" w14:paraId="7DD79690" w14:textId="77777777" w:rsidTr="00622F8A">
        <w:tc>
          <w:tcPr>
            <w:tcW w:w="570" w:type="dxa"/>
            <w:vAlign w:val="center"/>
          </w:tcPr>
          <w:p w14:paraId="0EC66BC0" w14:textId="7C742F35" w:rsidR="00F95637" w:rsidRDefault="00F95637" w:rsidP="00F33AD8">
            <w:pPr>
              <w:tabs>
                <w:tab w:val="left" w:pos="315"/>
              </w:tabs>
              <w:jc w:val="right"/>
              <w:rPr>
                <w:rFonts w:ascii="Times New Roman" w:hAnsi="Times New Roman" w:cs="Times New Roman"/>
              </w:rPr>
            </w:pPr>
            <w:r>
              <w:rPr>
                <w:rFonts w:ascii="Times New Roman" w:hAnsi="Times New Roman" w:cs="Times New Roman"/>
              </w:rPr>
              <w:lastRenderedPageBreak/>
              <w:t>6.</w:t>
            </w:r>
          </w:p>
        </w:tc>
        <w:tc>
          <w:tcPr>
            <w:tcW w:w="6655" w:type="dxa"/>
            <w:vAlign w:val="center"/>
          </w:tcPr>
          <w:p w14:paraId="6D2061D0" w14:textId="0A1B98DB" w:rsidR="00F95637" w:rsidRPr="00F95637" w:rsidRDefault="00F95637" w:rsidP="005E3BF4">
            <w:pPr>
              <w:jc w:val="both"/>
              <w:rPr>
                <w:rFonts w:ascii="Times New Roman" w:hAnsi="Times New Roman" w:cs="Times New Roman"/>
              </w:rPr>
            </w:pPr>
            <w:r w:rsidRPr="00F95637">
              <w:rPr>
                <w:rFonts w:ascii="Times New Roman" w:hAnsi="Times New Roman" w:cs="Times New Roman"/>
              </w:rPr>
              <w:t>Ar teisingai suprantame, kad kartu su pirminiu/galutiniu pasiūlymu nereikia pateikti atramų/stulpų/gembių brėžinių? Siūlomų šviestuvų nuotraukų?</w:t>
            </w:r>
          </w:p>
        </w:tc>
        <w:tc>
          <w:tcPr>
            <w:tcW w:w="6804" w:type="dxa"/>
            <w:vAlign w:val="center"/>
          </w:tcPr>
          <w:p w14:paraId="3209D4D8" w14:textId="6A79FE51" w:rsidR="005374B0" w:rsidRDefault="00B062BF" w:rsidP="005E3BF4">
            <w:pPr>
              <w:jc w:val="both"/>
              <w:rPr>
                <w:rFonts w:ascii="Times New Roman" w:hAnsi="Times New Roman" w:cs="Times New Roman"/>
              </w:rPr>
            </w:pPr>
            <w:r w:rsidRPr="003F628B">
              <w:rPr>
                <w:rFonts w:ascii="Times New Roman" w:hAnsi="Times New Roman" w:cs="Times New Roman"/>
              </w:rPr>
              <w:t xml:space="preserve">Su </w:t>
            </w:r>
            <w:r w:rsidR="005374B0">
              <w:rPr>
                <w:rFonts w:ascii="Times New Roman" w:hAnsi="Times New Roman" w:cs="Times New Roman"/>
              </w:rPr>
              <w:t>P</w:t>
            </w:r>
            <w:r w:rsidRPr="003F628B">
              <w:rPr>
                <w:rFonts w:ascii="Times New Roman" w:hAnsi="Times New Roman" w:cs="Times New Roman"/>
              </w:rPr>
              <w:t>irminiu</w:t>
            </w:r>
            <w:r w:rsidR="005374B0">
              <w:rPr>
                <w:rFonts w:ascii="Times New Roman" w:hAnsi="Times New Roman" w:cs="Times New Roman"/>
              </w:rPr>
              <w:t xml:space="preserve"> </w:t>
            </w:r>
            <w:r w:rsidR="00CB463C">
              <w:rPr>
                <w:rFonts w:ascii="Times New Roman" w:hAnsi="Times New Roman" w:cs="Times New Roman"/>
              </w:rPr>
              <w:t xml:space="preserve">ir su </w:t>
            </w:r>
            <w:r w:rsidRPr="00CB463C">
              <w:rPr>
                <w:rFonts w:ascii="Times New Roman" w:hAnsi="Times New Roman" w:cs="Times New Roman"/>
              </w:rPr>
              <w:t>/</w:t>
            </w:r>
            <w:r w:rsidR="005374B0" w:rsidRPr="00CB463C">
              <w:rPr>
                <w:rFonts w:ascii="Times New Roman" w:hAnsi="Times New Roman" w:cs="Times New Roman"/>
              </w:rPr>
              <w:t xml:space="preserve"> G</w:t>
            </w:r>
            <w:r w:rsidRPr="00CB463C">
              <w:rPr>
                <w:rFonts w:ascii="Times New Roman" w:hAnsi="Times New Roman" w:cs="Times New Roman"/>
              </w:rPr>
              <w:t>alutiniu</w:t>
            </w:r>
            <w:r w:rsidRPr="003F628B">
              <w:rPr>
                <w:rFonts w:ascii="Times New Roman" w:hAnsi="Times New Roman" w:cs="Times New Roman"/>
              </w:rPr>
              <w:t xml:space="preserve"> pasiūlymu teikiam</w:t>
            </w:r>
            <w:r w:rsidR="005374B0">
              <w:rPr>
                <w:rFonts w:ascii="Times New Roman" w:hAnsi="Times New Roman" w:cs="Times New Roman"/>
              </w:rPr>
              <w:t xml:space="preserve">i </w:t>
            </w:r>
            <w:r w:rsidR="005374B0" w:rsidRPr="00CB463C">
              <w:rPr>
                <w:rFonts w:ascii="Times New Roman" w:hAnsi="Times New Roman" w:cs="Times New Roman"/>
              </w:rPr>
              <w:t xml:space="preserve">siūlomų </w:t>
            </w:r>
            <w:r w:rsidRPr="00CB463C">
              <w:rPr>
                <w:rFonts w:ascii="Times New Roman" w:hAnsi="Times New Roman" w:cs="Times New Roman"/>
              </w:rPr>
              <w:t xml:space="preserve">šviestuvų ir atramų modeliai, </w:t>
            </w:r>
            <w:r w:rsidR="005374B0" w:rsidRPr="00CB463C">
              <w:rPr>
                <w:rFonts w:ascii="Times New Roman" w:hAnsi="Times New Roman" w:cs="Times New Roman"/>
              </w:rPr>
              <w:t xml:space="preserve">jų </w:t>
            </w:r>
            <w:r w:rsidRPr="00CB463C">
              <w:rPr>
                <w:rFonts w:ascii="Times New Roman" w:hAnsi="Times New Roman" w:cs="Times New Roman"/>
              </w:rPr>
              <w:t xml:space="preserve">techninės specifikacijos. Kadangi šviestuvams yra taikomi ir dizaino reikalavimai (pvz. techninių specifikacijų 2 priedo 13 ir 3 priedo 12 punktas), </w:t>
            </w:r>
            <w:r w:rsidR="005374B0" w:rsidRPr="00CB463C">
              <w:rPr>
                <w:rFonts w:ascii="Times New Roman" w:hAnsi="Times New Roman" w:cs="Times New Roman"/>
              </w:rPr>
              <w:t xml:space="preserve">siūlomų </w:t>
            </w:r>
            <w:r w:rsidRPr="00CB463C">
              <w:rPr>
                <w:rFonts w:ascii="Times New Roman" w:hAnsi="Times New Roman" w:cs="Times New Roman"/>
              </w:rPr>
              <w:t>šviestuvų nuotraukos</w:t>
            </w:r>
            <w:r w:rsidR="005374B0" w:rsidRPr="00CB463C">
              <w:rPr>
                <w:rFonts w:ascii="Times New Roman" w:hAnsi="Times New Roman" w:cs="Times New Roman"/>
              </w:rPr>
              <w:t xml:space="preserve"> </w:t>
            </w:r>
            <w:r w:rsidRPr="00CB463C">
              <w:rPr>
                <w:rFonts w:ascii="Times New Roman" w:hAnsi="Times New Roman" w:cs="Times New Roman"/>
              </w:rPr>
              <w:t>/</w:t>
            </w:r>
            <w:r w:rsidR="005374B0" w:rsidRPr="00CB463C">
              <w:rPr>
                <w:rFonts w:ascii="Times New Roman" w:hAnsi="Times New Roman" w:cs="Times New Roman"/>
              </w:rPr>
              <w:t xml:space="preserve"> </w:t>
            </w:r>
            <w:r w:rsidRPr="00CB463C">
              <w:rPr>
                <w:rFonts w:ascii="Times New Roman" w:hAnsi="Times New Roman" w:cs="Times New Roman"/>
              </w:rPr>
              <w:t>brėžiniai tur</w:t>
            </w:r>
            <w:r w:rsidR="005374B0" w:rsidRPr="00CB463C">
              <w:rPr>
                <w:rFonts w:ascii="Times New Roman" w:hAnsi="Times New Roman" w:cs="Times New Roman"/>
              </w:rPr>
              <w:t>i</w:t>
            </w:r>
            <w:r w:rsidRPr="00CB463C">
              <w:rPr>
                <w:rFonts w:ascii="Times New Roman" w:hAnsi="Times New Roman" w:cs="Times New Roman"/>
              </w:rPr>
              <w:t xml:space="preserve"> būti patei</w:t>
            </w:r>
            <w:r w:rsidR="005374B0" w:rsidRPr="00CB463C">
              <w:rPr>
                <w:rFonts w:ascii="Times New Roman" w:hAnsi="Times New Roman" w:cs="Times New Roman"/>
              </w:rPr>
              <w:t xml:space="preserve">kti </w:t>
            </w:r>
            <w:r w:rsidRPr="00CB463C">
              <w:rPr>
                <w:rFonts w:ascii="Times New Roman" w:hAnsi="Times New Roman" w:cs="Times New Roman"/>
              </w:rPr>
              <w:t xml:space="preserve">kartu su </w:t>
            </w:r>
            <w:r w:rsidR="005374B0" w:rsidRPr="00CB463C">
              <w:rPr>
                <w:rFonts w:ascii="Times New Roman" w:hAnsi="Times New Roman" w:cs="Times New Roman"/>
              </w:rPr>
              <w:t>P</w:t>
            </w:r>
            <w:r w:rsidRPr="00CB463C">
              <w:rPr>
                <w:rFonts w:ascii="Times New Roman" w:hAnsi="Times New Roman" w:cs="Times New Roman"/>
              </w:rPr>
              <w:t>asiūlymu</w:t>
            </w:r>
            <w:r w:rsidRPr="003F628B">
              <w:rPr>
                <w:rFonts w:ascii="Times New Roman" w:hAnsi="Times New Roman" w:cs="Times New Roman"/>
              </w:rPr>
              <w:t>. Tai galioja ir siūlomoms atramoms.</w:t>
            </w:r>
          </w:p>
          <w:p w14:paraId="0E556A31" w14:textId="474B6260" w:rsidR="00B062BF" w:rsidRPr="003F628B" w:rsidRDefault="00B062BF" w:rsidP="005E3BF4">
            <w:pPr>
              <w:jc w:val="both"/>
              <w:rPr>
                <w:rFonts w:ascii="Times New Roman" w:hAnsi="Times New Roman" w:cs="Times New Roman"/>
              </w:rPr>
            </w:pPr>
            <w:r w:rsidRPr="003F628B">
              <w:rPr>
                <w:rFonts w:ascii="Times New Roman" w:hAnsi="Times New Roman" w:cs="Times New Roman"/>
              </w:rPr>
              <w:t xml:space="preserve">Atkreipiamas dėmesys, kad teritorijose, kurios priskiriamos senamiesčio ir istorinėms Klaipėdos miesto dalims, taikomi specialūs architektūriniai reikalavimai (Klaipėdos senamiesčio ir miesto istorinės dalies dekoratyvinio apšvietimo schemoje“ patvirtintoje Klaipėdos miesto savivaldybės administracijos direktoriaus 2019 m. rugsėjo 5 d. įsakymu Nr. AD1-1199, kuri patalpinta </w:t>
            </w:r>
            <w:hyperlink r:id="rId8" w:history="1">
              <w:r w:rsidRPr="003F628B">
                <w:rPr>
                  <w:rStyle w:val="Hipersaitas"/>
                  <w:rFonts w:ascii="Times New Roman" w:hAnsi="Times New Roman" w:cs="Times New Roman"/>
                </w:rPr>
                <w:t>https://www.klaipeda.lt/data/public/uploads/2019/09/apsvietimo-schema-2019.pdf</w:t>
              </w:r>
            </w:hyperlink>
            <w:r w:rsidRPr="003F628B">
              <w:rPr>
                <w:rStyle w:val="Hipersaitas"/>
                <w:rFonts w:ascii="Times New Roman" w:hAnsi="Times New Roman" w:cs="Times New Roman"/>
              </w:rPr>
              <w:t xml:space="preserve"> </w:t>
            </w:r>
            <w:r w:rsidRPr="003F628B">
              <w:rPr>
                <w:rFonts w:ascii="Times New Roman" w:hAnsi="Times New Roman" w:cs="Times New Roman"/>
              </w:rPr>
              <w:t>.</w:t>
            </w:r>
          </w:p>
        </w:tc>
      </w:tr>
      <w:tr w:rsidR="00B0137C" w:rsidRPr="00160EEF" w14:paraId="3738642C" w14:textId="77777777" w:rsidTr="00622F8A">
        <w:tc>
          <w:tcPr>
            <w:tcW w:w="570" w:type="dxa"/>
            <w:vAlign w:val="center"/>
          </w:tcPr>
          <w:p w14:paraId="2249BE18" w14:textId="6B84D3B0" w:rsidR="00B0137C" w:rsidRDefault="00B0137C" w:rsidP="00F33AD8">
            <w:pPr>
              <w:tabs>
                <w:tab w:val="left" w:pos="315"/>
              </w:tabs>
              <w:jc w:val="right"/>
              <w:rPr>
                <w:rFonts w:ascii="Times New Roman" w:hAnsi="Times New Roman" w:cs="Times New Roman"/>
              </w:rPr>
            </w:pPr>
            <w:r>
              <w:rPr>
                <w:rFonts w:ascii="Times New Roman" w:hAnsi="Times New Roman" w:cs="Times New Roman"/>
              </w:rPr>
              <w:t>7.</w:t>
            </w:r>
          </w:p>
        </w:tc>
        <w:tc>
          <w:tcPr>
            <w:tcW w:w="6655" w:type="dxa"/>
            <w:vAlign w:val="center"/>
          </w:tcPr>
          <w:p w14:paraId="3A7E901B" w14:textId="31040946" w:rsidR="005374B0" w:rsidRDefault="00B0137C" w:rsidP="00B0137C">
            <w:pPr>
              <w:jc w:val="both"/>
              <w:rPr>
                <w:rFonts w:ascii="Times New Roman" w:hAnsi="Times New Roman" w:cs="Times New Roman"/>
              </w:rPr>
            </w:pPr>
            <w:r w:rsidRPr="00B0137C">
              <w:rPr>
                <w:rFonts w:ascii="Times New Roman" w:hAnsi="Times New Roman" w:cs="Times New Roman"/>
              </w:rPr>
              <w:t xml:space="preserve">Atkreipiame dėmesį, kad pateiktas aprašymas yra techniškai nekorektiškas ir tarpusavyje prieštaringas. Aliuminio lydinys negali būti tuo pačiu metu anoduotas ir papildomai padengtas dažų sistema, atitinkančia C4-H kategoriją pagal ISO 12944 standartą, nes: </w:t>
            </w:r>
          </w:p>
          <w:p w14:paraId="3FAFF97E" w14:textId="77777777" w:rsidR="00CB6DFF" w:rsidRDefault="00B0137C" w:rsidP="00B0137C">
            <w:pPr>
              <w:jc w:val="both"/>
              <w:rPr>
                <w:rFonts w:ascii="Times New Roman" w:hAnsi="Times New Roman" w:cs="Times New Roman"/>
              </w:rPr>
            </w:pPr>
            <w:r w:rsidRPr="00B0137C">
              <w:rPr>
                <w:rFonts w:ascii="Times New Roman" w:hAnsi="Times New Roman" w:cs="Times New Roman"/>
              </w:rPr>
              <w:t>• anodavimas yra elektrocheminis aliuminio paviršiaus apdorojimo procesas, o ne dažų ar antikorozinė danga pagal ISO 12944;</w:t>
            </w:r>
          </w:p>
          <w:p w14:paraId="1E6D8D68" w14:textId="6BD684CD" w:rsidR="00CB6DFF" w:rsidRDefault="00B0137C" w:rsidP="00B0137C">
            <w:pPr>
              <w:jc w:val="both"/>
              <w:rPr>
                <w:rFonts w:ascii="Times New Roman" w:hAnsi="Times New Roman" w:cs="Times New Roman"/>
              </w:rPr>
            </w:pPr>
            <w:r w:rsidRPr="00B0137C">
              <w:rPr>
                <w:rFonts w:ascii="Times New Roman" w:hAnsi="Times New Roman" w:cs="Times New Roman"/>
              </w:rPr>
              <w:t>• C4-H kategorija taikoma dažų sistemoms (plienui ar kitiems metalams), o ne anoduotam aliuminiui;</w:t>
            </w:r>
          </w:p>
          <w:p w14:paraId="7379CF46" w14:textId="77777777" w:rsidR="00CB6DFF" w:rsidRDefault="00B0137C" w:rsidP="00B0137C">
            <w:pPr>
              <w:jc w:val="both"/>
              <w:rPr>
                <w:rFonts w:ascii="Times New Roman" w:hAnsi="Times New Roman" w:cs="Times New Roman"/>
              </w:rPr>
            </w:pPr>
            <w:r w:rsidRPr="00B0137C">
              <w:rPr>
                <w:rFonts w:ascii="Times New Roman" w:hAnsi="Times New Roman" w:cs="Times New Roman"/>
              </w:rPr>
              <w:t>• šių skirtingų paviršiaus apsaugos būdų kombinavimas viename reikalavime sudaro techninį neapibrėžtumą</w:t>
            </w:r>
          </w:p>
          <w:p w14:paraId="3FF74E0A" w14:textId="77777777" w:rsidR="00CB6DFF" w:rsidRDefault="00B0137C" w:rsidP="00B0137C">
            <w:pPr>
              <w:jc w:val="both"/>
              <w:rPr>
                <w:rFonts w:ascii="Times New Roman" w:hAnsi="Times New Roman" w:cs="Times New Roman"/>
              </w:rPr>
            </w:pPr>
            <w:r w:rsidRPr="00B0137C">
              <w:rPr>
                <w:rFonts w:ascii="Times New Roman" w:hAnsi="Times New Roman" w:cs="Times New Roman"/>
              </w:rPr>
              <w:t>Atsižvelgiant į tai, prašome patikslinti reikalavimą, aiškiai nurodant vieną iš galimų sprendimų:</w:t>
            </w:r>
          </w:p>
          <w:p w14:paraId="020E5D23" w14:textId="0D79B432" w:rsidR="00B0137C" w:rsidRPr="00F95637" w:rsidRDefault="00B0137C" w:rsidP="00B0137C">
            <w:pPr>
              <w:jc w:val="both"/>
              <w:rPr>
                <w:rFonts w:ascii="Times New Roman" w:hAnsi="Times New Roman" w:cs="Times New Roman"/>
              </w:rPr>
            </w:pPr>
            <w:r w:rsidRPr="00B0137C">
              <w:rPr>
                <w:rFonts w:ascii="Times New Roman" w:hAnsi="Times New Roman" w:cs="Times New Roman"/>
              </w:rPr>
              <w:t>• Korpusas pagamintas iš aliuminio lydinio, padengtas antikorozine danga, kuri atitiktų ne prastesnę nei C4-H kategoriją arba aliuminio (ar kitos medžiagos) korpusas, padengtas dažų sistema, atitinkančia ne prastesnę nei C4-H kategoriją pagal ISO 12944.</w:t>
            </w:r>
          </w:p>
        </w:tc>
        <w:tc>
          <w:tcPr>
            <w:tcW w:w="6804" w:type="dxa"/>
            <w:vAlign w:val="center"/>
          </w:tcPr>
          <w:p w14:paraId="00D88925" w14:textId="61403F33" w:rsidR="00E6234F" w:rsidRPr="003F628B" w:rsidRDefault="00E6234F" w:rsidP="00E6234F">
            <w:pPr>
              <w:jc w:val="both"/>
              <w:rPr>
                <w:rFonts w:ascii="Times New Roman" w:hAnsi="Times New Roman" w:cs="Times New Roman"/>
              </w:rPr>
            </w:pPr>
            <w:r w:rsidRPr="003F628B">
              <w:rPr>
                <w:rFonts w:ascii="Times New Roman" w:hAnsi="Times New Roman" w:cs="Times New Roman"/>
              </w:rPr>
              <w:t>Techninėje specifikacijoje nustatytas reikalavimas dėl šviestuvo korpuso medžiagos ir paviršiaus apsaugos turi būti suprantamas kaip nustatantis alternatyvius techninius sprendinius, užtikrinančius reikiamą atsparumą aplinkos poveikiui.</w:t>
            </w:r>
          </w:p>
          <w:p w14:paraId="0E11FCCD" w14:textId="77777777" w:rsidR="00E6234F" w:rsidRPr="003F628B" w:rsidRDefault="00E6234F" w:rsidP="00E6234F">
            <w:pPr>
              <w:jc w:val="both"/>
              <w:rPr>
                <w:rFonts w:ascii="Times New Roman" w:hAnsi="Times New Roman" w:cs="Times New Roman"/>
              </w:rPr>
            </w:pPr>
            <w:r w:rsidRPr="003F628B">
              <w:rPr>
                <w:rFonts w:ascii="Times New Roman" w:hAnsi="Times New Roman" w:cs="Times New Roman"/>
              </w:rPr>
              <w:t>Reikalavimas laikomas įvykdytu, jeigu:</w:t>
            </w:r>
          </w:p>
          <w:p w14:paraId="3A8DDBCA" w14:textId="77777777" w:rsidR="00CB6DFF" w:rsidRDefault="00E6234F" w:rsidP="00B062BF">
            <w:pPr>
              <w:rPr>
                <w:rFonts w:ascii="Times New Roman" w:hAnsi="Times New Roman" w:cs="Times New Roman"/>
              </w:rPr>
            </w:pPr>
            <w:r w:rsidRPr="003F628B">
              <w:rPr>
                <w:rFonts w:ascii="Times New Roman" w:hAnsi="Times New Roman" w:cs="Times New Roman"/>
              </w:rPr>
              <w:t>– šviestuvo korpusas pagamintas iš aliuminio lydinio ir jo paviršius apsaugotas anodavimo būdu,</w:t>
            </w:r>
            <w:r w:rsidR="00CB6DFF">
              <w:rPr>
                <w:rFonts w:ascii="Times New Roman" w:hAnsi="Times New Roman" w:cs="Times New Roman"/>
              </w:rPr>
              <w:t xml:space="preserve"> </w:t>
            </w:r>
            <w:r w:rsidRPr="003F628B">
              <w:rPr>
                <w:rFonts w:ascii="Times New Roman" w:hAnsi="Times New Roman" w:cs="Times New Roman"/>
              </w:rPr>
              <w:t>arba</w:t>
            </w:r>
          </w:p>
          <w:p w14:paraId="631C0C54" w14:textId="186D777E" w:rsidR="00E6234F" w:rsidRPr="003F628B" w:rsidRDefault="00E6234F" w:rsidP="00B062BF">
            <w:pPr>
              <w:rPr>
                <w:rFonts w:ascii="Times New Roman" w:hAnsi="Times New Roman" w:cs="Times New Roman"/>
              </w:rPr>
            </w:pPr>
            <w:r w:rsidRPr="003F628B">
              <w:rPr>
                <w:rFonts w:ascii="Times New Roman" w:hAnsi="Times New Roman" w:cs="Times New Roman"/>
              </w:rPr>
              <w:t>– šviestuvo korpusas padengtas dažų ir (ar) antikorozine sistema, atitinkančia ne žemesnę kaip C4-H kategoriją pagal ISO 12944.</w:t>
            </w:r>
          </w:p>
          <w:p w14:paraId="7C17C6F3" w14:textId="16F1DCDE" w:rsidR="00B0137C" w:rsidRPr="00160EEF" w:rsidRDefault="00E6234F" w:rsidP="005E3BF4">
            <w:pPr>
              <w:jc w:val="both"/>
              <w:rPr>
                <w:rFonts w:ascii="Times New Roman" w:hAnsi="Times New Roman" w:cs="Times New Roman"/>
              </w:rPr>
            </w:pPr>
            <w:r w:rsidRPr="003F628B">
              <w:rPr>
                <w:rFonts w:ascii="Times New Roman" w:hAnsi="Times New Roman" w:cs="Times New Roman"/>
              </w:rPr>
              <w:t>Papildomo reikalavimo, kad anoduotas aliuminio paviršius kartu turėtų atitikti ISO 12944 C4-H klasę, nėra.</w:t>
            </w:r>
          </w:p>
        </w:tc>
      </w:tr>
      <w:tr w:rsidR="00B0137C" w:rsidRPr="00160EEF" w14:paraId="10013DA6" w14:textId="77777777" w:rsidTr="00622F8A">
        <w:tc>
          <w:tcPr>
            <w:tcW w:w="570" w:type="dxa"/>
            <w:vAlign w:val="center"/>
          </w:tcPr>
          <w:p w14:paraId="56698047" w14:textId="0D6DCAC0" w:rsidR="00B0137C" w:rsidRDefault="00B0137C" w:rsidP="00F33AD8">
            <w:pPr>
              <w:tabs>
                <w:tab w:val="left" w:pos="315"/>
              </w:tabs>
              <w:jc w:val="right"/>
              <w:rPr>
                <w:rFonts w:ascii="Times New Roman" w:hAnsi="Times New Roman" w:cs="Times New Roman"/>
              </w:rPr>
            </w:pPr>
            <w:r>
              <w:rPr>
                <w:rFonts w:ascii="Times New Roman" w:hAnsi="Times New Roman" w:cs="Times New Roman"/>
              </w:rPr>
              <w:t>8.</w:t>
            </w:r>
          </w:p>
        </w:tc>
        <w:tc>
          <w:tcPr>
            <w:tcW w:w="6655" w:type="dxa"/>
            <w:vAlign w:val="center"/>
          </w:tcPr>
          <w:p w14:paraId="286B085A" w14:textId="21A981B9" w:rsidR="00B0137C" w:rsidRPr="00B0137C" w:rsidRDefault="00B0137C" w:rsidP="00B0137C">
            <w:pPr>
              <w:jc w:val="both"/>
              <w:rPr>
                <w:rFonts w:ascii="Times New Roman" w:hAnsi="Times New Roman" w:cs="Times New Roman"/>
              </w:rPr>
            </w:pPr>
            <w:r w:rsidRPr="00B0137C">
              <w:rPr>
                <w:rFonts w:ascii="Times New Roman" w:hAnsi="Times New Roman" w:cs="Times New Roman"/>
              </w:rPr>
              <w:t xml:space="preserve">Prašome kartu su pasiūlymu leisti pateikti laboratorijos išrašą laikinu ENEC+ sertifikato atitikmeniu. Oficiali ENEC+ sertifikato išdavimas šiuo metu yra ruošiamas, todėl ENEC+ laboratorijos </w:t>
            </w:r>
            <w:r w:rsidRPr="00B0137C">
              <w:rPr>
                <w:rFonts w:ascii="Times New Roman" w:hAnsi="Times New Roman" w:cs="Times New Roman"/>
              </w:rPr>
              <w:lastRenderedPageBreak/>
              <w:t>išrašas galėtų būti pateikiamas kaip laikina patvirtinimo priemonė ir lygiavertis dokumentas</w:t>
            </w:r>
            <w:r w:rsidR="00CB6DFF">
              <w:rPr>
                <w:rFonts w:ascii="Times New Roman" w:hAnsi="Times New Roman" w:cs="Times New Roman"/>
              </w:rPr>
              <w:t>.</w:t>
            </w:r>
          </w:p>
        </w:tc>
        <w:tc>
          <w:tcPr>
            <w:tcW w:w="6804" w:type="dxa"/>
            <w:vAlign w:val="center"/>
          </w:tcPr>
          <w:p w14:paraId="5515BC76" w14:textId="118B8C68" w:rsidR="00F44FED" w:rsidRPr="00F44FED" w:rsidRDefault="00F44FED" w:rsidP="00F44FED">
            <w:pPr>
              <w:jc w:val="both"/>
              <w:rPr>
                <w:rFonts w:ascii="Times New Roman" w:hAnsi="Times New Roman" w:cs="Times New Roman"/>
              </w:rPr>
            </w:pPr>
            <w:r w:rsidRPr="00F44FED">
              <w:rPr>
                <w:rFonts w:ascii="Times New Roman" w:hAnsi="Times New Roman" w:cs="Times New Roman"/>
              </w:rPr>
              <w:lastRenderedPageBreak/>
              <w:t xml:space="preserve">Kartu su </w:t>
            </w:r>
            <w:r w:rsidR="00CB463C">
              <w:rPr>
                <w:rFonts w:ascii="Times New Roman" w:hAnsi="Times New Roman" w:cs="Times New Roman"/>
              </w:rPr>
              <w:t>Galutiniu p</w:t>
            </w:r>
            <w:r w:rsidRPr="00F44FED">
              <w:rPr>
                <w:rFonts w:ascii="Times New Roman" w:hAnsi="Times New Roman" w:cs="Times New Roman"/>
              </w:rPr>
              <w:t>asiūlymu tur</w:t>
            </w:r>
            <w:r w:rsidR="00CB463C">
              <w:rPr>
                <w:rFonts w:ascii="Times New Roman" w:hAnsi="Times New Roman" w:cs="Times New Roman"/>
              </w:rPr>
              <w:t>ės</w:t>
            </w:r>
            <w:r w:rsidRPr="00F44FED">
              <w:rPr>
                <w:rFonts w:ascii="Times New Roman" w:hAnsi="Times New Roman" w:cs="Times New Roman"/>
              </w:rPr>
              <w:t xml:space="preserve"> būti pateik</w:t>
            </w:r>
            <w:r w:rsidR="00CB6DFF">
              <w:rPr>
                <w:rFonts w:ascii="Times New Roman" w:hAnsi="Times New Roman" w:cs="Times New Roman"/>
              </w:rPr>
              <w:t>ti</w:t>
            </w:r>
            <w:r w:rsidRPr="00F44FED">
              <w:rPr>
                <w:rFonts w:ascii="Times New Roman" w:hAnsi="Times New Roman" w:cs="Times New Roman"/>
              </w:rPr>
              <w:t xml:space="preserve"> pirkimo dokumentuose nustatyti atitiktį patvirtinantys dokumentai, įskaitant galiojantį ENEC+ sertifikatą.</w:t>
            </w:r>
          </w:p>
          <w:p w14:paraId="2D2C1A7F" w14:textId="272CFB14" w:rsidR="00B0137C" w:rsidRPr="00160EEF" w:rsidRDefault="00F44FED" w:rsidP="005E3BF4">
            <w:pPr>
              <w:jc w:val="both"/>
              <w:rPr>
                <w:rFonts w:ascii="Times New Roman" w:hAnsi="Times New Roman" w:cs="Times New Roman"/>
              </w:rPr>
            </w:pPr>
            <w:r w:rsidRPr="00F44FED">
              <w:rPr>
                <w:rFonts w:ascii="Times New Roman" w:hAnsi="Times New Roman" w:cs="Times New Roman"/>
              </w:rPr>
              <w:lastRenderedPageBreak/>
              <w:t>Laboratorijos bandymų išrašas nelaikomas lygiaverčiu ENEC+ sertifikato atitikmens dokumentu.</w:t>
            </w:r>
          </w:p>
        </w:tc>
      </w:tr>
    </w:tbl>
    <w:p w14:paraId="0B548B29" w14:textId="72920606" w:rsidR="00160EEF" w:rsidRPr="00160EEF" w:rsidRDefault="0004215D" w:rsidP="0004215D">
      <w:pPr>
        <w:jc w:val="center"/>
        <w:rPr>
          <w:rFonts w:ascii="Times New Roman" w:hAnsi="Times New Roman" w:cs="Times New Roman"/>
        </w:rPr>
      </w:pPr>
      <w:r>
        <w:rPr>
          <w:rFonts w:ascii="Times New Roman" w:hAnsi="Times New Roman" w:cs="Times New Roman"/>
        </w:rPr>
        <w:lastRenderedPageBreak/>
        <w:t>_________________</w:t>
      </w:r>
    </w:p>
    <w:sectPr w:rsidR="00160EEF" w:rsidRPr="00160EEF" w:rsidSect="00603711">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4C3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75BA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2E4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8EF0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1764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38171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BF6F02"/>
    <w:multiLevelType w:val="hybridMultilevel"/>
    <w:tmpl w:val="F49215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F102858"/>
    <w:multiLevelType w:val="hybridMultilevel"/>
    <w:tmpl w:val="C6A8D64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 w15:restartNumberingAfterBreak="0">
    <w:nsid w:val="31FCC6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A655E4"/>
    <w:multiLevelType w:val="multilevel"/>
    <w:tmpl w:val="A49A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57669"/>
    <w:multiLevelType w:val="multilevel"/>
    <w:tmpl w:val="EC4CB2E6"/>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Roman"/>
      <w:lvlText w:val=")"/>
      <w:lvlJc w:val="left"/>
      <w:pPr>
        <w:ind w:left="1440" w:hanging="360"/>
      </w:pPr>
    </w:lvl>
    <w:lvl w:ilvl="3">
      <w:start w:val="1"/>
      <w:numFmt w:val="decimal"/>
      <w:lvlText w:val="()"/>
      <w:lvlJc w:val="left"/>
      <w:pPr>
        <w:ind w:left="1800" w:hanging="360"/>
      </w:pPr>
    </w:lvl>
    <w:lvl w:ilvl="4">
      <w:start w:val="1"/>
      <w:numFmt w:val="lowerLetter"/>
      <w:lvlText w:val="()"/>
      <w:lvlJc w:val="left"/>
      <w:pPr>
        <w:ind w:left="2160" w:hanging="360"/>
      </w:pPr>
    </w:lvl>
    <w:lvl w:ilvl="5">
      <w:start w:val="1"/>
      <w:numFmt w:val="lowerRoman"/>
      <w:lvlText w:val="()"/>
      <w:lvlJc w:val="left"/>
      <w:pPr>
        <w:ind w:left="2520" w:hanging="360"/>
      </w:pPr>
    </w:lvl>
    <w:lvl w:ilvl="6">
      <w:start w:val="1"/>
      <w:numFmt w:val="decimal"/>
      <w:lvlText w:val="."/>
      <w:lvlJc w:val="left"/>
      <w:pPr>
        <w:ind w:left="2880" w:hanging="360"/>
      </w:pPr>
    </w:lvl>
    <w:lvl w:ilvl="7">
      <w:start w:val="1"/>
      <w:numFmt w:val="lowerLetter"/>
      <w:lvlText w:val="."/>
      <w:lvlJc w:val="left"/>
      <w:pPr>
        <w:ind w:left="3240" w:hanging="360"/>
      </w:pPr>
    </w:lvl>
    <w:lvl w:ilvl="8">
      <w:start w:val="1"/>
      <w:numFmt w:val="lowerRoman"/>
      <w:lvlText w:val="."/>
      <w:lvlJc w:val="left"/>
      <w:pPr>
        <w:ind w:left="3600" w:hanging="360"/>
      </w:pPr>
    </w:lvl>
  </w:abstractNum>
  <w:abstractNum w:abstractNumId="11" w15:restartNumberingAfterBreak="0">
    <w:nsid w:val="54AA5359"/>
    <w:multiLevelType w:val="hybridMultilevel"/>
    <w:tmpl w:val="6A78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2523F1"/>
    <w:multiLevelType w:val="hybridMultilevel"/>
    <w:tmpl w:val="53EE5880"/>
    <w:lvl w:ilvl="0" w:tplc="25E6670C">
      <w:start w:val="1"/>
      <w:numFmt w:val="decimal"/>
      <w:pStyle w:val="Numbering"/>
      <w:lvlText w:val="%1."/>
      <w:lvlJc w:val="left"/>
      <w:pPr>
        <w:ind w:left="928" w:hanging="360"/>
      </w:pPr>
      <w:rPr>
        <w:rFonts w:ascii="Times New Roman" w:hAnsi="Times New Roman" w:cs="Times New Roman" w:hint="default"/>
        <w:b w:val="0"/>
        <w:i w:val="0"/>
        <w:sz w:val="22"/>
      </w:rPr>
    </w:lvl>
    <w:lvl w:ilvl="1" w:tplc="04270019">
      <w:start w:val="1"/>
      <w:numFmt w:val="lowerLetter"/>
      <w:lvlText w:val="%2."/>
      <w:lvlJc w:val="left"/>
      <w:pPr>
        <w:ind w:left="2537" w:hanging="360"/>
      </w:pPr>
    </w:lvl>
    <w:lvl w:ilvl="2" w:tplc="0427001B">
      <w:start w:val="1"/>
      <w:numFmt w:val="lowerRoman"/>
      <w:lvlText w:val="%3."/>
      <w:lvlJc w:val="right"/>
      <w:pPr>
        <w:ind w:left="3257" w:hanging="180"/>
      </w:pPr>
    </w:lvl>
    <w:lvl w:ilvl="3" w:tplc="0427000F">
      <w:start w:val="1"/>
      <w:numFmt w:val="decimal"/>
      <w:lvlText w:val="%4."/>
      <w:lvlJc w:val="left"/>
      <w:pPr>
        <w:ind w:left="3977" w:hanging="360"/>
      </w:pPr>
    </w:lvl>
    <w:lvl w:ilvl="4" w:tplc="04270019">
      <w:start w:val="1"/>
      <w:numFmt w:val="lowerLetter"/>
      <w:lvlText w:val="%5."/>
      <w:lvlJc w:val="left"/>
      <w:pPr>
        <w:ind w:left="4697" w:hanging="360"/>
      </w:pPr>
    </w:lvl>
    <w:lvl w:ilvl="5" w:tplc="0427001B">
      <w:start w:val="1"/>
      <w:numFmt w:val="lowerRoman"/>
      <w:lvlText w:val="%6."/>
      <w:lvlJc w:val="right"/>
      <w:pPr>
        <w:ind w:left="5417" w:hanging="180"/>
      </w:pPr>
    </w:lvl>
    <w:lvl w:ilvl="6" w:tplc="0427000F">
      <w:start w:val="1"/>
      <w:numFmt w:val="decimal"/>
      <w:lvlText w:val="%7."/>
      <w:lvlJc w:val="left"/>
      <w:pPr>
        <w:ind w:left="6137" w:hanging="360"/>
      </w:pPr>
    </w:lvl>
    <w:lvl w:ilvl="7" w:tplc="04270019">
      <w:start w:val="1"/>
      <w:numFmt w:val="lowerLetter"/>
      <w:lvlText w:val="%8."/>
      <w:lvlJc w:val="left"/>
      <w:pPr>
        <w:ind w:left="6857" w:hanging="360"/>
      </w:pPr>
    </w:lvl>
    <w:lvl w:ilvl="8" w:tplc="0427001B">
      <w:start w:val="1"/>
      <w:numFmt w:val="lowerRoman"/>
      <w:lvlText w:val="%9."/>
      <w:lvlJc w:val="right"/>
      <w:pPr>
        <w:ind w:left="7577" w:hanging="180"/>
      </w:pPr>
    </w:lvl>
  </w:abstractNum>
  <w:abstractNum w:abstractNumId="13" w15:restartNumberingAfterBreak="0">
    <w:nsid w:val="5A4308E4"/>
    <w:multiLevelType w:val="multilevel"/>
    <w:tmpl w:val="A1C6A03E"/>
    <w:lvl w:ilvl="0">
      <w:start w:val="1"/>
      <w:numFmt w:val="lowerLetter"/>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4" w15:restartNumberingAfterBreak="0">
    <w:nsid w:val="5B005082"/>
    <w:multiLevelType w:val="hybridMultilevel"/>
    <w:tmpl w:val="01E28220"/>
    <w:lvl w:ilvl="0" w:tplc="9A5C3C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4A2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7653CCB"/>
    <w:multiLevelType w:val="hybridMultilevel"/>
    <w:tmpl w:val="0478BA0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num w:numId="1" w16cid:durableId="1786651276">
    <w:abstractNumId w:val="3"/>
  </w:num>
  <w:num w:numId="2" w16cid:durableId="996106659">
    <w:abstractNumId w:val="0"/>
  </w:num>
  <w:num w:numId="3" w16cid:durableId="578490289">
    <w:abstractNumId w:val="15"/>
  </w:num>
  <w:num w:numId="4" w16cid:durableId="1210800163">
    <w:abstractNumId w:val="4"/>
  </w:num>
  <w:num w:numId="5" w16cid:durableId="1595699877">
    <w:abstractNumId w:val="2"/>
  </w:num>
  <w:num w:numId="6" w16cid:durableId="1711219268">
    <w:abstractNumId w:val="8"/>
  </w:num>
  <w:num w:numId="7" w16cid:durableId="1813213458">
    <w:abstractNumId w:val="5"/>
  </w:num>
  <w:num w:numId="8" w16cid:durableId="1150098627">
    <w:abstractNumId w:val="1"/>
  </w:num>
  <w:num w:numId="9" w16cid:durableId="536697314">
    <w:abstractNumId w:val="11"/>
  </w:num>
  <w:num w:numId="10" w16cid:durableId="920681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872713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97770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1445205">
    <w:abstractNumId w:val="16"/>
  </w:num>
  <w:num w:numId="14" w16cid:durableId="1767966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0144135">
    <w:abstractNumId w:val="7"/>
  </w:num>
  <w:num w:numId="16" w16cid:durableId="1456023405">
    <w:abstractNumId w:val="14"/>
  </w:num>
  <w:num w:numId="17" w16cid:durableId="871914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12"/>
    <w:rsid w:val="00017706"/>
    <w:rsid w:val="00022ADB"/>
    <w:rsid w:val="0002406E"/>
    <w:rsid w:val="00030F3A"/>
    <w:rsid w:val="00032012"/>
    <w:rsid w:val="0003670C"/>
    <w:rsid w:val="0004215D"/>
    <w:rsid w:val="00044163"/>
    <w:rsid w:val="0006574B"/>
    <w:rsid w:val="00093003"/>
    <w:rsid w:val="0009736A"/>
    <w:rsid w:val="000B1C48"/>
    <w:rsid w:val="000B57CF"/>
    <w:rsid w:val="000E15BE"/>
    <w:rsid w:val="000F0082"/>
    <w:rsid w:val="001226AC"/>
    <w:rsid w:val="001244B4"/>
    <w:rsid w:val="001273D4"/>
    <w:rsid w:val="00160EEF"/>
    <w:rsid w:val="00182F8B"/>
    <w:rsid w:val="00187908"/>
    <w:rsid w:val="001A27B7"/>
    <w:rsid w:val="001D2CA1"/>
    <w:rsid w:val="001E4766"/>
    <w:rsid w:val="00226153"/>
    <w:rsid w:val="00230AEC"/>
    <w:rsid w:val="00230F84"/>
    <w:rsid w:val="0024441B"/>
    <w:rsid w:val="002516BD"/>
    <w:rsid w:val="00251D11"/>
    <w:rsid w:val="0025532B"/>
    <w:rsid w:val="00256E56"/>
    <w:rsid w:val="00260B9A"/>
    <w:rsid w:val="002648F5"/>
    <w:rsid w:val="002D1EA7"/>
    <w:rsid w:val="002F11B0"/>
    <w:rsid w:val="002F14DA"/>
    <w:rsid w:val="00300298"/>
    <w:rsid w:val="00333B9D"/>
    <w:rsid w:val="00340DBE"/>
    <w:rsid w:val="003424F3"/>
    <w:rsid w:val="003854F3"/>
    <w:rsid w:val="003B0E49"/>
    <w:rsid w:val="003B6369"/>
    <w:rsid w:val="003C230F"/>
    <w:rsid w:val="003E2818"/>
    <w:rsid w:val="003E622C"/>
    <w:rsid w:val="003E67A2"/>
    <w:rsid w:val="003F628B"/>
    <w:rsid w:val="00412F95"/>
    <w:rsid w:val="00435FB9"/>
    <w:rsid w:val="004454BB"/>
    <w:rsid w:val="00466131"/>
    <w:rsid w:val="004679DA"/>
    <w:rsid w:val="00467F33"/>
    <w:rsid w:val="004749A7"/>
    <w:rsid w:val="004C0098"/>
    <w:rsid w:val="0050134A"/>
    <w:rsid w:val="00505CD6"/>
    <w:rsid w:val="0052495F"/>
    <w:rsid w:val="00527AC2"/>
    <w:rsid w:val="005374B0"/>
    <w:rsid w:val="00557C75"/>
    <w:rsid w:val="00570F63"/>
    <w:rsid w:val="00597557"/>
    <w:rsid w:val="005E1C69"/>
    <w:rsid w:val="005E3BF4"/>
    <w:rsid w:val="005F0564"/>
    <w:rsid w:val="005F3AB3"/>
    <w:rsid w:val="00603711"/>
    <w:rsid w:val="00622F8A"/>
    <w:rsid w:val="0063266D"/>
    <w:rsid w:val="006406C0"/>
    <w:rsid w:val="00647427"/>
    <w:rsid w:val="0066473E"/>
    <w:rsid w:val="00676512"/>
    <w:rsid w:val="006B4A33"/>
    <w:rsid w:val="006C145B"/>
    <w:rsid w:val="006C154F"/>
    <w:rsid w:val="006D772A"/>
    <w:rsid w:val="007058F0"/>
    <w:rsid w:val="00726703"/>
    <w:rsid w:val="007401E9"/>
    <w:rsid w:val="007570CA"/>
    <w:rsid w:val="0076572C"/>
    <w:rsid w:val="00782822"/>
    <w:rsid w:val="007879C4"/>
    <w:rsid w:val="0079411F"/>
    <w:rsid w:val="007943EA"/>
    <w:rsid w:val="00795ADE"/>
    <w:rsid w:val="007A618E"/>
    <w:rsid w:val="007B01D0"/>
    <w:rsid w:val="007B3849"/>
    <w:rsid w:val="007B7D3F"/>
    <w:rsid w:val="00806F0A"/>
    <w:rsid w:val="00812157"/>
    <w:rsid w:val="008139BC"/>
    <w:rsid w:val="00814844"/>
    <w:rsid w:val="00863BEC"/>
    <w:rsid w:val="00864530"/>
    <w:rsid w:val="008A0CDA"/>
    <w:rsid w:val="008D287C"/>
    <w:rsid w:val="00956639"/>
    <w:rsid w:val="00971B40"/>
    <w:rsid w:val="00982E1D"/>
    <w:rsid w:val="00987114"/>
    <w:rsid w:val="009B0A4F"/>
    <w:rsid w:val="009D3AA2"/>
    <w:rsid w:val="009F1DC7"/>
    <w:rsid w:val="00A02544"/>
    <w:rsid w:val="00AF06BD"/>
    <w:rsid w:val="00B0137C"/>
    <w:rsid w:val="00B01946"/>
    <w:rsid w:val="00B0328B"/>
    <w:rsid w:val="00B062BF"/>
    <w:rsid w:val="00B21CA3"/>
    <w:rsid w:val="00B23A59"/>
    <w:rsid w:val="00B4315C"/>
    <w:rsid w:val="00C155F2"/>
    <w:rsid w:val="00C5400B"/>
    <w:rsid w:val="00C965F8"/>
    <w:rsid w:val="00CB463C"/>
    <w:rsid w:val="00CB55EF"/>
    <w:rsid w:val="00CB6DFF"/>
    <w:rsid w:val="00CC1DED"/>
    <w:rsid w:val="00CD1E46"/>
    <w:rsid w:val="00CF14C6"/>
    <w:rsid w:val="00D06109"/>
    <w:rsid w:val="00D14B53"/>
    <w:rsid w:val="00D45402"/>
    <w:rsid w:val="00D5258B"/>
    <w:rsid w:val="00D66DA8"/>
    <w:rsid w:val="00DA08DF"/>
    <w:rsid w:val="00DC2699"/>
    <w:rsid w:val="00DC7268"/>
    <w:rsid w:val="00DE2836"/>
    <w:rsid w:val="00DE5927"/>
    <w:rsid w:val="00E01761"/>
    <w:rsid w:val="00E2070F"/>
    <w:rsid w:val="00E2140C"/>
    <w:rsid w:val="00E51BEF"/>
    <w:rsid w:val="00E556EA"/>
    <w:rsid w:val="00E6234F"/>
    <w:rsid w:val="00EB5E20"/>
    <w:rsid w:val="00EC2FC9"/>
    <w:rsid w:val="00ED3590"/>
    <w:rsid w:val="00F33AD8"/>
    <w:rsid w:val="00F44FED"/>
    <w:rsid w:val="00F46170"/>
    <w:rsid w:val="00F637D0"/>
    <w:rsid w:val="00F73B74"/>
    <w:rsid w:val="00F95637"/>
    <w:rsid w:val="00FE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AEDF"/>
  <w15:chartTrackingRefBased/>
  <w15:docId w15:val="{54362711-D8A3-4026-A5D5-A590C86A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676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6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651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651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651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65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65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65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65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65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65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65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65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65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65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65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65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65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6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65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65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65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65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6512"/>
    <w:rPr>
      <w:i/>
      <w:iCs/>
      <w:color w:val="404040" w:themeColor="text1" w:themeTint="BF"/>
    </w:rPr>
  </w:style>
  <w:style w:type="paragraph" w:styleId="Sraopastraipa">
    <w:name w:val="List Paragraph"/>
    <w:aliases w:val="List Paragraph Red,Bullet EY,Buletai,List Paragraph21,List Paragraph1,List Paragraph2,lp1,Bullet 1,Use Case List Paragraph,ERP-List Paragraph,List Paragraph11,List Paragraph111,Paragraph,List Paragraph12,Sąrašo pastraipa.Bullet,Lentele"/>
    <w:basedOn w:val="prastasis"/>
    <w:uiPriority w:val="34"/>
    <w:qFormat/>
    <w:rsid w:val="00676512"/>
    <w:pPr>
      <w:ind w:left="720"/>
      <w:contextualSpacing/>
    </w:pPr>
  </w:style>
  <w:style w:type="character" w:styleId="Rykuspabraukimas">
    <w:name w:val="Intense Emphasis"/>
    <w:basedOn w:val="Numatytasispastraiposriftas"/>
    <w:uiPriority w:val="21"/>
    <w:qFormat/>
    <w:rsid w:val="00676512"/>
    <w:rPr>
      <w:i/>
      <w:iCs/>
      <w:color w:val="0F4761" w:themeColor="accent1" w:themeShade="BF"/>
    </w:rPr>
  </w:style>
  <w:style w:type="paragraph" w:styleId="Iskirtacitata">
    <w:name w:val="Intense Quote"/>
    <w:basedOn w:val="prastasis"/>
    <w:next w:val="prastasis"/>
    <w:link w:val="IskirtacitataDiagrama"/>
    <w:uiPriority w:val="30"/>
    <w:qFormat/>
    <w:rsid w:val="00676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6512"/>
    <w:rPr>
      <w:i/>
      <w:iCs/>
      <w:color w:val="0F4761" w:themeColor="accent1" w:themeShade="BF"/>
    </w:rPr>
  </w:style>
  <w:style w:type="character" w:styleId="Rykinuoroda">
    <w:name w:val="Intense Reference"/>
    <w:basedOn w:val="Numatytasispastraiposriftas"/>
    <w:uiPriority w:val="32"/>
    <w:qFormat/>
    <w:rsid w:val="00676512"/>
    <w:rPr>
      <w:b/>
      <w:bCs/>
      <w:smallCaps/>
      <w:color w:val="0F4761" w:themeColor="accent1" w:themeShade="BF"/>
      <w:spacing w:val="5"/>
    </w:rPr>
  </w:style>
  <w:style w:type="table" w:styleId="Lentelstinklelis">
    <w:name w:val="Table Grid"/>
    <w:basedOn w:val="prastojilentel"/>
    <w:uiPriority w:val="39"/>
    <w:rsid w:val="00676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unhideWhenUsed/>
    <w:qFormat/>
    <w:rsid w:val="00CC1DED"/>
    <w:rPr>
      <w:color w:val="0000FF"/>
      <w:u w:val="single"/>
    </w:rPr>
  </w:style>
  <w:style w:type="character" w:styleId="Komentaronuoroda">
    <w:name w:val="annotation reference"/>
    <w:basedOn w:val="Numatytasispastraiposriftas"/>
    <w:uiPriority w:val="99"/>
    <w:semiHidden/>
    <w:unhideWhenUsed/>
    <w:rsid w:val="007570CA"/>
    <w:rPr>
      <w:sz w:val="16"/>
      <w:szCs w:val="16"/>
    </w:rPr>
  </w:style>
  <w:style w:type="paragraph" w:styleId="Komentarotekstas">
    <w:name w:val="annotation text"/>
    <w:basedOn w:val="prastasis"/>
    <w:link w:val="KomentarotekstasDiagrama"/>
    <w:uiPriority w:val="99"/>
    <w:unhideWhenUsed/>
    <w:rsid w:val="007570C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70CA"/>
    <w:rPr>
      <w:sz w:val="20"/>
      <w:szCs w:val="20"/>
    </w:rPr>
  </w:style>
  <w:style w:type="paragraph" w:styleId="Komentarotema">
    <w:name w:val="annotation subject"/>
    <w:basedOn w:val="Komentarotekstas"/>
    <w:next w:val="Komentarotekstas"/>
    <w:link w:val="KomentarotemaDiagrama"/>
    <w:uiPriority w:val="99"/>
    <w:semiHidden/>
    <w:unhideWhenUsed/>
    <w:rsid w:val="007570CA"/>
    <w:rPr>
      <w:b/>
      <w:bCs/>
    </w:rPr>
  </w:style>
  <w:style w:type="character" w:customStyle="1" w:styleId="KomentarotemaDiagrama">
    <w:name w:val="Komentaro tema Diagrama"/>
    <w:basedOn w:val="KomentarotekstasDiagrama"/>
    <w:link w:val="Komentarotema"/>
    <w:uiPriority w:val="99"/>
    <w:semiHidden/>
    <w:rsid w:val="007570CA"/>
    <w:rPr>
      <w:b/>
      <w:bCs/>
      <w:sz w:val="20"/>
      <w:szCs w:val="20"/>
    </w:rPr>
  </w:style>
  <w:style w:type="character" w:customStyle="1" w:styleId="NumberingChar">
    <w:name w:val="Numbering Char"/>
    <w:aliases w:val="List Paragraph Char,List Paragraph Red Char,Bullet EY Char,Buletai Char,List Paragraph21 Char,List Paragraph1 Char,List Paragraph2 Char,lp1 Char,Bullet 1 Char,Use Case List Paragraph Char,ERP-List Paragraph Char,List Paragraph11 Char"/>
    <w:basedOn w:val="Numatytasispastraiposriftas"/>
    <w:link w:val="Numbering"/>
    <w:qFormat/>
    <w:locked/>
    <w:rsid w:val="003E67A2"/>
    <w:rPr>
      <w:rFonts w:ascii="Times New Roman" w:eastAsiaTheme="minorEastAsia" w:hAnsi="Times New Roman" w:cs="Times New Roman"/>
      <w:color w:val="000000"/>
      <w:kern w:val="0"/>
      <w:lang w:val="lt-LT" w:eastAsia="zh-CN"/>
      <w14:ligatures w14:val="none"/>
    </w:rPr>
  </w:style>
  <w:style w:type="paragraph" w:customStyle="1" w:styleId="Numbering">
    <w:name w:val="Numbering"/>
    <w:basedOn w:val="prastasis"/>
    <w:link w:val="NumberingChar"/>
    <w:qFormat/>
    <w:rsid w:val="003E67A2"/>
    <w:pPr>
      <w:numPr>
        <w:numId w:val="14"/>
      </w:numPr>
      <w:spacing w:before="120" w:after="120" w:line="280" w:lineRule="atLeast"/>
      <w:jc w:val="both"/>
    </w:pPr>
    <w:rPr>
      <w:rFonts w:ascii="Times New Roman" w:eastAsiaTheme="minorEastAsia" w:hAnsi="Times New Roman" w:cs="Times New Roman"/>
      <w:color w:val="000000"/>
      <w:kern w:val="0"/>
      <w:lang w:eastAsia="zh-CN"/>
      <w14:ligatures w14:val="none"/>
    </w:rPr>
  </w:style>
  <w:style w:type="character" w:styleId="Perirtashipersaitas">
    <w:name w:val="FollowedHyperlink"/>
    <w:basedOn w:val="Numatytasispastraiposriftas"/>
    <w:uiPriority w:val="99"/>
    <w:semiHidden/>
    <w:unhideWhenUsed/>
    <w:rsid w:val="00863BEC"/>
    <w:rPr>
      <w:color w:val="96607D" w:themeColor="followedHyperlink"/>
      <w:u w:val="single"/>
    </w:rPr>
  </w:style>
  <w:style w:type="character" w:styleId="Neapdorotaspaminjimas">
    <w:name w:val="Unresolved Mention"/>
    <w:basedOn w:val="Numatytasispastraiposriftas"/>
    <w:uiPriority w:val="99"/>
    <w:semiHidden/>
    <w:unhideWhenUsed/>
    <w:rsid w:val="00300298"/>
    <w:rPr>
      <w:color w:val="605E5C"/>
      <w:shd w:val="clear" w:color="auto" w:fill="E1DFDD"/>
    </w:rPr>
  </w:style>
  <w:style w:type="paragraph" w:styleId="Debesliotekstas">
    <w:name w:val="Balloon Text"/>
    <w:basedOn w:val="prastasis"/>
    <w:link w:val="DebesliotekstasDiagrama"/>
    <w:uiPriority w:val="99"/>
    <w:semiHidden/>
    <w:unhideWhenUsed/>
    <w:rsid w:val="002261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6153"/>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ipeda.lt/data/public/uploads/2019/09/apsvietimo-schema-2019.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99C5BFF465CB46B9F9F8046B0E8D22" ma:contentTypeVersion="11" ma:contentTypeDescription="Create a new document." ma:contentTypeScope="" ma:versionID="ebc7af9774d8cae9071a319c75d6539f">
  <xsd:schema xmlns:xsd="http://www.w3.org/2001/XMLSchema" xmlns:xs="http://www.w3.org/2001/XMLSchema" xmlns:p="http://schemas.microsoft.com/office/2006/metadata/properties" xmlns:ns3="f9bd1b20-3b0b-478d-af64-84dcbe85a04c" targetNamespace="http://schemas.microsoft.com/office/2006/metadata/properties" ma:root="true" ma:fieldsID="d67b3765247e04c6b9d1735785be828e" ns3:_="">
    <xsd:import namespace="f9bd1b20-3b0b-478d-af64-84dcbe85a04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d1b20-3b0b-478d-af64-84dcbe85a0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bd1b20-3b0b-478d-af64-84dcbe85a04c" xsi:nil="true"/>
  </documentManagement>
</p:properties>
</file>

<file path=customXml/itemProps1.xml><?xml version="1.0" encoding="utf-8"?>
<ds:datastoreItem xmlns:ds="http://schemas.openxmlformats.org/officeDocument/2006/customXml" ds:itemID="{B5644DA7-984A-4CE1-86EE-49E70D9E3437}">
  <ds:schemaRefs>
    <ds:schemaRef ds:uri="http://schemas.microsoft.com/sharepoint/v3/contenttype/forms"/>
  </ds:schemaRefs>
</ds:datastoreItem>
</file>

<file path=customXml/itemProps2.xml><?xml version="1.0" encoding="utf-8"?>
<ds:datastoreItem xmlns:ds="http://schemas.openxmlformats.org/officeDocument/2006/customXml" ds:itemID="{36D04629-1B8C-4B29-8B59-A8713B6F1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d1b20-3b0b-478d-af64-84dcbe85a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0BEB1-C05E-4A93-8115-6EDA6188419D}">
  <ds:schemaRefs>
    <ds:schemaRef ds:uri="http://schemas.microsoft.com/office/2006/metadata/properties"/>
    <ds:schemaRef ds:uri="http://schemas.microsoft.com/office/infopath/2007/PartnerControls"/>
    <ds:schemaRef ds:uri="f9bd1b20-3b0b-478d-af64-84dcbe85a04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1239</Words>
  <Characters>7064</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Bružas</dc:creator>
  <cp:keywords/>
  <dc:description/>
  <cp:lastModifiedBy>Ausra.Skrabiene</cp:lastModifiedBy>
  <cp:revision>9</cp:revision>
  <dcterms:created xsi:type="dcterms:W3CDTF">2026-02-04T07:08:00Z</dcterms:created>
  <dcterms:modified xsi:type="dcterms:W3CDTF">2026-02-05T13:46:00Z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0x010100B599C5BFF465CB46B9F9F8046B0E8D22</vt:lpwstr>
  </property>
</Properties>
</file>