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49F1FE3" w14:textId="44483E85" w:rsidR="009F734E" w:rsidRPr="002257A3" w:rsidRDefault="00834518" w:rsidP="00657CB3">
            <w:pPr>
              <w:spacing w:after="120" w:line="20" w:lineRule="atLeast"/>
              <w:contextualSpacing/>
              <w:jc w:val="center"/>
              <w:rPr>
                <w:b/>
                <w:bCs/>
                <w:color w:val="000000" w:themeColor="text1"/>
                <w:sz w:val="20"/>
              </w:rPr>
            </w:pPr>
            <w:r w:rsidRPr="002257A3">
              <w:rPr>
                <w:rFonts w:eastAsia="LiberationSerif-Bold"/>
                <w:b/>
                <w:bCs/>
                <w:sz w:val="22"/>
                <w:szCs w:val="22"/>
              </w:rPr>
              <w:t>VIENKARTINĖS MEDICINOS PRIEMONĖS. PLAUČIŲ TRENIRUOKLIAI</w:t>
            </w: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Default="002B7C65">
            <w:pPr>
              <w:rPr>
                <w:b/>
                <w:bCs/>
                <w:color w:val="000000" w:themeColor="text1"/>
                <w:kern w:val="2"/>
                <w:sz w:val="22"/>
                <w:szCs w:val="22"/>
              </w:rPr>
            </w:pPr>
          </w:p>
          <w:p w14:paraId="7B7C4B70" w14:textId="77777777" w:rsidR="00FF7D2D" w:rsidRDefault="00FF7D2D">
            <w:pPr>
              <w:rPr>
                <w:b/>
                <w:bCs/>
                <w:color w:val="000000" w:themeColor="text1"/>
                <w:kern w:val="2"/>
                <w:sz w:val="22"/>
                <w:szCs w:val="22"/>
              </w:rPr>
            </w:pPr>
          </w:p>
          <w:p w14:paraId="3A31236B" w14:textId="77777777" w:rsidR="00FF7D2D" w:rsidRDefault="00FF7D2D">
            <w:pPr>
              <w:rPr>
                <w:b/>
                <w:bCs/>
                <w:color w:val="000000" w:themeColor="text1"/>
                <w:kern w:val="2"/>
                <w:sz w:val="22"/>
                <w:szCs w:val="22"/>
              </w:rPr>
            </w:pPr>
          </w:p>
          <w:p w14:paraId="4A957015" w14:textId="6343C6D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02ECC554" w:rsidR="00D666A1" w:rsidRPr="00FF7D2D" w:rsidRDefault="00FF7D2D" w:rsidP="00FF7D2D">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00EA5388" w:rsidRPr="00FF7D2D">
              <w:rPr>
                <w:rFonts w:eastAsia="Calibri"/>
                <w:sz w:val="22"/>
                <w:szCs w:val="22"/>
              </w:rPr>
              <w:t>Jolanta Dirgėlienė</w:t>
            </w:r>
            <w:r w:rsidR="00D666A1" w:rsidRPr="00FF7D2D">
              <w:rPr>
                <w:rFonts w:eastAsia="Calibri"/>
                <w:sz w:val="22"/>
                <w:szCs w:val="22"/>
              </w:rPr>
              <w:t xml:space="preserve"> tel. +370 </w:t>
            </w:r>
            <w:r w:rsidRPr="00FF7D2D">
              <w:rPr>
                <w:rFonts w:eastAsia="Calibri"/>
                <w:color w:val="000000"/>
                <w:sz w:val="22"/>
                <w:szCs w:val="22"/>
              </w:rPr>
              <w:t>46 396217</w:t>
            </w:r>
            <w:r>
              <w:rPr>
                <w:rFonts w:eastAsia="Calibri"/>
                <w:color w:val="000000"/>
                <w:sz w:val="22"/>
                <w:szCs w:val="22"/>
              </w:rPr>
              <w:t xml:space="preserve">, </w:t>
            </w:r>
            <w:r w:rsidR="00D666A1" w:rsidRPr="00FF7D2D">
              <w:rPr>
                <w:rFonts w:eastAsia="Calibri"/>
                <w:sz w:val="22"/>
                <w:szCs w:val="22"/>
              </w:rPr>
              <w:t xml:space="preserve">el. paštas: </w:t>
            </w:r>
            <w:hyperlink r:id="rId11" w:history="1">
              <w:r w:rsidR="00EA5388" w:rsidRPr="00FF7D2D">
                <w:rPr>
                  <w:rStyle w:val="Hipersaitas"/>
                  <w:rFonts w:eastAsia="Calibri"/>
                  <w:sz w:val="22"/>
                  <w:szCs w:val="22"/>
                </w:rPr>
                <w:t>jolanta.dirgeliene@kulig.lt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0FFB343B"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@kulig</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0F76E609" w14:textId="2D1D9416" w:rsidR="00B767F3" w:rsidRPr="00BE5A6B" w:rsidRDefault="00D57A89" w:rsidP="007F03B7">
            <w:pPr>
              <w:rPr>
                <w:color w:val="000000" w:themeColor="text1"/>
                <w:sz w:val="22"/>
                <w:szCs w:val="22"/>
                <w:shd w:val="clear" w:color="auto" w:fill="FFFFFF"/>
              </w:rPr>
            </w:pPr>
            <w:r w:rsidRPr="00BE5A6B">
              <w:rPr>
                <w:color w:val="000000" w:themeColor="text1"/>
                <w:sz w:val="22"/>
                <w:szCs w:val="22"/>
                <w:shd w:val="clear" w:color="auto" w:fill="FFFFFF"/>
              </w:rPr>
              <w:t>Birutė Navickienė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sidRPr="00BE5A6B">
              <w:rPr>
                <w:color w:val="000000" w:themeColor="text1"/>
                <w:sz w:val="22"/>
                <w:szCs w:val="22"/>
                <w:shd w:val="clear" w:color="auto" w:fill="FFFFFF"/>
              </w:rPr>
              <w:t>491014</w:t>
            </w:r>
            <w:r w:rsidR="007F03B7" w:rsidRPr="00BE5A6B">
              <w:rPr>
                <w:color w:val="000000" w:themeColor="text1"/>
                <w:sz w:val="22"/>
                <w:szCs w:val="22"/>
                <w:shd w:val="clear" w:color="auto" w:fill="FFFFFF"/>
              </w:rPr>
              <w:t xml:space="preserve">, el. paštas: </w:t>
            </w:r>
            <w:hyperlink r:id="rId13" w:history="1">
              <w:r w:rsidRPr="00757EF8">
                <w:rPr>
                  <w:rStyle w:val="Hipersaitas"/>
                  <w:color w:val="0070C0"/>
                  <w:sz w:val="22"/>
                  <w:szCs w:val="22"/>
                </w:rPr>
                <w:t>birute.navickiene</w:t>
              </w:r>
              <w:r w:rsidRPr="00757EF8">
                <w:rPr>
                  <w:rStyle w:val="Hipersaitas"/>
                  <w:color w:val="0070C0"/>
                  <w:sz w:val="22"/>
                  <w:szCs w:val="22"/>
                  <w:shd w:val="clear" w:color="auto" w:fill="FFFFFF"/>
                </w:rPr>
                <w:t>@kul.lt</w:t>
              </w:r>
            </w:hyperlink>
          </w:p>
          <w:p w14:paraId="61F9B250" w14:textId="150AE0CB" w:rsidR="007F03B7" w:rsidRPr="00BE5A6B" w:rsidRDefault="007F03B7" w:rsidP="007F03B7">
            <w:pPr>
              <w:rPr>
                <w:color w:val="000000" w:themeColor="text1"/>
                <w:kern w:val="2"/>
                <w:sz w:val="22"/>
                <w:szCs w:val="22"/>
              </w:rPr>
            </w:pPr>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729FCDAA" w14:textId="521B449F" w:rsidR="00FA2714" w:rsidRPr="00B01D68" w:rsidRDefault="00CB3D1A" w:rsidP="00CC11BB">
            <w:pPr>
              <w:autoSpaceDE w:val="0"/>
              <w:autoSpaceDN w:val="0"/>
              <w:adjustRightInd w:val="0"/>
              <w:jc w:val="both"/>
              <w:rPr>
                <w:color w:val="000000" w:themeColor="text1"/>
                <w:sz w:val="22"/>
                <w:szCs w:val="22"/>
              </w:rPr>
            </w:pPr>
            <w:r w:rsidRPr="00B01D68">
              <w:rPr>
                <w:rFonts w:eastAsia="LiberationSerif-Bold"/>
                <w:b/>
                <w:bCs/>
                <w:sz w:val="22"/>
                <w:szCs w:val="22"/>
              </w:rPr>
              <w:t>Vienkartinės medicinos priemonės. Plaučių treniruokliai</w:t>
            </w:r>
          </w:p>
          <w:p w14:paraId="1D8F1B27" w14:textId="7C2818E0" w:rsidR="00CC11BB" w:rsidRPr="00B01D68" w:rsidRDefault="00CC11BB" w:rsidP="00CC11BB">
            <w:pPr>
              <w:autoSpaceDE w:val="0"/>
              <w:autoSpaceDN w:val="0"/>
              <w:adjustRightInd w:val="0"/>
              <w:jc w:val="both"/>
              <w:rPr>
                <w:color w:val="000000" w:themeColor="text1"/>
                <w:kern w:val="2"/>
                <w:sz w:val="22"/>
                <w:szCs w:val="22"/>
              </w:rPr>
            </w:pPr>
            <w:r w:rsidRPr="00B01D68">
              <w:rPr>
                <w:color w:val="000000" w:themeColor="text1"/>
                <w:kern w:val="2"/>
                <w:sz w:val="22"/>
                <w:szCs w:val="22"/>
              </w:rPr>
              <w:t>Tiekėjas įsipareigoja Sutartyje numatytomis sąlygomis parduoti Pirkėjui Sutarties 1 priede nurodyt</w:t>
            </w:r>
            <w:r w:rsidR="00CB3D1A" w:rsidRPr="00B01D68">
              <w:rPr>
                <w:color w:val="000000" w:themeColor="text1"/>
                <w:kern w:val="2"/>
                <w:sz w:val="22"/>
                <w:szCs w:val="22"/>
              </w:rPr>
              <w:t>as</w:t>
            </w:r>
            <w:r w:rsidRPr="00B01D68">
              <w:rPr>
                <w:color w:val="000000" w:themeColor="text1"/>
                <w:kern w:val="2"/>
                <w:sz w:val="22"/>
                <w:szCs w:val="22"/>
              </w:rPr>
              <w:t xml:space="preserve"> </w:t>
            </w:r>
            <w:r w:rsidR="00B01D68">
              <w:rPr>
                <w:rFonts w:eastAsia="LiberationSerif-Bold"/>
                <w:b/>
                <w:bCs/>
                <w:sz w:val="22"/>
                <w:szCs w:val="22"/>
              </w:rPr>
              <w:t>v</w:t>
            </w:r>
            <w:r w:rsidR="00CB3D1A" w:rsidRPr="00B01D68">
              <w:rPr>
                <w:rFonts w:eastAsia="LiberationSerif-Bold"/>
                <w:b/>
                <w:bCs/>
                <w:sz w:val="22"/>
                <w:szCs w:val="22"/>
              </w:rPr>
              <w:t>ienkartines medicinos priemon</w:t>
            </w:r>
            <w:r w:rsidR="00B01D68">
              <w:rPr>
                <w:rFonts w:eastAsia="LiberationSerif-Bold"/>
                <w:b/>
                <w:bCs/>
                <w:sz w:val="22"/>
                <w:szCs w:val="22"/>
              </w:rPr>
              <w:t>e</w:t>
            </w:r>
            <w:r w:rsidR="00CB3D1A" w:rsidRPr="00B01D68">
              <w:rPr>
                <w:rFonts w:eastAsia="LiberationSerif-Bold"/>
                <w:b/>
                <w:bCs/>
                <w:sz w:val="22"/>
                <w:szCs w:val="22"/>
              </w:rPr>
              <w:t>s-plaučių treniruoklius</w:t>
            </w:r>
            <w:r w:rsidR="00CB3D1A" w:rsidRPr="00B01D68">
              <w:rPr>
                <w:color w:val="000000" w:themeColor="text1"/>
                <w:kern w:val="2"/>
                <w:sz w:val="22"/>
                <w:szCs w:val="22"/>
              </w:rPr>
              <w:t xml:space="preserve"> </w:t>
            </w:r>
            <w:r w:rsidRPr="00B01D68">
              <w:rPr>
                <w:color w:val="000000" w:themeColor="text1"/>
                <w:kern w:val="2"/>
                <w:sz w:val="22"/>
                <w:szCs w:val="22"/>
              </w:rPr>
              <w:t>(toliau – Prekės)</w:t>
            </w:r>
            <w:r w:rsidR="00583426" w:rsidRPr="00B01D68">
              <w:rPr>
                <w:color w:val="000000" w:themeColor="text1"/>
                <w:kern w:val="2"/>
                <w:sz w:val="22"/>
                <w:szCs w:val="22"/>
              </w:rPr>
              <w:t>.</w:t>
            </w:r>
            <w:r w:rsidRPr="00B01D68">
              <w:rPr>
                <w:color w:val="000000" w:themeColor="text1"/>
                <w:kern w:val="2"/>
                <w:sz w:val="22"/>
                <w:szCs w:val="22"/>
              </w:rPr>
              <w:t xml:space="preserve"> </w:t>
            </w:r>
          </w:p>
          <w:p w14:paraId="74009C55" w14:textId="1515538D" w:rsidR="00AB1FDC" w:rsidRPr="00B01D68" w:rsidRDefault="00CC11BB" w:rsidP="00B01D68">
            <w:pPr>
              <w:jc w:val="both"/>
              <w:rPr>
                <w:color w:val="000000" w:themeColor="text1"/>
                <w:kern w:val="2"/>
                <w:sz w:val="22"/>
                <w:szCs w:val="22"/>
              </w:rPr>
            </w:pPr>
            <w:r w:rsidRPr="00B01D68">
              <w:rPr>
                <w:color w:val="000000" w:themeColor="text1"/>
                <w:kern w:val="2"/>
                <w:sz w:val="22"/>
                <w:szCs w:val="22"/>
              </w:rPr>
              <w:t>Išsamus Prekių aprašymas ir kiti reikalavimai tiekiamoms Prekėms</w:t>
            </w:r>
            <w:r w:rsidR="00FA4AC5" w:rsidRPr="00B01D68">
              <w:rPr>
                <w:color w:val="000000" w:themeColor="text1"/>
                <w:kern w:val="2"/>
                <w:sz w:val="22"/>
                <w:szCs w:val="22"/>
              </w:rPr>
              <w:t xml:space="preserve"> </w:t>
            </w:r>
            <w:r w:rsidRPr="00B01D68">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004C8B1E" w:rsidR="00A12F1C" w:rsidRPr="00B01D68" w:rsidRDefault="00CB3D1A" w:rsidP="00D666A1">
            <w:pPr>
              <w:autoSpaceDE w:val="0"/>
              <w:autoSpaceDN w:val="0"/>
              <w:adjustRightInd w:val="0"/>
              <w:ind w:left="50"/>
              <w:rPr>
                <w:color w:val="EE0000"/>
                <w:kern w:val="2"/>
                <w:sz w:val="22"/>
                <w:szCs w:val="22"/>
              </w:rPr>
            </w:pPr>
            <w:r w:rsidRPr="00961E99">
              <w:rPr>
                <w:rFonts w:eastAsia="LiberationSerif-Bold"/>
                <w:sz w:val="22"/>
                <w:szCs w:val="22"/>
              </w:rPr>
              <w:t>Vienkartinės medicinos priemonės. Plaučių treniruokliai</w:t>
            </w:r>
            <w:r w:rsidR="00D666A1" w:rsidRPr="00961E99">
              <w:rPr>
                <w:rFonts w:eastAsia="LiberationSerif-Bold"/>
                <w:sz w:val="22"/>
                <w:szCs w:val="22"/>
                <w:lang w:eastAsia="lt-LT"/>
              </w:rPr>
              <w:t xml:space="preserve"> </w:t>
            </w:r>
            <w:r w:rsidR="00D062A8" w:rsidRPr="00961E99">
              <w:rPr>
                <w:sz w:val="22"/>
                <w:szCs w:val="22"/>
              </w:rPr>
              <w:t xml:space="preserve">pirkimo </w:t>
            </w:r>
            <w:r w:rsidR="00D062A8" w:rsidRPr="00B01D68">
              <w:rPr>
                <w:color w:val="EE0000"/>
                <w:sz w:val="22"/>
                <w:szCs w:val="22"/>
              </w:rPr>
              <w:t>Nr.</w:t>
            </w:r>
          </w:p>
          <w:p w14:paraId="1E986A9B" w14:textId="03CE920E" w:rsidR="00BE5A6B" w:rsidRPr="002257A3" w:rsidRDefault="00BE5A6B" w:rsidP="002B4922">
            <w:pPr>
              <w:rPr>
                <w:color w:val="000000" w:themeColor="text1"/>
                <w:kern w:val="2"/>
                <w:sz w:val="22"/>
                <w:szCs w:val="22"/>
              </w:rPr>
            </w:pP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02F47DE5" w:rsidR="00AB1FDC" w:rsidRPr="00BE5A6B" w:rsidRDefault="009657E6" w:rsidP="00AB1FDC">
            <w:pPr>
              <w:jc w:val="both"/>
              <w:textAlignment w:val="baseline"/>
              <w:rPr>
                <w:color w:val="000000" w:themeColor="text1"/>
                <w:sz w:val="22"/>
                <w:szCs w:val="22"/>
              </w:rPr>
            </w:pPr>
            <w:r w:rsidRPr="00841821">
              <w:t xml:space="preserve">Tiekėjas pagal atskirą užsakymą įsipareigoja pristatyti Prekes ne vėliau kaip per </w:t>
            </w:r>
            <w:r w:rsidR="00B01D68">
              <w:t>3</w:t>
            </w:r>
            <w:r w:rsidRPr="00841821">
              <w:t xml:space="preserve"> darbo dien</w:t>
            </w:r>
            <w:r w:rsidR="00B01D68">
              <w:t>as</w:t>
            </w:r>
            <w:r w:rsidRPr="00841821">
              <w:t xml:space="preserve"> nuo užsakymo pateikimo dienos ši</w:t>
            </w:r>
            <w:r w:rsidR="00B01D68">
              <w:t>ais</w:t>
            </w:r>
            <w:r w:rsidRPr="00841821">
              <w:t xml:space="preserve"> adres</w:t>
            </w:r>
            <w:r w:rsidR="00B01D68">
              <w:t>ais</w:t>
            </w:r>
            <w:r w:rsidRPr="00841821">
              <w:t>: Liepojos g. 4</w:t>
            </w:r>
            <w:r>
              <w:t>1</w:t>
            </w:r>
            <w:r w:rsidRPr="00841821">
              <w:t xml:space="preserve">, Klaipėda, </w:t>
            </w:r>
            <w:r w:rsidR="00B01D68" w:rsidRPr="00841821">
              <w:t>Liepojos g. 4</w:t>
            </w:r>
            <w:r w:rsidR="00B01D68">
              <w:t>5</w:t>
            </w:r>
            <w:r w:rsidR="00B01D68" w:rsidRPr="00841821">
              <w:t xml:space="preserve">, Klaipėda, </w:t>
            </w:r>
            <w:r w:rsidRPr="00841821">
              <w:t>VšĮ Klaipėdos universiteto ligoninė</w:t>
            </w:r>
            <w:r w:rsidR="00AB1FDC">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BE5A6B" w:rsidRDefault="009657E6" w:rsidP="00757EF8">
            <w:pPr>
              <w:jc w:val="both"/>
              <w:rPr>
                <w:color w:val="000000" w:themeColor="text1"/>
                <w:kern w:val="2"/>
                <w:sz w:val="22"/>
                <w:szCs w:val="22"/>
              </w:rPr>
            </w:pPr>
            <w:r>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BE5A6B" w:rsidRDefault="009657E6">
            <w:pPr>
              <w:rPr>
                <w:color w:val="000000" w:themeColor="text1"/>
                <w:kern w:val="2"/>
                <w:sz w:val="22"/>
                <w:szCs w:val="22"/>
              </w:rPr>
            </w:pPr>
            <w:r w:rsidRPr="00B96C6D">
              <w:rPr>
                <w:kern w:val="2"/>
                <w:sz w:val="22"/>
                <w:szCs w:val="22"/>
              </w:rPr>
              <w:t>Užsakymai teikiami Tiekėjo nurodytu elektroniniu paštu ir laikomi gautais</w:t>
            </w:r>
            <w:r>
              <w:rPr>
                <w:kern w:val="2"/>
                <w:sz w:val="22"/>
                <w:szCs w:val="22"/>
              </w:rPr>
              <w:t xml:space="preserve"> </w:t>
            </w:r>
            <w:r w:rsidRPr="001E410C">
              <w:rPr>
                <w:kern w:val="2"/>
                <w:sz w:val="22"/>
                <w:szCs w:val="22"/>
              </w:rPr>
              <w:t>po 24 (dvidešimt keturių valandų)</w:t>
            </w:r>
            <w:r w:rsidRPr="00B96C6D">
              <w:rPr>
                <w:kern w:val="2"/>
                <w:sz w:val="22"/>
                <w:szCs w:val="22"/>
              </w:rPr>
              <w:t xml:space="preserve">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834518" w:rsidRDefault="00B279CC" w:rsidP="00B279CC">
            <w:pPr>
              <w:jc w:val="both"/>
              <w:rPr>
                <w:kern w:val="2"/>
                <w:sz w:val="22"/>
                <w:szCs w:val="22"/>
              </w:rPr>
            </w:pPr>
            <w:r w:rsidRPr="00834518">
              <w:rPr>
                <w:kern w:val="2"/>
                <w:sz w:val="22"/>
                <w:szCs w:val="22"/>
              </w:rPr>
              <w:t>4.5.1. Prekių perdavimo-priėmimo aktas</w:t>
            </w:r>
            <w:r w:rsidR="000E25E9" w:rsidRPr="00834518">
              <w:rPr>
                <w:kern w:val="2"/>
                <w:sz w:val="22"/>
                <w:szCs w:val="22"/>
              </w:rPr>
              <w:t>.</w:t>
            </w:r>
          </w:p>
          <w:p w14:paraId="2D7E4001" w14:textId="3E9DE01D" w:rsidR="00256423" w:rsidRPr="00834518" w:rsidRDefault="00B279CC" w:rsidP="00B279CC">
            <w:pPr>
              <w:jc w:val="both"/>
              <w:rPr>
                <w:sz w:val="22"/>
                <w:szCs w:val="22"/>
              </w:rPr>
            </w:pPr>
            <w:r w:rsidRPr="00834518">
              <w:rPr>
                <w:kern w:val="2"/>
                <w:sz w:val="22"/>
                <w:szCs w:val="22"/>
              </w:rPr>
              <w:t>Tiekėjui nepateikus nurodytų dokumentų, laikoma, kad Prekės neatitinka Sutartyje nustatytų reikalavimų.</w:t>
            </w:r>
          </w:p>
          <w:p w14:paraId="73FFA04B" w14:textId="2115866B" w:rsidR="00641B5E" w:rsidRPr="00834518" w:rsidRDefault="00641B5E" w:rsidP="00256423">
            <w:pPr>
              <w:jc w:val="both"/>
              <w:rPr>
                <w:kern w:val="2"/>
                <w:sz w:val="22"/>
                <w:szCs w:val="22"/>
              </w:rPr>
            </w:pP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4A5781"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59A00FE3" w:rsidR="00256423" w:rsidRPr="00BE5A6B" w:rsidRDefault="000E5F99" w:rsidP="000E5F99">
            <w:pPr>
              <w:rPr>
                <w:color w:val="000000" w:themeColor="text1"/>
                <w:kern w:val="2"/>
                <w:sz w:val="22"/>
                <w:szCs w:val="22"/>
              </w:rPr>
            </w:pPr>
            <w:r w:rsidRPr="000E5F99">
              <w:rPr>
                <w:sz w:val="22"/>
                <w:szCs w:val="22"/>
              </w:rPr>
              <w:t>Sutartis galioja iki visiško prievolių įvykdymo (kol bus išnaudota Pradinės Sutarties vertė, bet jos galiojimo terminas negali būti ilgesnis kaip 37 (trisdešimt septynis) mėnesius, (36 mėn. prekių pristatymas,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0E5F99" w:rsidRDefault="000E5F99" w:rsidP="000E5F99">
            <w:pPr>
              <w:rPr>
                <w:sz w:val="22"/>
                <w:szCs w:val="22"/>
              </w:rPr>
            </w:pPr>
            <w:r w:rsidRPr="000E5F99">
              <w:rPr>
                <w:sz w:val="22"/>
                <w:szCs w:val="22"/>
              </w:rPr>
              <w:t>Netaikoma</w:t>
            </w:r>
          </w:p>
          <w:p w14:paraId="5BFF1F84" w14:textId="23B2535E" w:rsidR="00256423" w:rsidRPr="00BE5A6B" w:rsidRDefault="00256423" w:rsidP="00C431AA">
            <w:pPr>
              <w:jc w:val="both"/>
              <w:rPr>
                <w:rFonts w:eastAsia="Arial"/>
                <w:color w:val="000000" w:themeColor="text1"/>
                <w:sz w:val="22"/>
                <w:szCs w:val="22"/>
              </w:rPr>
            </w:pP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4CC06DA"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257A3"/>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A5781"/>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37C1"/>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34518"/>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B18"/>
    <w:rsid w:val="00922055"/>
    <w:rsid w:val="0093261F"/>
    <w:rsid w:val="00936EF3"/>
    <w:rsid w:val="00956692"/>
    <w:rsid w:val="00961E99"/>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1D6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B3D1A"/>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02D7"/>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20F89"/>
    <w:rsid w:val="00E218EA"/>
    <w:rsid w:val="00E2578A"/>
    <w:rsid w:val="00E30787"/>
    <w:rsid w:val="00E37E42"/>
    <w:rsid w:val="00E42B8D"/>
    <w:rsid w:val="00E43F50"/>
    <w:rsid w:val="00E56F81"/>
    <w:rsid w:val="00E67119"/>
    <w:rsid w:val="00E67BE3"/>
    <w:rsid w:val="00E67D7A"/>
    <w:rsid w:val="00E91905"/>
    <w:rsid w:val="00E952A3"/>
    <w:rsid w:val="00EA3C89"/>
    <w:rsid w:val="00EA5388"/>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66448</Words>
  <Characters>37876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9</cp:revision>
  <dcterms:created xsi:type="dcterms:W3CDTF">2026-01-29T15:47:00Z</dcterms:created>
  <dcterms:modified xsi:type="dcterms:W3CDTF">2026-02-05T07:42:00Z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