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5102" w14:textId="7CE1ECF0" w:rsidR="004044A0" w:rsidRPr="00F97B77" w:rsidRDefault="00A70ABB" w:rsidP="00323007">
      <w:pPr>
        <w:spacing w:after="0" w:line="240" w:lineRule="auto"/>
        <w:ind w:right="425"/>
        <w:jc w:val="right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Hlk202964964"/>
      <w:r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23007"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Pirkimo </w:t>
      </w:r>
      <w:r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sąlygų </w:t>
      </w:r>
      <w:r w:rsidR="00C77A8F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F97B77">
        <w:rPr>
          <w:rFonts w:asciiTheme="majorBidi" w:hAnsiTheme="majorBidi" w:cstheme="majorBidi"/>
          <w:color w:val="000000"/>
          <w:sz w:val="24"/>
          <w:szCs w:val="24"/>
        </w:rPr>
        <w:t xml:space="preserve"> priedas </w:t>
      </w:r>
    </w:p>
    <w:p w14:paraId="41D06D47" w14:textId="77777777" w:rsidR="004044A0" w:rsidRPr="00F97B77" w:rsidRDefault="00A70ABB" w:rsidP="00323007">
      <w:pPr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 w:rsidRPr="00F97B77">
        <w:rPr>
          <w:rFonts w:asciiTheme="majorBidi" w:hAnsiTheme="majorBidi" w:cstheme="majorBidi"/>
          <w:b/>
          <w:sz w:val="24"/>
          <w:szCs w:val="24"/>
        </w:rPr>
        <w:tab/>
      </w:r>
    </w:p>
    <w:p w14:paraId="73FD156E" w14:textId="11A7EBAD" w:rsidR="004044A0" w:rsidRPr="00F97B77" w:rsidRDefault="00231812" w:rsidP="00323007">
      <w:pPr>
        <w:tabs>
          <w:tab w:val="left" w:pos="1843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97B77">
        <w:rPr>
          <w:rFonts w:asciiTheme="majorBidi" w:hAnsiTheme="majorBidi" w:cstheme="majorBidi"/>
          <w:b/>
          <w:sz w:val="24"/>
          <w:szCs w:val="24"/>
        </w:rPr>
        <w:t>PATOLOGI</w:t>
      </w:r>
      <w:r w:rsidR="00B862AB">
        <w:rPr>
          <w:rFonts w:asciiTheme="majorBidi" w:hAnsiTheme="majorBidi" w:cstheme="majorBidi"/>
          <w:b/>
          <w:sz w:val="24"/>
          <w:szCs w:val="24"/>
        </w:rPr>
        <w:t>JOS</w:t>
      </w:r>
      <w:r w:rsidRPr="00F97B77">
        <w:rPr>
          <w:rFonts w:asciiTheme="majorBidi" w:hAnsiTheme="majorBidi" w:cstheme="majorBidi"/>
          <w:b/>
          <w:sz w:val="24"/>
          <w:szCs w:val="24"/>
        </w:rPr>
        <w:t xml:space="preserve"> IR AUTOPSINIŲ </w:t>
      </w:r>
      <w:r w:rsidR="0045033D" w:rsidRPr="00F97B77">
        <w:rPr>
          <w:rFonts w:asciiTheme="majorBidi" w:hAnsiTheme="majorBidi" w:cstheme="majorBidi"/>
          <w:b/>
          <w:sz w:val="24"/>
          <w:szCs w:val="24"/>
        </w:rPr>
        <w:t>TYRIMŲ PASLAUGŲ</w:t>
      </w:r>
      <w:r w:rsidR="00A70ABB" w:rsidRPr="00F97B77">
        <w:rPr>
          <w:rFonts w:asciiTheme="majorBidi" w:hAnsiTheme="majorBidi" w:cstheme="majorBidi"/>
          <w:b/>
          <w:sz w:val="24"/>
          <w:szCs w:val="24"/>
        </w:rPr>
        <w:t xml:space="preserve"> TECHNINĖ SPECIFIKACIJA. KAINŲ LENTELĖ</w:t>
      </w:r>
    </w:p>
    <w:p w14:paraId="77D8A241" w14:textId="77777777" w:rsidR="006976D7" w:rsidRPr="00F97B77" w:rsidRDefault="006976D7" w:rsidP="00323007">
      <w:pPr>
        <w:tabs>
          <w:tab w:val="left" w:pos="1843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bookmarkEnd w:id="0"/>
    <w:p w14:paraId="6DAC3E0C" w14:textId="1694CBB9" w:rsidR="00E70DFC" w:rsidRDefault="00034876" w:rsidP="00D51055">
      <w:pPr>
        <w:tabs>
          <w:tab w:val="left" w:pos="1843"/>
        </w:tabs>
        <w:spacing w:after="0" w:line="240" w:lineRule="auto"/>
        <w:ind w:left="1211" w:hanging="1211"/>
        <w:jc w:val="both"/>
        <w:rPr>
          <w:rFonts w:asciiTheme="majorBidi" w:hAnsiTheme="majorBidi" w:cstheme="majorBidi"/>
          <w:bCs/>
          <w:sz w:val="24"/>
          <w:szCs w:val="24"/>
        </w:rPr>
      </w:pPr>
      <w:r w:rsidRPr="00034876">
        <w:rPr>
          <w:rFonts w:asciiTheme="majorBidi" w:hAnsiTheme="majorBidi" w:cstheme="majorBidi"/>
          <w:bCs/>
          <w:sz w:val="24"/>
          <w:szCs w:val="24"/>
        </w:rPr>
        <w:t xml:space="preserve">1. </w:t>
      </w:r>
      <w:r w:rsidR="00E70DFC" w:rsidRPr="00E70DFC">
        <w:rPr>
          <w:rFonts w:asciiTheme="majorBidi" w:hAnsiTheme="majorBidi" w:cstheme="majorBidi"/>
          <w:bCs/>
          <w:sz w:val="24"/>
          <w:szCs w:val="24"/>
        </w:rPr>
        <w:t>Numatoma įsigyti patologijos ir autopsinių tyrimų paslaugas.</w:t>
      </w:r>
    </w:p>
    <w:p w14:paraId="5C3CB3E4" w14:textId="685C3FCD" w:rsidR="00673F66" w:rsidRPr="00673F66" w:rsidRDefault="00673F66" w:rsidP="00D51055">
      <w:pPr>
        <w:tabs>
          <w:tab w:val="left" w:pos="1843"/>
        </w:tabs>
        <w:spacing w:after="0" w:line="240" w:lineRule="auto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Pr="00673F66">
        <w:rPr>
          <w:rFonts w:asciiTheme="majorBidi" w:hAnsiTheme="majorBidi" w:cstheme="majorBidi"/>
          <w:bCs/>
          <w:sz w:val="24"/>
          <w:szCs w:val="24"/>
        </w:rPr>
        <w:t>Pirkimas į atskiras dalis neskaidomas, kadangi iš vieno tiriamojo ėminio diagnozės patvirtinimui ar ligos gydymo sekimui gali prireikti atlikti visų grupėje išvardintų tyrimų. Lietuvos Respublikos sveikatos apsaugos ministro 2009-08-19 įsakymu Nr. V-661 „Dėl patologijos tyrimų kokybės reikalavimų aprašo patvirtinimo“ patvirtintų Patologijos tyrimų kokybės reikalavimų aprašo I lentelės eilutėje PT60, nurodyta, kad PT60 - tiriamoji (operacinė, biopsinė, citologinė ir kt.) medžiaga neturi būti padalijama ir siunčiama į dvi skirtingas įstaigas</w:t>
      </w:r>
      <w:r w:rsidR="00C600F2">
        <w:rPr>
          <w:rFonts w:asciiTheme="majorBidi" w:hAnsiTheme="majorBidi" w:cstheme="majorBidi"/>
          <w:bCs/>
          <w:sz w:val="24"/>
          <w:szCs w:val="24"/>
        </w:rPr>
        <w:t xml:space="preserve"> be atvejį tiriančio gydytojo patologo žinios ir sutikimo</w:t>
      </w:r>
      <w:r w:rsidRPr="00673F66">
        <w:rPr>
          <w:rFonts w:asciiTheme="majorBidi" w:hAnsiTheme="majorBidi" w:cstheme="majorBidi"/>
          <w:bCs/>
          <w:sz w:val="24"/>
          <w:szCs w:val="24"/>
        </w:rPr>
        <w:t>.</w:t>
      </w:r>
    </w:p>
    <w:p w14:paraId="1FCE1E54" w14:textId="7943B404" w:rsidR="00673F66" w:rsidRPr="00673F66" w:rsidRDefault="00673F66" w:rsidP="00D51055">
      <w:pPr>
        <w:tabs>
          <w:tab w:val="left" w:pos="1843"/>
        </w:tabs>
        <w:spacing w:after="0" w:line="240" w:lineRule="auto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3. </w:t>
      </w:r>
      <w:r w:rsidRPr="00673F66">
        <w:rPr>
          <w:rFonts w:asciiTheme="majorBidi" w:hAnsiTheme="majorBidi" w:cstheme="majorBidi"/>
          <w:bCs/>
          <w:sz w:val="24"/>
          <w:szCs w:val="24"/>
        </w:rPr>
        <w:t>Siekiant užtikrinti tyrimų kokybę, tikslumą ir rezultatų vientisumą, kiekvienas užsakymas vykdomas vieno</w:t>
      </w:r>
      <w:r w:rsidR="00377E7B">
        <w:rPr>
          <w:rFonts w:asciiTheme="majorBidi" w:hAnsiTheme="majorBidi" w:cstheme="majorBidi"/>
          <w:bCs/>
          <w:sz w:val="24"/>
          <w:szCs w:val="24"/>
        </w:rPr>
        <w:t xml:space="preserve">s įstaigos laboratorijos. Paciento </w:t>
      </w:r>
      <w:r w:rsidRPr="00673F66">
        <w:rPr>
          <w:rFonts w:asciiTheme="majorBidi" w:hAnsiTheme="majorBidi" w:cstheme="majorBidi"/>
          <w:bCs/>
          <w:sz w:val="24"/>
          <w:szCs w:val="24"/>
        </w:rPr>
        <w:t xml:space="preserve"> tiriamosios medžiagos mėgini</w:t>
      </w:r>
      <w:r w:rsidR="00377E7B">
        <w:rPr>
          <w:rFonts w:asciiTheme="majorBidi" w:hAnsiTheme="majorBidi" w:cstheme="majorBidi"/>
          <w:bCs/>
          <w:sz w:val="24"/>
          <w:szCs w:val="24"/>
        </w:rPr>
        <w:t xml:space="preserve">ai negali būti transportuojami tarp skirtingų įstaigų laboratorijų, nes </w:t>
      </w:r>
      <w:r w:rsidRPr="00673F66">
        <w:rPr>
          <w:rFonts w:asciiTheme="majorBidi" w:hAnsiTheme="majorBidi" w:cstheme="majorBidi"/>
          <w:bCs/>
          <w:sz w:val="24"/>
          <w:szCs w:val="24"/>
        </w:rPr>
        <w:t>tai reikšmingai padidintų mėginių praradimo, sugadinimo ar diagnostinės informacijos išskaidymo riziką</w:t>
      </w:r>
      <w:r w:rsidR="00377E7B">
        <w:rPr>
          <w:rFonts w:asciiTheme="majorBidi" w:hAnsiTheme="majorBidi" w:cstheme="majorBidi"/>
          <w:bCs/>
          <w:sz w:val="24"/>
          <w:szCs w:val="24"/>
        </w:rPr>
        <w:t xml:space="preserve"> ir turėtų įtakos rezultatų patikimumui.</w:t>
      </w:r>
    </w:p>
    <w:p w14:paraId="03D53797" w14:textId="70B91007" w:rsidR="00E70DFC" w:rsidRPr="00E70DFC" w:rsidRDefault="00673F66" w:rsidP="002C1787">
      <w:pPr>
        <w:tabs>
          <w:tab w:val="left" w:pos="1843"/>
        </w:tabs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034876">
        <w:rPr>
          <w:rFonts w:asciiTheme="majorBidi" w:hAnsiTheme="majorBidi" w:cstheme="majorBidi"/>
          <w:sz w:val="24"/>
          <w:szCs w:val="24"/>
        </w:rPr>
        <w:t xml:space="preserve">. </w:t>
      </w:r>
      <w:r w:rsidR="00E70DFC" w:rsidRPr="00E70DFC">
        <w:rPr>
          <w:rFonts w:asciiTheme="majorBidi" w:hAnsiTheme="majorBidi" w:cstheme="majorBidi"/>
          <w:sz w:val="24"/>
          <w:szCs w:val="24"/>
        </w:rPr>
        <w:t>Visi techninėje specifikacijoje išvardinti tyrimai turi būti atliekami vadovaujantis juos reglamentuojančių teisės aktų reikalavimų.</w:t>
      </w:r>
    </w:p>
    <w:p w14:paraId="2CB4A72B" w14:textId="4E78B6F8" w:rsidR="00E70DFC" w:rsidRPr="00E70DFC" w:rsidRDefault="001E1D93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E70DFC" w:rsidRPr="00E70DFC">
        <w:rPr>
          <w:rFonts w:asciiTheme="majorBidi" w:hAnsiTheme="majorBidi" w:cstheme="majorBidi"/>
          <w:sz w:val="24"/>
          <w:szCs w:val="24"/>
        </w:rPr>
        <w:t>. Patologijos ir autopsiniai tyrimai turi būti atlikti ne vėliau kaip per 5 darbo dienas nuo tiriamosios medžiagos perdavimo T</w:t>
      </w:r>
      <w:r w:rsidR="005D0817">
        <w:rPr>
          <w:rFonts w:asciiTheme="majorBidi" w:hAnsiTheme="majorBidi" w:cstheme="majorBidi"/>
          <w:sz w:val="24"/>
          <w:szCs w:val="24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</w:rPr>
        <w:t>kėjui (išskyrus sudėtingus atvejus, kuomet reikalingi papildomi tyrimai ar konsultacijos).</w:t>
      </w:r>
    </w:p>
    <w:p w14:paraId="297DF94F" w14:textId="6C7FD02D" w:rsidR="00E70DFC" w:rsidRPr="00E70DFC" w:rsidRDefault="001E1D93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E70DFC" w:rsidRPr="00E70DFC">
        <w:rPr>
          <w:rFonts w:asciiTheme="majorBidi" w:hAnsiTheme="majorBidi" w:cstheme="majorBidi"/>
          <w:sz w:val="24"/>
          <w:szCs w:val="24"/>
        </w:rPr>
        <w:t>. Patologijos diagnozės turi būti pasirašytos saugiu kvalifikuotu elektroniniu parašu.</w:t>
      </w:r>
    </w:p>
    <w:p w14:paraId="60D2199F" w14:textId="1B89331D" w:rsidR="00E70DFC" w:rsidRPr="00E70DFC" w:rsidRDefault="001E1D93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E70DFC" w:rsidRPr="00E70DFC">
        <w:rPr>
          <w:rFonts w:asciiTheme="majorBidi" w:hAnsiTheme="majorBidi" w:cstheme="majorBidi"/>
          <w:sz w:val="24"/>
          <w:szCs w:val="24"/>
        </w:rPr>
        <w:t>. T</w:t>
      </w:r>
      <w:r w:rsidR="005D0817">
        <w:rPr>
          <w:rFonts w:asciiTheme="majorBidi" w:hAnsiTheme="majorBidi" w:cstheme="majorBidi"/>
          <w:sz w:val="24"/>
          <w:szCs w:val="24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</w:rPr>
        <w:t>kėjas turi užtikrinti galimybę perkančiajai organizacijai prisijungti prie T</w:t>
      </w:r>
      <w:r w:rsidR="005D0817">
        <w:rPr>
          <w:rFonts w:asciiTheme="majorBidi" w:hAnsiTheme="majorBidi" w:cstheme="majorBidi"/>
          <w:sz w:val="24"/>
          <w:szCs w:val="24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</w:rPr>
        <w:t>kėjo patologijos tyrimų peržiūros elektroninės sistemos ir gauti reikalingą informaciją apie paslaugas. Reikalavimai tyrimų peržiūros sistemai:</w:t>
      </w:r>
    </w:p>
    <w:p w14:paraId="772DE55D" w14:textId="71240C34" w:rsidR="00E70DFC" w:rsidRPr="00E70DFC" w:rsidRDefault="001E1D93" w:rsidP="00D51055">
      <w:pPr>
        <w:tabs>
          <w:tab w:val="left" w:pos="1843"/>
        </w:tabs>
        <w:spacing w:after="0" w:line="240" w:lineRule="auto"/>
        <w:ind w:left="9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.1. 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 turi būti matoma, kada gautas ir užregistruotas tyrimas laboratorijoje.</w:t>
      </w:r>
    </w:p>
    <w:p w14:paraId="36C5239C" w14:textId="6CA7A3F3" w:rsidR="00E70DFC" w:rsidRPr="00E70DFC" w:rsidRDefault="001E1D93" w:rsidP="00D51055">
      <w:pPr>
        <w:tabs>
          <w:tab w:val="left" w:pos="1843"/>
        </w:tabs>
        <w:spacing w:after="0" w:line="240" w:lineRule="auto"/>
        <w:ind w:left="9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.2. 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 turi būti matoma, koks specialistas atlieka tyrimą ir nurodyti jo kontaktai.</w:t>
      </w:r>
    </w:p>
    <w:p w14:paraId="43F3F735" w14:textId="7D2D1265" w:rsidR="00E70DFC" w:rsidRPr="00E70DFC" w:rsidRDefault="001E1D93" w:rsidP="00D51055">
      <w:pPr>
        <w:tabs>
          <w:tab w:val="left" w:pos="1843"/>
        </w:tabs>
        <w:spacing w:after="0" w:line="240" w:lineRule="auto"/>
        <w:ind w:left="9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.3. 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 turi būti galimybė pamatyti ir atsispausdinti tyrimo atsakymą.</w:t>
      </w:r>
    </w:p>
    <w:p w14:paraId="015F7670" w14:textId="1FCA0BCD" w:rsidR="00E70DFC" w:rsidRDefault="001E1D93" w:rsidP="00D51055">
      <w:pPr>
        <w:tabs>
          <w:tab w:val="left" w:pos="1843"/>
        </w:tabs>
        <w:spacing w:after="0" w:line="240" w:lineRule="auto"/>
        <w:ind w:left="9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="00673F66">
        <w:rPr>
          <w:rFonts w:asciiTheme="majorBidi" w:hAnsiTheme="majorBidi" w:cstheme="majorBidi"/>
          <w:sz w:val="24"/>
          <w:szCs w:val="24"/>
          <w:lang w:val="en-US"/>
        </w:rPr>
        <w:t xml:space="preserve">.4. 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Sistemoje turi veikti tyrimų paieška pagal tyrimo atlikimo datą, paciento pavardę, vardą, asmens kodą, tyrimą siunčiantį gydytoją.</w:t>
      </w:r>
    </w:p>
    <w:p w14:paraId="6D0CCD9E" w14:textId="3F675FF7" w:rsidR="0071559F" w:rsidRPr="00E70DFC" w:rsidRDefault="0071559F" w:rsidP="00D51055">
      <w:pPr>
        <w:tabs>
          <w:tab w:val="left" w:pos="1843"/>
        </w:tabs>
        <w:spacing w:after="0" w:line="240" w:lineRule="auto"/>
        <w:ind w:left="9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7.5. Esant sistemų konfigūracijos būtinybei tarp Tiekėjo ir Pirkėjo, reikalingą sistemų konfigūraciją atlikti per 30 dienų nuo sutarties pasirašymo dienos.</w:t>
      </w:r>
    </w:p>
    <w:p w14:paraId="464F536B" w14:textId="422A4BF9" w:rsidR="00E70DFC" w:rsidRPr="00E70DFC" w:rsidRDefault="001E1D93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 T</w:t>
      </w:r>
      <w:r w:rsidR="005D0817">
        <w:rPr>
          <w:rFonts w:asciiTheme="majorBidi" w:hAnsiTheme="majorBidi" w:cstheme="majorBidi"/>
          <w:sz w:val="24"/>
          <w:szCs w:val="24"/>
          <w:lang w:val="en-US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kėjas turi užtikrinti galimybę, esant poreikiui, nuotoliniu būdu organizuoti klinicistų – patologų konsultacijas.</w:t>
      </w:r>
    </w:p>
    <w:p w14:paraId="6C401A91" w14:textId="688B5473" w:rsidR="00E70DFC" w:rsidRPr="00E70DFC" w:rsidRDefault="001E1D93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9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. T</w:t>
      </w:r>
      <w:r w:rsidR="005D0817">
        <w:rPr>
          <w:rFonts w:asciiTheme="majorBidi" w:hAnsiTheme="majorBidi" w:cstheme="majorBidi"/>
          <w:sz w:val="24"/>
          <w:szCs w:val="24"/>
          <w:lang w:val="en-US"/>
        </w:rPr>
        <w:t>ie</w:t>
      </w:r>
      <w:r w:rsidR="00E70DFC" w:rsidRPr="00E70DFC">
        <w:rPr>
          <w:rFonts w:asciiTheme="majorBidi" w:hAnsiTheme="majorBidi" w:cstheme="majorBidi"/>
          <w:sz w:val="24"/>
          <w:szCs w:val="24"/>
          <w:lang w:val="en-US"/>
        </w:rPr>
        <w:t>kėjas turi pateikti mėginių ėmimo ir siuntimo instrukcijas.</w:t>
      </w:r>
    </w:p>
    <w:p w14:paraId="55AC6862" w14:textId="0B87A957" w:rsidR="00E70DFC" w:rsidRPr="00E70DFC" w:rsidRDefault="00E70DFC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0DFC">
        <w:rPr>
          <w:rFonts w:asciiTheme="majorBidi" w:hAnsiTheme="majorBidi" w:cstheme="majorBidi"/>
          <w:sz w:val="24"/>
          <w:szCs w:val="24"/>
        </w:rPr>
        <w:t>1</w:t>
      </w:r>
      <w:r w:rsidR="001E1D93">
        <w:rPr>
          <w:rFonts w:asciiTheme="majorBidi" w:hAnsiTheme="majorBidi" w:cstheme="majorBidi"/>
          <w:sz w:val="24"/>
          <w:szCs w:val="24"/>
        </w:rPr>
        <w:t>0</w:t>
      </w:r>
      <w:r w:rsidR="00E0661A">
        <w:rPr>
          <w:rFonts w:asciiTheme="majorBidi" w:hAnsiTheme="majorBidi" w:cstheme="majorBidi"/>
          <w:sz w:val="24"/>
          <w:szCs w:val="24"/>
        </w:rPr>
        <w:t xml:space="preserve">. </w:t>
      </w:r>
      <w:r w:rsidRPr="00E70DFC">
        <w:rPr>
          <w:rFonts w:asciiTheme="majorBidi" w:hAnsiTheme="majorBidi" w:cstheme="majorBidi"/>
          <w:sz w:val="24"/>
          <w:szCs w:val="24"/>
        </w:rPr>
        <w:t>Perkančioji organizacija tyrimus planuoja pirkti pagal poreikį, kuris priklauso nuo aplinkybių, neprognozuojamų pirkimo metu (perkamų tyrimų kiekis priklauso nuo sutarties vykdymo metu iškylančio poreikio, keičiantis gydymo įstaigos poreikiams, pacientų skaičiui).</w:t>
      </w:r>
    </w:p>
    <w:p w14:paraId="522D631F" w14:textId="122AAC85" w:rsidR="00E70DFC" w:rsidRPr="00E70DFC" w:rsidRDefault="00E70DFC" w:rsidP="00D51055">
      <w:pPr>
        <w:tabs>
          <w:tab w:val="left" w:pos="184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0DFC">
        <w:rPr>
          <w:rFonts w:asciiTheme="majorBidi" w:hAnsiTheme="majorBidi" w:cstheme="majorBidi"/>
          <w:sz w:val="24"/>
          <w:szCs w:val="24"/>
        </w:rPr>
        <w:t>1</w:t>
      </w:r>
      <w:r w:rsidR="001E1D93">
        <w:rPr>
          <w:rFonts w:asciiTheme="majorBidi" w:hAnsiTheme="majorBidi" w:cstheme="majorBidi"/>
          <w:sz w:val="24"/>
          <w:szCs w:val="24"/>
        </w:rPr>
        <w:t>1</w:t>
      </w:r>
      <w:r w:rsidRPr="00E70DFC">
        <w:rPr>
          <w:rFonts w:asciiTheme="majorBidi" w:hAnsiTheme="majorBidi" w:cstheme="majorBidi"/>
          <w:sz w:val="24"/>
          <w:szCs w:val="24"/>
        </w:rPr>
        <w:t>. Paslaugos turi atitikti 1 lentelėje nurodytus techninės specifikacijos reikalavimus.</w:t>
      </w:r>
    </w:p>
    <w:p w14:paraId="12B0A385" w14:textId="77777777" w:rsidR="00E70DFC" w:rsidRDefault="00E70DFC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C664C97" w14:textId="77777777" w:rsidR="004532D2" w:rsidRDefault="004532D2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DCEA7CA" w14:textId="77777777" w:rsidR="004532D2" w:rsidRPr="009A1571" w:rsidRDefault="004532D2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27F3811" w14:textId="77777777" w:rsidR="00E70DFC" w:rsidRPr="00E70DFC" w:rsidRDefault="00E70DFC" w:rsidP="00E70DFC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C453663" w14:textId="2BD4CBDD" w:rsidR="006976D7" w:rsidRPr="00F97B77" w:rsidRDefault="009335EA" w:rsidP="00D544F9">
      <w:pPr>
        <w:tabs>
          <w:tab w:val="left" w:pos="1843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97B77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1</w:t>
      </w:r>
      <w:r w:rsidR="00D544F9" w:rsidRPr="00F97B77">
        <w:rPr>
          <w:rFonts w:asciiTheme="majorBidi" w:hAnsiTheme="majorBidi" w:cstheme="majorBidi"/>
          <w:b/>
          <w:sz w:val="24"/>
          <w:szCs w:val="24"/>
          <w:lang w:val="en-US"/>
        </w:rPr>
        <w:t xml:space="preserve"> lentelė</w:t>
      </w:r>
    </w:p>
    <w:tbl>
      <w:tblPr>
        <w:tblW w:w="1322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5812"/>
        <w:gridCol w:w="2409"/>
        <w:gridCol w:w="2127"/>
        <w:gridCol w:w="2126"/>
      </w:tblGrid>
      <w:tr w:rsidR="006976D7" w:rsidRPr="00F97B77" w14:paraId="7AAEE213" w14:textId="77777777" w:rsidTr="007B6A86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4FE8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Eil.</w:t>
            </w:r>
          </w:p>
          <w:p w14:paraId="55BA25E3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C4E8E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Tyrimo pavadinimas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12579" w14:textId="77777777" w:rsidR="00F971A8" w:rsidRDefault="00F971A8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6E764D" w14:textId="00C7B6EC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Preliminarus  perkamas tyrimų</w:t>
            </w:r>
          </w:p>
          <w:p w14:paraId="73BD4435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kiekis per 24 mėn.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5C1FD" w14:textId="77777777" w:rsidR="00F971A8" w:rsidRDefault="00F971A8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EEE9619" w14:textId="74C74D1A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Vieno tyrimo kaina Eur</w:t>
            </w:r>
            <w:r w:rsidR="00940995"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be PVM</w:t>
            </w: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14:paraId="620105D6" w14:textId="77777777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(pildo Tiekėjas)</w:t>
            </w:r>
          </w:p>
          <w:p w14:paraId="5C49CAE4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A03D6" w14:textId="77777777" w:rsidR="00F971A8" w:rsidRDefault="00F971A8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5F9791A" w14:textId="354FD98F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Bendra tyrimų kaina EUR </w:t>
            </w:r>
          </w:p>
          <w:p w14:paraId="1EA79FFB" w14:textId="77777777" w:rsidR="006976D7" w:rsidRPr="00F97B77" w:rsidRDefault="006976D7" w:rsidP="0069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(3 ir 4) stulpelių sandauga)</w:t>
            </w:r>
          </w:p>
          <w:p w14:paraId="6A87E6D1" w14:textId="3F520E1F" w:rsidR="006976D7" w:rsidRPr="00F97B77" w:rsidRDefault="006976D7" w:rsidP="00F971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(pildo Tiekėjas)</w:t>
            </w:r>
          </w:p>
        </w:tc>
      </w:tr>
      <w:tr w:rsidR="006976D7" w:rsidRPr="00F97B77" w14:paraId="7A451F6D" w14:textId="77777777" w:rsidTr="007B6A86">
        <w:trPr>
          <w:trHeight w:val="20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04D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0A4F1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48983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C703B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A7B32" w14:textId="77777777" w:rsidR="006976D7" w:rsidRPr="00F97B77" w:rsidRDefault="006976D7" w:rsidP="006976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</w:tr>
      <w:tr w:rsidR="00BF1707" w:rsidRPr="00F97B77" w14:paraId="490F5E00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F314" w14:textId="287F9340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2640" w14:textId="33EDBEEF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Citopatologinis tyrimas (makšties ir gimdos kaklelio tepinėliai) diagnostinis įvertinimas pagal Bethesda sistemą, atliekamas gydytojo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32E1" w14:textId="5485AD46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D9C1B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A4C1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6CD9E9B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F054" w14:textId="6F4460C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A78D" w14:textId="2AE525F4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Citopatologinis tyrimas (kitos lokalizacijos medžiagos tepinėliai) su įvertinimu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58865" w14:textId="09A55EB1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7E38B2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1F2B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1A3D0F02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0EA8" w14:textId="7A30D48B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F78E" w14:textId="53A2E2D7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Citopatologinis tyrimas (kitos lokalizacijos medžiagos tepinėliai), išplėstinis (daugiau nei 5preparatai ir/arba papildomi dažymo būdai) su įvertinimu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3E917" w14:textId="15B5ABA0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1EBC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FE626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FB64609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036C" w14:textId="24EF3AE9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47DB" w14:textId="6EF1F723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Plonos adatos aspirato tyrimas,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0A5E7" w14:textId="28324B30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966C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EF84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1B0378AB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AE6D" w14:textId="74B9D5EB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6CDB" w14:textId="76A339EC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Operacinės ir biopsinės medžiagos (vieno histologinio objekto) makroskopinis ir mikroskopinis tyrimas – II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DE8E" w14:textId="70D356A9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3D4FC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EBAD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560517EC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1996" w14:textId="62CFA10D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37F5" w14:textId="10465E7A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Operacinės ir biopsinės medžiagos (vieno histologinio objekto) makroskopinis ir mikroskopinis tyrimas – III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368C8" w14:textId="6A6E1620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D76BAB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A3CA3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40A0FAD7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8E78" w14:textId="2483D33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716D" w14:textId="238A6B62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Operacinės ir biopsinės medžiagos (vieno histologinio objekto) makroskopinis ir mikroskopinis tyrimas – IV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448A7" w14:textId="1CF9DB5A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A3F14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1CF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5341D277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F87A" w14:textId="2ABC32CE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1930" w14:textId="370DB2A0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Operacinės ir biopsinės medžiagos (vieno histologinio objekto) makroskopinis ir mikroskopinis tyrimas – V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54177" w14:textId="1005093D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4D7C53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74D00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67F4C66F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FD72" w14:textId="446D53DD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E42B" w14:textId="23D82B9C" w:rsidR="00BF1707" w:rsidRPr="00F97B77" w:rsidRDefault="00FD4005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Operacinės ir biopsinės medžiagos (vieno histologinio objekto) makroskopinis ir mikroskopinis tyrimas – VI lygis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612B9" w14:textId="46A41430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9198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50D1C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C575420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EB24" w14:textId="3839FD58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B90A" w14:textId="5C2573CB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Audinio dekalcinavimo procedūra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FA33B" w14:textId="7C6AE57B" w:rsidR="00BF1707" w:rsidRPr="00F97B77" w:rsidRDefault="009C2255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5C5CE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2529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22BBE5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AC6D" w14:textId="250940F5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A2BE" w14:textId="4B9632BE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Specialūs dažymai mikroorganizmams (kiekvienas metodas)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7485C" w14:textId="09281CFA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FDC7F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ABD45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294E1D0D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E0E7" w14:textId="2E7DA04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F6C7" w14:textId="674134DF" w:rsidR="00BF1707" w:rsidRPr="00F97B77" w:rsidRDefault="00FD4005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4005">
              <w:rPr>
                <w:rFonts w:asciiTheme="majorBidi" w:hAnsiTheme="majorBidi" w:cstheme="majorBidi"/>
                <w:sz w:val="24"/>
                <w:szCs w:val="24"/>
              </w:rPr>
              <w:t>Specialūs dažymai, visi kiti, kiekvienas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209AF" w14:textId="6018A719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AA4CC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1203A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A5CDEB9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53BF" w14:textId="7A8B18B5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B3DB" w14:textId="5534D7A2" w:rsidR="00BF1707" w:rsidRPr="00F97B77" w:rsidRDefault="00B95B56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Histocheminis šaldomųjų pjūvių dažymas (1 vienetas)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AC0DC" w14:textId="2B612D60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58BC4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FC1DC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7BC1D4F9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33B3" w14:textId="32C0A3AF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2F11" w14:textId="07BC1316" w:rsidR="00BF1707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sz w:val="24"/>
                <w:szCs w:val="24"/>
              </w:rPr>
              <w:t>Histocheminis dažymas, indentifikuojantis cheminius komponentus (pvz., varį, cinką, 1 vienetas)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9A598" w14:textId="5D4418A1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2B353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661C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07" w:rsidRPr="00F97B77" w14:paraId="613FE02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10A7" w14:textId="76E1EF50" w:rsidR="00BF1707" w:rsidRPr="00F97B77" w:rsidRDefault="008F221A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D1A0" w14:textId="4CB99CAA" w:rsidR="00BF1707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Histocheminis dažymas, identifikuojantis fermentus (1 vienetas)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1C3D0" w14:textId="5DB0683A" w:rsidR="00BF1707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21D07D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21A7" w14:textId="77777777" w:rsidR="00BF1707" w:rsidRPr="00F97B77" w:rsidRDefault="00BF1707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708F0AC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C01" w14:textId="4368E97B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012F" w14:textId="026DE367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z w:val="24"/>
                <w:szCs w:val="24"/>
              </w:rPr>
              <w:t>Imunohistocheminis tyrimas, kiekvienas antikūnis, išskyrus cMYC, ALK, CIN tec PLUS, PD-L1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E346D" w14:textId="26C778B1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E16F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39B4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264A693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AE5B" w14:textId="777C1064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DCB5" w14:textId="06B9012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Imunofluorescentinis tyrimas (tiesioginis), kiekvienas antikūnis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9EB24" w14:textId="0AB37E58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E805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DA52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EE8F0F5" w14:textId="77777777" w:rsidTr="00D04A0D">
        <w:trPr>
          <w:trHeight w:val="3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CB14" w14:textId="0B4AAB3C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8423" w14:textId="2E838604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Elektroninė mikroskopija; diagnostinė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F07F2" w14:textId="3B27E9B0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0AD2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05E2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6A42FB9A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B3F3" w14:textId="68D54418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52D5" w14:textId="6E41EDF1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Vieno histologinio objekto serijinių ir žingsninių pj</w:t>
            </w:r>
            <w:r w:rsidR="00B30168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ū</w:t>
            </w: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vių gamyba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BA266" w14:textId="07DCF0C4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207E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63BDA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56C0359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669D" w14:textId="2B16445D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8294" w14:textId="677B897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Patologoanatominis sveikatos priežiūros įstaigoje mirusio ligonio tyrimas (autopsija) be papildomų histocheminių, imunohistocheminių, biocheminių ir kitų tyrimų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65709" w14:textId="130010A9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5C3F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CCB4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6A78571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9B0C" w14:textId="3449F975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CC3" w14:textId="3DCFC9BF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Gimdos kaklelio citologinis tyrimas iš skystosios terpės (PAPst( (mokamas tyrimas)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832FE" w14:textId="04BBEF4F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88FF0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DB28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CC67272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6847" w14:textId="5D398FA7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451C" w14:textId="3401A2D0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Citologinis tyrimas iš skystosios terpės (skydliaukės, šlapimo pūslės, serozinių ertmių, solidinių organų aspiratai)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70A6E" w14:textId="5CCF37CC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67EDD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BF65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D67355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344D" w14:textId="6FDA145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3DA0" w14:textId="581EE345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 tyrimas, cMYC ir kiti lygiaverčiai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6D9D3" w14:textId="5256A538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F3E0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C8717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AFF7040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E650" w14:textId="5F99EBFE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7143" w14:textId="19CC928D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Spermatogonijų kiekio sėklidės audinyje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70E41" w14:textId="549B0FEE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EA9133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15D9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67E466A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35D4" w14:textId="1F3F2810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A31" w14:textId="2FDF04EC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 tyrimas, ALK, FOLR1 ir kiti lygiaverčiai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B5463" w14:textId="4B5DF166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8113B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EEEDC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1E5B541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53A9" w14:textId="159318F6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342A" w14:textId="7DC2A91F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 tyrimas CINtec PLUS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821D4" w14:textId="786D727F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66B13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6A66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6FB62CAA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1D27" w14:textId="1547445B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36D0" w14:textId="71AC659A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Mėginio paruošimas papildomiems tyrimams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A94A4" w14:textId="2124B86C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5319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B674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977B941" w14:textId="77777777" w:rsidTr="00D04A0D">
        <w:trPr>
          <w:trHeight w:val="35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3F39" w14:textId="0EEC8FC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2B60" w14:textId="7C089E43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Imunohistocheminis tyrimas PD-L1 ir kiti lygiaverčiai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8C828" w14:textId="2A542D78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E38EE8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E351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359E26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E15" w14:textId="525CB8F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3C9F" w14:textId="0F4242C8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Mikrosatelitų nestabilumo tyrimas RL-PGR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4764D" w14:textId="7A28AD8F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B604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85C0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BBC0BE8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3E58" w14:textId="527A835F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9042" w14:textId="6A4C616B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ALK geno persitvarkymo (apimant EML4, TGF ir KIF5B genus) nustatymas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80919" w14:textId="14DF93F5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71C4BF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5A3D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24AD84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D9C6" w14:textId="668705A0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712D" w14:textId="16738F47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HER-2 geno amplifikacijos tyrimas FISH metodu (HER2)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982B8" w14:textId="71985096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D8AF9A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569D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0CB8F516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59CD" w14:textId="054C783D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D854" w14:textId="21F6DC71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Fluorescentinės in situ hibridizacijos tyrimas, kiekvienas zondas (išskyrus ALK ir HER2)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3D399" w14:textId="0CED95F0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59808E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597B0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579447FD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D7A0" w14:textId="4C44847F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D44A" w14:textId="5E2A9083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EBER chromogeninė in-situ hibridizacija (EBER EBSTEIN BAR viruso diagnostikai) ir kiti)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3F971" w14:textId="6D338F15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6546BC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7563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F7617DB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4D29" w14:textId="310701F1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0479" w14:textId="5A5A8844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K-RAS genų mutacijų nustatymas realaus laiko PGR (RL-PGR)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A62FB" w14:textId="6E051349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42CE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B34D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88EA4A6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E338" w14:textId="055BB751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A7EB" w14:textId="341D1279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BRAF geno V600 mutacijos tyrimas RL-PGR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9D4A3" w14:textId="53C1BEB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DF4B3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4E98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2807703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93D3" w14:textId="57147C53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E376" w14:textId="08914CC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EGFR genų mutacijų tyrimas 18, 19, 20 ir 21 egzonuose RL-PGR)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E0F98" w14:textId="4ABD9126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8F91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83AD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9200B2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282" w14:textId="5A5DE8A9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E6BF" w14:textId="619E14D0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NRAS geno mutacijų tyrimas realaus laiko PGR (RL-PGR) metodu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5E7FC" w14:textId="65763A84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163A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8F01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38103B78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39C0" w14:textId="2C4A06AB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5410" w14:textId="1FFA5510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Šviesaus lauko mikrovaizdų skenavimas 20x(1 mikropreparatas)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D770" w14:textId="03AFC06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A8D3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7A92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26F97A04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A2E1" w14:textId="6AD53E51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85E0" w14:textId="47B904CF" w:rsidR="001951AE" w:rsidRPr="00F97B77" w:rsidRDefault="00316A9A" w:rsidP="00A06288">
            <w:pPr>
              <w:suppressAutoHyphens w:val="0"/>
              <w:spacing w:before="100" w:beforeAutospacing="1" w:after="142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Šviesaus lauko mikrovaizdų skenavimas 40x(1 mikropreparatas)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7D10C" w14:textId="08742EB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0B77C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ECC8A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6BF1C857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4B6D" w14:textId="34AA9CCC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4F0B" w14:textId="10D147B7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Patologijos mėginio atranka ir paruošimas molekuliniams tyrimams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8268B" w14:textId="0B77F8A2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1BA29F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A9EFB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4541133E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993" w14:textId="4BD542EE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8262" w14:textId="0236F13C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Žmogaus papilomos viruso (ŽPV) tyrimas RL-PGR metodu: genotipuojama 14 aukštos rizikos tipų: 16, 18, 31, 33, 35, 39, 45, 51, 52, 56, 58, 59, 66, 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3A53F" w14:textId="11246439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B72BD7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9BBA9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1AE" w:rsidRPr="00F97B77" w14:paraId="5F7163BF" w14:textId="77777777" w:rsidTr="007B6A86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C7C6" w14:textId="2E31013F" w:rsidR="001951AE" w:rsidRPr="00F97B77" w:rsidRDefault="001951AE" w:rsidP="00BF170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CAED" w14:textId="53DDE214" w:rsidR="001951AE" w:rsidRPr="00F97B77" w:rsidRDefault="00316A9A" w:rsidP="00A0628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</w:pPr>
            <w:r w:rsidRPr="00316A9A">
              <w:rPr>
                <w:rFonts w:asciiTheme="majorBidi" w:hAnsiTheme="majorBidi" w:cstheme="majorBidi"/>
                <w:color w:val="212121"/>
                <w:w w:val="105"/>
                <w:sz w:val="24"/>
                <w:szCs w:val="24"/>
              </w:rPr>
              <w:t>Lytiškai plintančių infekcinių (LPI) ligų sukėlėjų tyrimas PGR metodu (Trichomonas vaginalis, Mycoplasma hominis, Ureaplasma parvum, Chlamydia trashomatis, Mycoplasma genitalium, Neisseria gonorrhoeae)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6B153" w14:textId="0A9F0D25" w:rsidR="001951AE" w:rsidRPr="00F97B77" w:rsidRDefault="00E85E29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121"/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4DA515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2C7A2" w14:textId="77777777" w:rsidR="001951AE" w:rsidRPr="00F97B77" w:rsidRDefault="001951AE" w:rsidP="00BF17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126" w:rsidRPr="00F97B77" w14:paraId="51B9F669" w14:textId="77777777" w:rsidTr="00323007">
        <w:trPr>
          <w:trHeight w:val="1"/>
        </w:trPr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0B81" w14:textId="36BAD2ED" w:rsidR="00872126" w:rsidRPr="00F97B77" w:rsidRDefault="00BF1707" w:rsidP="0087212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F97B77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B</w:t>
            </w:r>
            <w:r w:rsidR="00872126" w:rsidRPr="00F97B77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endra suma Eur </w:t>
            </w:r>
          </w:p>
          <w:p w14:paraId="00B15CC3" w14:textId="7BA0E701" w:rsidR="00872126" w:rsidRPr="00F97B77" w:rsidRDefault="00872126" w:rsidP="0087212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052EC" w14:textId="77777777" w:rsidR="00872126" w:rsidRPr="00F97B77" w:rsidRDefault="00872126" w:rsidP="0087212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F55F6A7" w14:textId="795F9960" w:rsidR="005F2B02" w:rsidRDefault="00771047" w:rsidP="005F2B02">
      <w:pPr>
        <w:rPr>
          <w:rFonts w:asciiTheme="majorBidi" w:hAnsiTheme="majorBidi" w:cstheme="majorBidi"/>
          <w:sz w:val="24"/>
          <w:szCs w:val="24"/>
        </w:rPr>
      </w:pPr>
      <w:r w:rsidRPr="00771047">
        <w:rPr>
          <w:rFonts w:asciiTheme="majorBidi" w:hAnsiTheme="majorBidi" w:cstheme="majorBidi"/>
          <w:sz w:val="24"/>
          <w:szCs w:val="24"/>
        </w:rPr>
        <w:t>Techninę specifikaciją parengė VšĮ Kėdainių ligoninės patologijos technologė</w:t>
      </w:r>
      <w:r w:rsidR="00B30168">
        <w:rPr>
          <w:rFonts w:asciiTheme="majorBidi" w:hAnsiTheme="majorBidi" w:cstheme="majorBidi"/>
          <w:sz w:val="24"/>
          <w:szCs w:val="24"/>
        </w:rPr>
        <w:t>.</w:t>
      </w:r>
    </w:p>
    <w:p w14:paraId="17D36A01" w14:textId="0C5FA184" w:rsidR="00771047" w:rsidRPr="00771047" w:rsidRDefault="00771047" w:rsidP="005F2B02">
      <w:pPr>
        <w:rPr>
          <w:rFonts w:asciiTheme="majorBidi" w:hAnsiTheme="majorBidi" w:cstheme="majorBidi"/>
          <w:sz w:val="24"/>
          <w:szCs w:val="24"/>
        </w:rPr>
      </w:pPr>
      <w:r w:rsidRPr="00771047">
        <w:rPr>
          <w:rFonts w:asciiTheme="majorBidi" w:hAnsiTheme="majorBidi" w:cstheme="majorBidi"/>
          <w:sz w:val="24"/>
          <w:szCs w:val="24"/>
        </w:rPr>
        <w:t>Suderinta su VšĮ Kėdainių ligonės administratore viešiesiems pirkimams</w:t>
      </w:r>
      <w:r w:rsidR="00B30168">
        <w:rPr>
          <w:rFonts w:asciiTheme="majorBidi" w:hAnsiTheme="majorBidi" w:cstheme="majorBidi"/>
          <w:sz w:val="24"/>
          <w:szCs w:val="24"/>
        </w:rPr>
        <w:t>.</w:t>
      </w:r>
    </w:p>
    <w:sectPr w:rsidR="00771047" w:rsidRPr="00771047" w:rsidSect="00323007">
      <w:pgSz w:w="16838" w:h="11906" w:orient="landscape"/>
      <w:pgMar w:top="1701" w:right="195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2300" w14:textId="77777777" w:rsidR="00670825" w:rsidRDefault="00670825">
      <w:pPr>
        <w:spacing w:after="0" w:line="240" w:lineRule="auto"/>
      </w:pPr>
      <w:r>
        <w:separator/>
      </w:r>
    </w:p>
  </w:endnote>
  <w:endnote w:type="continuationSeparator" w:id="0">
    <w:p w14:paraId="63FBD942" w14:textId="77777777" w:rsidR="00670825" w:rsidRDefault="0067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B936" w14:textId="77777777" w:rsidR="00670825" w:rsidRDefault="006708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04518F" w14:textId="77777777" w:rsidR="00670825" w:rsidRDefault="0067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D9C"/>
    <w:multiLevelType w:val="multilevel"/>
    <w:tmpl w:val="0CB25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A9252D2"/>
    <w:multiLevelType w:val="multilevel"/>
    <w:tmpl w:val="40CC431C"/>
    <w:lvl w:ilvl="0">
      <w:start w:val="1"/>
      <w:numFmt w:val="decimal"/>
      <w:lvlText w:val="%1"/>
      <w:lvlJc w:val="left"/>
      <w:pPr>
        <w:ind w:left="1581" w:hanging="487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581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530" w:hanging="4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506" w:hanging="4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81" w:hanging="4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57" w:hanging="4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32" w:hanging="4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07" w:hanging="4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383" w:hanging="487"/>
      </w:pPr>
      <w:rPr>
        <w:rFonts w:hint="default"/>
        <w:lang w:val="lt-LT" w:eastAsia="en-US" w:bidi="ar-SA"/>
      </w:rPr>
    </w:lvl>
  </w:abstractNum>
  <w:abstractNum w:abstractNumId="2" w15:restartNumberingAfterBreak="0">
    <w:nsid w:val="2FAD4EFB"/>
    <w:multiLevelType w:val="hybridMultilevel"/>
    <w:tmpl w:val="62DE5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3A6D"/>
    <w:multiLevelType w:val="hybridMultilevel"/>
    <w:tmpl w:val="54DE241A"/>
    <w:lvl w:ilvl="0" w:tplc="975AE42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CD0F1F"/>
    <w:multiLevelType w:val="multilevel"/>
    <w:tmpl w:val="89B46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D0D5FAA"/>
    <w:multiLevelType w:val="multilevel"/>
    <w:tmpl w:val="7B8AF3D8"/>
    <w:lvl w:ilvl="0">
      <w:start w:val="1"/>
      <w:numFmt w:val="decimal"/>
      <w:lvlText w:val="%1"/>
      <w:lvlJc w:val="left"/>
      <w:pPr>
        <w:ind w:left="1614" w:hanging="52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14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3"/>
        <w:szCs w:val="2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06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99"/>
        <w:sz w:val="23"/>
        <w:szCs w:val="23"/>
        <w:lang w:val="lt-LT" w:eastAsia="en-US" w:bidi="ar-SA"/>
      </w:rPr>
    </w:lvl>
    <w:lvl w:ilvl="3">
      <w:numFmt w:val="bullet"/>
      <w:lvlText w:val="•"/>
      <w:lvlJc w:val="left"/>
      <w:pPr>
        <w:ind w:left="3778" w:hanging="58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58" w:hanging="58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37" w:hanging="58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16" w:hanging="58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96" w:hanging="58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75" w:hanging="586"/>
      </w:pPr>
      <w:rPr>
        <w:rFonts w:hint="default"/>
        <w:lang w:val="lt-LT" w:eastAsia="en-US" w:bidi="ar-SA"/>
      </w:rPr>
    </w:lvl>
  </w:abstractNum>
  <w:abstractNum w:abstractNumId="6" w15:restartNumberingAfterBreak="0">
    <w:nsid w:val="7A172227"/>
    <w:multiLevelType w:val="multilevel"/>
    <w:tmpl w:val="0DC496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20" w:hanging="360"/>
      </w:pPr>
      <w:rPr>
        <w:lang w:val="lt-LT"/>
      </w:rPr>
    </w:lvl>
    <w:lvl w:ilvl="2">
      <w:start w:val="1"/>
      <w:numFmt w:val="decimal"/>
      <w:lvlText w:val="%1.%2.%3."/>
      <w:lvlJc w:val="left"/>
      <w:pPr>
        <w:ind w:left="2640" w:hanging="720"/>
      </w:pPr>
    </w:lvl>
    <w:lvl w:ilvl="3">
      <w:start w:val="1"/>
      <w:numFmt w:val="decimal"/>
      <w:lvlText w:val="%1.%2.%3.%4."/>
      <w:lvlJc w:val="left"/>
      <w:pPr>
        <w:ind w:left="3600" w:hanging="720"/>
      </w:pPr>
    </w:lvl>
    <w:lvl w:ilvl="4">
      <w:start w:val="1"/>
      <w:numFmt w:val="decimal"/>
      <w:lvlText w:val="%1.%2.%3.%4.%5."/>
      <w:lvlJc w:val="left"/>
      <w:pPr>
        <w:ind w:left="4920" w:hanging="1080"/>
      </w:pPr>
    </w:lvl>
    <w:lvl w:ilvl="5">
      <w:start w:val="1"/>
      <w:numFmt w:val="decimal"/>
      <w:lvlText w:val="%1.%2.%3.%4.%5.%6."/>
      <w:lvlJc w:val="left"/>
      <w:pPr>
        <w:ind w:left="5880" w:hanging="1080"/>
      </w:pPr>
    </w:lvl>
    <w:lvl w:ilvl="6">
      <w:start w:val="1"/>
      <w:numFmt w:val="decimal"/>
      <w:lvlText w:val="%1.%2.%3.%4.%5.%6.%7."/>
      <w:lvlJc w:val="left"/>
      <w:pPr>
        <w:ind w:left="7200" w:hanging="1440"/>
      </w:pPr>
    </w:lvl>
    <w:lvl w:ilvl="7">
      <w:start w:val="1"/>
      <w:numFmt w:val="decimal"/>
      <w:lvlText w:val="%1.%2.%3.%4.%5.%6.%7.%8."/>
      <w:lvlJc w:val="left"/>
      <w:pPr>
        <w:ind w:left="8160" w:hanging="1440"/>
      </w:pPr>
    </w:lvl>
    <w:lvl w:ilvl="8">
      <w:start w:val="1"/>
      <w:numFmt w:val="decimal"/>
      <w:lvlText w:val="%1.%2.%3.%4.%5.%6.%7.%8.%9."/>
      <w:lvlJc w:val="left"/>
      <w:pPr>
        <w:ind w:left="9480" w:hanging="1800"/>
      </w:pPr>
    </w:lvl>
  </w:abstractNum>
  <w:num w:numId="1" w16cid:durableId="141392039">
    <w:abstractNumId w:val="1"/>
  </w:num>
  <w:num w:numId="2" w16cid:durableId="395276776">
    <w:abstractNumId w:val="5"/>
  </w:num>
  <w:num w:numId="3" w16cid:durableId="985279958">
    <w:abstractNumId w:val="2"/>
  </w:num>
  <w:num w:numId="4" w16cid:durableId="1988589908">
    <w:abstractNumId w:val="0"/>
  </w:num>
  <w:num w:numId="5" w16cid:durableId="693771058">
    <w:abstractNumId w:val="4"/>
  </w:num>
  <w:num w:numId="6" w16cid:durableId="1385133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05007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A0"/>
    <w:rsid w:val="000069CD"/>
    <w:rsid w:val="000306B4"/>
    <w:rsid w:val="00034876"/>
    <w:rsid w:val="000442AC"/>
    <w:rsid w:val="000473FE"/>
    <w:rsid w:val="00067493"/>
    <w:rsid w:val="00076FA7"/>
    <w:rsid w:val="00091F52"/>
    <w:rsid w:val="000A620C"/>
    <w:rsid w:val="000C04F5"/>
    <w:rsid w:val="000C43B1"/>
    <w:rsid w:val="000D1A5B"/>
    <w:rsid w:val="000D7808"/>
    <w:rsid w:val="000E3C40"/>
    <w:rsid w:val="000F1A38"/>
    <w:rsid w:val="0016186C"/>
    <w:rsid w:val="0017004B"/>
    <w:rsid w:val="001707B1"/>
    <w:rsid w:val="00193ED9"/>
    <w:rsid w:val="001951AE"/>
    <w:rsid w:val="001A360E"/>
    <w:rsid w:val="001E1D93"/>
    <w:rsid w:val="001F4FA5"/>
    <w:rsid w:val="0020791C"/>
    <w:rsid w:val="00213540"/>
    <w:rsid w:val="00214DB8"/>
    <w:rsid w:val="0022411A"/>
    <w:rsid w:val="00231812"/>
    <w:rsid w:val="00241208"/>
    <w:rsid w:val="00250482"/>
    <w:rsid w:val="00260B01"/>
    <w:rsid w:val="00273603"/>
    <w:rsid w:val="002A134F"/>
    <w:rsid w:val="002C1787"/>
    <w:rsid w:val="002E2C44"/>
    <w:rsid w:val="00303108"/>
    <w:rsid w:val="00306B27"/>
    <w:rsid w:val="00316A9A"/>
    <w:rsid w:val="00323007"/>
    <w:rsid w:val="00353FC0"/>
    <w:rsid w:val="0036024C"/>
    <w:rsid w:val="00377E7B"/>
    <w:rsid w:val="00380D0D"/>
    <w:rsid w:val="003A6A9A"/>
    <w:rsid w:val="003C1082"/>
    <w:rsid w:val="003C506B"/>
    <w:rsid w:val="003F4891"/>
    <w:rsid w:val="00401C9B"/>
    <w:rsid w:val="0040413F"/>
    <w:rsid w:val="0040414B"/>
    <w:rsid w:val="004044A0"/>
    <w:rsid w:val="0041420B"/>
    <w:rsid w:val="004376F5"/>
    <w:rsid w:val="0045033D"/>
    <w:rsid w:val="004532D2"/>
    <w:rsid w:val="004550B7"/>
    <w:rsid w:val="00477E18"/>
    <w:rsid w:val="00485F14"/>
    <w:rsid w:val="00491711"/>
    <w:rsid w:val="004C0F1C"/>
    <w:rsid w:val="004C5770"/>
    <w:rsid w:val="004F4586"/>
    <w:rsid w:val="005025FC"/>
    <w:rsid w:val="00512BB3"/>
    <w:rsid w:val="0053742D"/>
    <w:rsid w:val="005535E3"/>
    <w:rsid w:val="005708B1"/>
    <w:rsid w:val="00576CBA"/>
    <w:rsid w:val="005A7200"/>
    <w:rsid w:val="005D0817"/>
    <w:rsid w:val="005D4B8E"/>
    <w:rsid w:val="005F2B02"/>
    <w:rsid w:val="005F2F5B"/>
    <w:rsid w:val="005F437E"/>
    <w:rsid w:val="00614C90"/>
    <w:rsid w:val="00642191"/>
    <w:rsid w:val="0064775A"/>
    <w:rsid w:val="00662951"/>
    <w:rsid w:val="00670089"/>
    <w:rsid w:val="00670825"/>
    <w:rsid w:val="0067386C"/>
    <w:rsid w:val="00673F66"/>
    <w:rsid w:val="006976D7"/>
    <w:rsid w:val="006A27E5"/>
    <w:rsid w:val="006C59D7"/>
    <w:rsid w:val="006D7420"/>
    <w:rsid w:val="006F4D40"/>
    <w:rsid w:val="00703E8F"/>
    <w:rsid w:val="0071559F"/>
    <w:rsid w:val="00717998"/>
    <w:rsid w:val="00724370"/>
    <w:rsid w:val="00742F89"/>
    <w:rsid w:val="007657EB"/>
    <w:rsid w:val="00767AD7"/>
    <w:rsid w:val="00771047"/>
    <w:rsid w:val="007714CC"/>
    <w:rsid w:val="007A2808"/>
    <w:rsid w:val="007B6A86"/>
    <w:rsid w:val="007C6D66"/>
    <w:rsid w:val="007E1753"/>
    <w:rsid w:val="007F053A"/>
    <w:rsid w:val="00813C57"/>
    <w:rsid w:val="00823A01"/>
    <w:rsid w:val="00833C7D"/>
    <w:rsid w:val="0083549C"/>
    <w:rsid w:val="00836A7D"/>
    <w:rsid w:val="00842689"/>
    <w:rsid w:val="00872126"/>
    <w:rsid w:val="00893AC2"/>
    <w:rsid w:val="008C5583"/>
    <w:rsid w:val="008E1D7A"/>
    <w:rsid w:val="008F221A"/>
    <w:rsid w:val="00900711"/>
    <w:rsid w:val="00913BBA"/>
    <w:rsid w:val="009261A0"/>
    <w:rsid w:val="009335EA"/>
    <w:rsid w:val="00937464"/>
    <w:rsid w:val="00940995"/>
    <w:rsid w:val="00962590"/>
    <w:rsid w:val="00970E16"/>
    <w:rsid w:val="00993703"/>
    <w:rsid w:val="009A1571"/>
    <w:rsid w:val="009B1F5D"/>
    <w:rsid w:val="009C099C"/>
    <w:rsid w:val="009C2255"/>
    <w:rsid w:val="009D319D"/>
    <w:rsid w:val="00A06288"/>
    <w:rsid w:val="00A364EA"/>
    <w:rsid w:val="00A52AA4"/>
    <w:rsid w:val="00A70ABB"/>
    <w:rsid w:val="00A75DE1"/>
    <w:rsid w:val="00A84106"/>
    <w:rsid w:val="00AB1EC9"/>
    <w:rsid w:val="00B27AFA"/>
    <w:rsid w:val="00B30168"/>
    <w:rsid w:val="00B30989"/>
    <w:rsid w:val="00B60137"/>
    <w:rsid w:val="00B862AB"/>
    <w:rsid w:val="00B95B56"/>
    <w:rsid w:val="00BA4A33"/>
    <w:rsid w:val="00BB3AF8"/>
    <w:rsid w:val="00BB58E7"/>
    <w:rsid w:val="00BE4107"/>
    <w:rsid w:val="00BF1707"/>
    <w:rsid w:val="00C218D4"/>
    <w:rsid w:val="00C600F2"/>
    <w:rsid w:val="00C77A8F"/>
    <w:rsid w:val="00C822DD"/>
    <w:rsid w:val="00CA3311"/>
    <w:rsid w:val="00D04A0D"/>
    <w:rsid w:val="00D06D1C"/>
    <w:rsid w:val="00D25C4A"/>
    <w:rsid w:val="00D45AF4"/>
    <w:rsid w:val="00D51055"/>
    <w:rsid w:val="00D544F9"/>
    <w:rsid w:val="00D91CFB"/>
    <w:rsid w:val="00D93300"/>
    <w:rsid w:val="00D95406"/>
    <w:rsid w:val="00DA1E87"/>
    <w:rsid w:val="00DA31DC"/>
    <w:rsid w:val="00DA49D4"/>
    <w:rsid w:val="00DA641F"/>
    <w:rsid w:val="00DF0BAE"/>
    <w:rsid w:val="00DF1BC6"/>
    <w:rsid w:val="00DF26AD"/>
    <w:rsid w:val="00E0661A"/>
    <w:rsid w:val="00E20E4A"/>
    <w:rsid w:val="00E26D43"/>
    <w:rsid w:val="00E70DFC"/>
    <w:rsid w:val="00E77656"/>
    <w:rsid w:val="00E85E29"/>
    <w:rsid w:val="00E90C69"/>
    <w:rsid w:val="00E93002"/>
    <w:rsid w:val="00EA65AB"/>
    <w:rsid w:val="00EC58C2"/>
    <w:rsid w:val="00EC7D3A"/>
    <w:rsid w:val="00ED3316"/>
    <w:rsid w:val="00F16352"/>
    <w:rsid w:val="00F36272"/>
    <w:rsid w:val="00F443BC"/>
    <w:rsid w:val="00F722D3"/>
    <w:rsid w:val="00F73CF7"/>
    <w:rsid w:val="00F971A8"/>
    <w:rsid w:val="00F97B77"/>
    <w:rsid w:val="00FA6265"/>
    <w:rsid w:val="00FC0A97"/>
    <w:rsid w:val="00FC614A"/>
    <w:rsid w:val="00FD3178"/>
    <w:rsid w:val="00FD4005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F561"/>
  <w15:docId w15:val="{91BB43B1-5C96-4A73-A6D4-970F3F0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7"/>
    <w:pPr>
      <w:suppressAutoHyphens/>
      <w:spacing w:after="200" w:line="276" w:lineRule="auto"/>
    </w:pPr>
    <w:rPr>
      <w:rFonts w:eastAsia="Times New Roman"/>
      <w:kern w:val="0"/>
      <w:lang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right="-999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  <w:kern w:val="0"/>
      <w:lang w:eastAsia="lt-LT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DefaultParagraphFont"/>
    <w:rPr>
      <w:rFonts w:eastAsia="Times New Roman"/>
      <w:kern w:val="0"/>
      <w:lang w:eastAsia="lt-LT"/>
    </w:r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DefaultParagraphFont"/>
    <w:rPr>
      <w:rFonts w:eastAsia="Times New Roman"/>
      <w:kern w:val="0"/>
      <w:lang w:eastAsia="lt-LT"/>
    </w:rPr>
  </w:style>
  <w:style w:type="paragraph" w:styleId="BodyText">
    <w:name w:val="Body Text"/>
    <w:basedOn w:val="Normal"/>
    <w:link w:val="BodyTextChar"/>
    <w:uiPriority w:val="1"/>
    <w:qFormat/>
    <w:rsid w:val="0045033D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033D"/>
    <w:rPr>
      <w:rFonts w:ascii="Times New Roman" w:eastAsia="Times New Roman" w:hAnsi="Times New Roman"/>
      <w:kern w:val="0"/>
      <w:sz w:val="23"/>
      <w:szCs w:val="23"/>
    </w:rPr>
  </w:style>
  <w:style w:type="paragraph" w:styleId="ListParagraph">
    <w:name w:val="List Paragraph"/>
    <w:basedOn w:val="Normal"/>
    <w:uiPriority w:val="1"/>
    <w:qFormat/>
    <w:rsid w:val="0045033D"/>
    <w:pPr>
      <w:widowControl w:val="0"/>
      <w:suppressAutoHyphens w:val="0"/>
      <w:autoSpaceDE w:val="0"/>
      <w:spacing w:after="0" w:line="240" w:lineRule="auto"/>
      <w:ind w:left="1603" w:firstLine="548"/>
      <w:jc w:val="both"/>
      <w:textAlignment w:val="auto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F1707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570E-0501-4EA2-968E-15BB8081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Kvyklienė</dc:creator>
  <dc:description/>
  <cp:lastModifiedBy>donatas.stelmokas83@gmail.com</cp:lastModifiedBy>
  <cp:revision>11</cp:revision>
  <cp:lastPrinted>2025-07-17T07:44:00Z</cp:lastPrinted>
  <dcterms:created xsi:type="dcterms:W3CDTF">2026-01-26T09:28:00Z</dcterms:created>
  <dcterms:modified xsi:type="dcterms:W3CDTF">2026-02-06T13:47:00Z</dcterms:modified>
</cp:coreProperties>
</file>