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B164" w14:textId="1248E9AE"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b/>
          <w:bCs/>
          <w:sz w:val="24"/>
          <w:szCs w:val="24"/>
        </w:rPr>
        <w:t>TECHNINĖ SPECIFIKACIJA</w:t>
      </w:r>
    </w:p>
    <w:p w14:paraId="39BD209F" w14:textId="1239810B"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b/>
          <w:bCs/>
          <w:sz w:val="24"/>
          <w:szCs w:val="24"/>
        </w:rPr>
        <w:t>NUTOLUSIOS SAULĖS ELEKTRINĖS DALIES ĮSIGIJIMO IR JOS APTARNAVIMO BEI PRIEŽIŪROS PASLAUGŲ PIRKIMO</w:t>
      </w:r>
    </w:p>
    <w:p w14:paraId="3D06D85A" w14:textId="4A98CD8C" w:rsidR="00BF4454" w:rsidRPr="00BF4454" w:rsidRDefault="00BF4454" w:rsidP="00BF445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 </w:t>
      </w:r>
      <w:r w:rsidRPr="00BF4454">
        <w:rPr>
          <w:rFonts w:ascii="Times New Roman" w:hAnsi="Times New Roman" w:cs="Times New Roman"/>
          <w:sz w:val="24"/>
          <w:szCs w:val="24"/>
        </w:rPr>
        <w:t>BENDRIEJI REIKALAVIMAI</w:t>
      </w:r>
    </w:p>
    <w:p w14:paraId="4AA6DC8C" w14:textId="0D3CC17D" w:rsidR="00BF4454" w:rsidRPr="00BF4454" w:rsidRDefault="00BF4454" w:rsidP="00BF4454">
      <w:pPr>
        <w:spacing w:line="240" w:lineRule="auto"/>
        <w:jc w:val="both"/>
        <w:rPr>
          <w:rFonts w:ascii="Times New Roman" w:hAnsi="Times New Roman" w:cs="Times New Roman"/>
          <w:sz w:val="24"/>
          <w:szCs w:val="24"/>
        </w:rPr>
      </w:pPr>
      <w:r w:rsidRPr="00AA2F91">
        <w:rPr>
          <w:rFonts w:ascii="Times New Roman" w:hAnsi="Times New Roman" w:cs="Times New Roman"/>
          <w:b/>
          <w:bCs/>
          <w:sz w:val="24"/>
          <w:szCs w:val="24"/>
        </w:rPr>
        <w:t xml:space="preserve">1. </w:t>
      </w:r>
      <w:r w:rsidRPr="00BF4454">
        <w:rPr>
          <w:rFonts w:ascii="Times New Roman" w:hAnsi="Times New Roman" w:cs="Times New Roman"/>
          <w:b/>
          <w:bCs/>
          <w:sz w:val="24"/>
          <w:szCs w:val="24"/>
        </w:rPr>
        <w:t xml:space="preserve">Pirkimo objektas </w:t>
      </w:r>
      <w:r w:rsidRPr="00BF4454">
        <w:rPr>
          <w:rFonts w:ascii="Times New Roman" w:hAnsi="Times New Roman" w:cs="Times New Roman"/>
          <w:sz w:val="24"/>
          <w:szCs w:val="24"/>
        </w:rPr>
        <w:t xml:space="preserve">– </w:t>
      </w:r>
      <w:r w:rsidR="00B47ED5">
        <w:rPr>
          <w:rFonts w:ascii="Times New Roman" w:hAnsi="Times New Roman" w:cs="Times New Roman"/>
          <w:sz w:val="24"/>
          <w:szCs w:val="24"/>
        </w:rPr>
        <w:t xml:space="preserve">ne mažiau kaip </w:t>
      </w:r>
      <w:r w:rsidR="00B47ED5" w:rsidRPr="00B47ED5">
        <w:rPr>
          <w:rFonts w:ascii="Times New Roman" w:hAnsi="Times New Roman" w:cs="Times New Roman"/>
          <w:sz w:val="24"/>
          <w:szCs w:val="24"/>
        </w:rPr>
        <w:t>135,14</w:t>
      </w:r>
      <w:r w:rsidRPr="00BF4454">
        <w:rPr>
          <w:rFonts w:ascii="Times New Roman" w:hAnsi="Times New Roman" w:cs="Times New Roman"/>
          <w:sz w:val="24"/>
          <w:szCs w:val="24"/>
        </w:rPr>
        <w:t xml:space="preserve"> kW galios geografiškai nuo elektros energijos vartojimo vietos nutolusio, saulės šviesos elektros energijos gamybos įrenginio (Saulės elektrinės arba jos dalies) įsigijimas, jos aptarnavimo ir priežiūros paslaugos. </w:t>
      </w:r>
      <w:r w:rsidR="00AA2F91" w:rsidRPr="00AA2F91">
        <w:rPr>
          <w:rFonts w:ascii="Times New Roman" w:eastAsia="Aptos" w:hAnsi="Times New Roman" w:cs="Times New Roman"/>
          <w:sz w:val="24"/>
          <w:szCs w:val="24"/>
        </w:rPr>
        <w:t xml:space="preserve">Kauno IX forto muziejus (toliau – Muziejus) įgyvendina Europos Sąjungos lėšomis finansuojamą </w:t>
      </w:r>
      <w:proofErr w:type="spellStart"/>
      <w:r w:rsidR="00AA2F91" w:rsidRPr="00AA2F91">
        <w:rPr>
          <w:rFonts w:ascii="Times New Roman" w:eastAsia="Aptos" w:hAnsi="Times New Roman" w:cs="Times New Roman"/>
          <w:sz w:val="24"/>
          <w:szCs w:val="24"/>
        </w:rPr>
        <w:t>projeką</w:t>
      </w:r>
      <w:proofErr w:type="spellEnd"/>
      <w:r w:rsidR="00AA2F91" w:rsidRPr="00AA2F91">
        <w:rPr>
          <w:rFonts w:ascii="Times New Roman" w:eastAsia="Aptos" w:hAnsi="Times New Roman" w:cs="Times New Roman"/>
          <w:sz w:val="24"/>
          <w:szCs w:val="24"/>
        </w:rPr>
        <w:t xml:space="preserve"> „Kauno IX forto muziejaus pastato energetinio efektyvumo gerinimas, pastato unikalus Nr. 1901-9003-1038“ (toliau – Projektas). Įgyvendinant Projektą yra atliekamas kultūros paskirties pastato, Žemaičių g. 73, Kaune (toliau – Pastatas), kapitalinis remontas. Projekte numatytas saulės elektrinių gaminamos energijos panaudojimas. Kadangi Pastatas ir Muziejaus teritorija yra kultūros paveldo objektai, yra saugomos objekto architektūrinės, kraštovaizdžio, istorinės vertingosios savybės, todėl atsinaujinančių energijos išteklių gamybos įrenginiai nei ant pastatų nei teritorijoje negali būti įrengiami.</w:t>
      </w:r>
    </w:p>
    <w:p w14:paraId="46DA2FC6" w14:textId="6ED7A2BD" w:rsid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BF4454">
        <w:rPr>
          <w:rFonts w:ascii="Times New Roman" w:hAnsi="Times New Roman" w:cs="Times New Roman"/>
          <w:sz w:val="24"/>
          <w:szCs w:val="24"/>
        </w:rPr>
        <w:t xml:space="preserve">Tiekėjo parduodama geografiškai nutolusi saulės elektrinė turi būti visiškai pastatyta ir eksploatuojama. Perkančiajai organizacijai perduodama geografiškai nutolusi saulės elektrinė gali būti tiek atskira geografiškai nutolusi saulės elektrinė, tiek didesnės geografiškai nutolusios saulės elektrinės dalis. Tuo atveju, kai tiekėjo siūloma saulės elektrinė yra didesnės geografiškai nutolusios saulės elektrinės dalis, tiekėjas priėmimo-perdavimo akte turi nurodyti perkančiajai organizacijai priklausančių modulių numerius, brėžinyje pažymėti atitinkamus modulius, juos aptarnaujančių įrenginių vietas (pavyzdžiui, keitiklius, transformatorių ir pan.) bei prižiūrimą sklypą ar jo dalį, ant kurio yra pastatyta perkančiajai organizacijai priklausanti saulės elektrinė dalis. Tiekėjas privalo perkančiajai organizacijai perduoti saulės elektrinę ar jos dalį </w:t>
      </w:r>
      <w:r w:rsidRPr="00BF4454">
        <w:rPr>
          <w:rFonts w:ascii="Times New Roman" w:hAnsi="Times New Roman" w:cs="Times New Roman"/>
          <w:b/>
          <w:bCs/>
          <w:sz w:val="24"/>
          <w:szCs w:val="24"/>
        </w:rPr>
        <w:t xml:space="preserve">per 3 (tris) mėnesius nuo Sutarties įsigaliojimo. </w:t>
      </w:r>
    </w:p>
    <w:p w14:paraId="6BEE34FE" w14:textId="59C2A298" w:rsidR="00BF4454" w:rsidRP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BF4454">
        <w:rPr>
          <w:rFonts w:ascii="Times New Roman" w:hAnsi="Times New Roman" w:cs="Times New Roman"/>
          <w:b/>
          <w:bCs/>
          <w:sz w:val="24"/>
          <w:szCs w:val="24"/>
        </w:rPr>
        <w:t xml:space="preserve">Tiekėjo įsipareigojimai </w:t>
      </w:r>
      <w:r w:rsidRPr="00BF4454">
        <w:rPr>
          <w:rFonts w:ascii="Times New Roman" w:hAnsi="Times New Roman" w:cs="Times New Roman"/>
          <w:sz w:val="24"/>
          <w:szCs w:val="24"/>
        </w:rPr>
        <w:t xml:space="preserve">(esant poreikiui tiekėją įgaliojus Perkančiajai organizacijai): </w:t>
      </w:r>
    </w:p>
    <w:p w14:paraId="74B95D9F" w14:textId="5BD0E7E4" w:rsidR="00BF4454" w:rsidRPr="00BF4454" w:rsidRDefault="00BF4454" w:rsidP="00BF4454">
      <w:pPr>
        <w:pStyle w:val="ListParagraph"/>
        <w:numPr>
          <w:ilvl w:val="0"/>
          <w:numId w:val="4"/>
        </w:num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VERT leidim</w:t>
      </w:r>
      <w:r w:rsidR="00B47ED5">
        <w:rPr>
          <w:rFonts w:ascii="Times New Roman" w:hAnsi="Times New Roman" w:cs="Times New Roman"/>
          <w:sz w:val="24"/>
          <w:szCs w:val="24"/>
        </w:rPr>
        <w:t>as</w:t>
      </w:r>
      <w:r w:rsidRPr="00BF4454">
        <w:rPr>
          <w:rFonts w:ascii="Times New Roman" w:hAnsi="Times New Roman" w:cs="Times New Roman"/>
          <w:sz w:val="24"/>
          <w:szCs w:val="24"/>
        </w:rPr>
        <w:t xml:space="preserve"> gaminti elektros energiją</w:t>
      </w:r>
      <w:r w:rsidR="00B47ED5">
        <w:rPr>
          <w:rFonts w:ascii="Times New Roman" w:hAnsi="Times New Roman" w:cs="Times New Roman"/>
          <w:sz w:val="24"/>
          <w:szCs w:val="24"/>
        </w:rPr>
        <w:t>.</w:t>
      </w:r>
      <w:r w:rsidRPr="00BF4454">
        <w:rPr>
          <w:rFonts w:ascii="Times New Roman" w:hAnsi="Times New Roman" w:cs="Times New Roman"/>
          <w:sz w:val="24"/>
          <w:szCs w:val="24"/>
        </w:rPr>
        <w:t xml:space="preserve"> </w:t>
      </w:r>
    </w:p>
    <w:p w14:paraId="00A0C636" w14:textId="728DC95D" w:rsidR="00BF4454" w:rsidRP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BF4454">
        <w:rPr>
          <w:rFonts w:ascii="Times New Roman" w:hAnsi="Times New Roman" w:cs="Times New Roman"/>
          <w:sz w:val="24"/>
          <w:szCs w:val="24"/>
        </w:rPr>
        <w:t xml:space="preserve">Objektai, kuriems geografiškai nutolusi saulės elektrinė tieks elektros energiją, yra </w:t>
      </w:r>
      <w:r w:rsidR="00B47ED5">
        <w:rPr>
          <w:rFonts w:ascii="Times New Roman" w:hAnsi="Times New Roman" w:cs="Times New Roman"/>
          <w:sz w:val="24"/>
          <w:szCs w:val="24"/>
        </w:rPr>
        <w:t xml:space="preserve">Kaune, </w:t>
      </w:r>
      <w:r w:rsidR="00B47ED5" w:rsidRPr="00B47ED5">
        <w:rPr>
          <w:rFonts w:ascii="Times New Roman" w:hAnsi="Times New Roman" w:cs="Times New Roman"/>
          <w:sz w:val="24"/>
          <w:szCs w:val="24"/>
        </w:rPr>
        <w:t>Žemaičių g. 73</w:t>
      </w:r>
      <w:r w:rsidRPr="00BF4454">
        <w:rPr>
          <w:rFonts w:ascii="Times New Roman" w:hAnsi="Times New Roman" w:cs="Times New Roman"/>
          <w:sz w:val="24"/>
          <w:szCs w:val="24"/>
        </w:rPr>
        <w:t xml:space="preserve">. </w:t>
      </w:r>
    </w:p>
    <w:p w14:paraId="7462C5C8" w14:textId="7103AE6C"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5. Bendras saulės elektrinės efektyvumas turi užtikrinti ne mažesnį kaip </w:t>
      </w:r>
      <w:r w:rsidR="00B51354">
        <w:rPr>
          <w:rFonts w:ascii="Times New Roman" w:hAnsi="Times New Roman" w:cs="Times New Roman"/>
          <w:sz w:val="24"/>
          <w:szCs w:val="24"/>
        </w:rPr>
        <w:t>150</w:t>
      </w:r>
      <w:r w:rsidRPr="00BF4454">
        <w:rPr>
          <w:rFonts w:ascii="Times New Roman" w:hAnsi="Times New Roman" w:cs="Times New Roman"/>
          <w:sz w:val="24"/>
          <w:szCs w:val="24"/>
        </w:rPr>
        <w:t xml:space="preserve"> 000 kWh elektros energijos pateikimą į energijos skirstymo operatoriaus (ESO) tinklus per pirmus saulės elektrinės eksploatacijos kalendorinius metus. Tiekėjas turi pateikti su sertifikuota programa parengtą elektros energijos generacijos prognozę (Pvz.: PVSOL, PVSYST arba lygiaverte), kuria remiasi pasiūlyme teikdamas savo įsipareigojimą pagaminti jame nurodytą elektros energijos kiekį. Tiekėjas, rengdamas modeliavimo ataskaitą, parenka bendrąją saulės spinduliuotės reikšmę, atsižvelgdamas į konkretų regioną bei įvertindamas objekto ypatybes. </w:t>
      </w:r>
    </w:p>
    <w:p w14:paraId="0C4A8A93"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6. Saulės elektrinę sudaro elektros energijos iš atsinaujinančių išteklių gamybos įrenginiai (saulės šviesos energijos moduliai) ir jų generuojamai galiai priskiriami technologiniai įrenginiai įrengti iki skirstomojo tinklo operatoriaus ribų, nurodytų elektros tinklų nuosavybės ribų akte, kurie yra vientisas nedalomas objektas. </w:t>
      </w:r>
    </w:p>
    <w:p w14:paraId="446865A9" w14:textId="64ACE2E0"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7. Perkančiajai organizacijai perduodama geografiškai nutolusi saulės elektrinė turi būti pastatyta Lietuvos Respublikos teritorijoje, vadovaujantis Lietuvos Respublikoje galiojančių teisės aktų reikalavimais, pagal perkančiosios organizacijos įgaliojimą priduota Valstybinei energetikos reguliavimo tarybai (toliau – VERT), gautas leidimas gaminti elektros energiją bei </w:t>
      </w:r>
      <w:r w:rsidRPr="00BF4454">
        <w:rPr>
          <w:rFonts w:ascii="Times New Roman" w:hAnsi="Times New Roman" w:cs="Times New Roman"/>
          <w:sz w:val="24"/>
          <w:szCs w:val="24"/>
        </w:rPr>
        <w:lastRenderedPageBreak/>
        <w:t xml:space="preserve">atlikti kiti veiksmai kuriuos atlikus geografiškai nutolusios saulės elektrinės pagaminta elektros energija bus apskaitoma kaip perkančiosios organizacijos pagaminta elektros energija. </w:t>
      </w:r>
    </w:p>
    <w:p w14:paraId="7410D59D"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8. Pirkimo objektas į pirkimo objekto dalis neskaidomas. </w:t>
      </w:r>
    </w:p>
    <w:p w14:paraId="44DFE457" w14:textId="4F0A3CEB"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9. Saulės elektrinėje sumontuota įranga turi būti pradėta eksploatuota ne anksčiau kaip 20</w:t>
      </w:r>
      <w:r w:rsidR="00B51354">
        <w:rPr>
          <w:rFonts w:ascii="Times New Roman" w:hAnsi="Times New Roman" w:cs="Times New Roman"/>
          <w:sz w:val="24"/>
          <w:szCs w:val="24"/>
        </w:rPr>
        <w:t>2</w:t>
      </w:r>
      <w:r w:rsidR="00DE2572">
        <w:rPr>
          <w:rFonts w:ascii="Times New Roman" w:hAnsi="Times New Roman" w:cs="Times New Roman"/>
          <w:sz w:val="24"/>
          <w:szCs w:val="24"/>
        </w:rPr>
        <w:t>4</w:t>
      </w:r>
      <w:r w:rsidRPr="00BF4454">
        <w:rPr>
          <w:rFonts w:ascii="Times New Roman" w:hAnsi="Times New Roman" w:cs="Times New Roman"/>
          <w:sz w:val="24"/>
          <w:szCs w:val="24"/>
        </w:rPr>
        <w:t xml:space="preserve"> m. sausio 2 diena. </w:t>
      </w:r>
    </w:p>
    <w:p w14:paraId="5C47C4A1"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10. Tiekėjas po kiekvienų ataskaitinių metų pabaigos, ne vėliau kaip iki kito mėnesio, einančio po ataskaitinio laikotarpio pabaigos, 10 dienos, pateikia perkančiajai organizacijai faktiškai saulės elektrinės pagamintos ir į elektros tinklus patiektos elektros energijos ataskaitą. Elektros energijos kiekiai matuojami ESO elektros energijos matavimo prietaisais. </w:t>
      </w:r>
    </w:p>
    <w:p w14:paraId="378401B6" w14:textId="56CFDA96" w:rsidR="00BF4454" w:rsidRPr="00BF4454" w:rsidRDefault="00BF4454" w:rsidP="00DE2572">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11. Saulės elektrinės elektros energijos gamybos garantija turi būti pagrįsta remiantis žemiau pateiktu skaičiavimu. Su pasiūlymu privaloma pateikti </w:t>
      </w:r>
      <w:proofErr w:type="spellStart"/>
      <w:r w:rsidRPr="00BF4454">
        <w:rPr>
          <w:rFonts w:ascii="Times New Roman" w:hAnsi="Times New Roman" w:cs="Times New Roman"/>
          <w:sz w:val="24"/>
          <w:szCs w:val="24"/>
        </w:rPr>
        <w:t>PVsyst</w:t>
      </w:r>
      <w:proofErr w:type="spellEnd"/>
      <w:r w:rsidRPr="00BF4454">
        <w:rPr>
          <w:rFonts w:ascii="Times New Roman" w:hAnsi="Times New Roman" w:cs="Times New Roman"/>
          <w:sz w:val="24"/>
          <w:szCs w:val="24"/>
        </w:rPr>
        <w:t xml:space="preserve">, </w:t>
      </w:r>
      <w:proofErr w:type="spellStart"/>
      <w:r w:rsidRPr="00BF4454">
        <w:rPr>
          <w:rFonts w:ascii="Times New Roman" w:hAnsi="Times New Roman" w:cs="Times New Roman"/>
          <w:sz w:val="24"/>
          <w:szCs w:val="24"/>
        </w:rPr>
        <w:t>PVsol</w:t>
      </w:r>
      <w:proofErr w:type="spellEnd"/>
      <w:r w:rsidRPr="00BF4454">
        <w:rPr>
          <w:rFonts w:ascii="Times New Roman" w:hAnsi="Times New Roman" w:cs="Times New Roman"/>
          <w:sz w:val="24"/>
          <w:szCs w:val="24"/>
        </w:rPr>
        <w:t xml:space="preserve"> arba kitos lygiavertės saulės elektrinių modeliavimo programinės įrangos ataskaitą bei modeliavimo programos formato duomenų laikmeną (patikrinimui), kurioje būtų sumodeliuota siūloma saulės elektrinė nurodytu įrengimo adresu pagal galimybes įvertinant šešėliavimo nuostolius (jeigu įmanoma, šešėliavimą sukeliančios kliūtys privalo būti atvaizduotos ataskaitoje). Tiekėjas, rengdamas ataskaitą, privalo įvertinti visas galimas rizikas dėl elektros energijos gamybos apimčių pasiekimo ir prisiimti visą atsakomybę. Modeliavimo programos formato duomenų laikmenoje esanti informacija turi sutapti su ataskaitoje pateikta informacija. </w:t>
      </w:r>
    </w:p>
    <w:p w14:paraId="5E428127" w14:textId="2C6CFCE2"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12. Montavimo konstrukcijos privalo būti skirtos </w:t>
      </w:r>
      <w:proofErr w:type="spellStart"/>
      <w:r w:rsidRPr="00BF4454">
        <w:rPr>
          <w:rFonts w:ascii="Times New Roman" w:hAnsi="Times New Roman" w:cs="Times New Roman"/>
          <w:sz w:val="24"/>
          <w:szCs w:val="24"/>
        </w:rPr>
        <w:t>fotomodulių</w:t>
      </w:r>
      <w:proofErr w:type="spellEnd"/>
      <w:r w:rsidRPr="00BF4454">
        <w:rPr>
          <w:rFonts w:ascii="Times New Roman" w:hAnsi="Times New Roman" w:cs="Times New Roman"/>
          <w:sz w:val="24"/>
          <w:szCs w:val="24"/>
        </w:rPr>
        <w:t xml:space="preserve"> montavimui ir naudojamos, kaip numatyta gamintojo techninėje specifikacijoje. </w:t>
      </w:r>
    </w:p>
    <w:p w14:paraId="38618D6F"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13. Jei nebus galimybės palaikyti saugaus saulės elektrinės atstumo nuo žaibolaidžių ir žaibosaugos elementų, tiekėjas savo kaštais privalės atlikti žaibosaugos sistemos korekcijas ir užtikrinti tinkamą žaibosaugą. </w:t>
      </w:r>
    </w:p>
    <w:p w14:paraId="117BB41E"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14. Saulės elektrinė turi būti apsaugota viršįtampių ribotuvais, jeigu jie nėra ESO įrengti AC (kintamosios srovės dalyje) arba jie nėra įtampos keitiklių konstrukcijos dalis. </w:t>
      </w:r>
    </w:p>
    <w:p w14:paraId="51B99FBD" w14:textId="77777777" w:rsid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15. Keitikliai montuojami ant pastatų sienų arba ant tam skirtų laikančiųjų konstrukcijų neuždengiant aušinimo angų ir užtikrinant patogų priėjimą eksploatacijai, vadovaujantis gamintojo instrukcijomis. Jeigu keitikliai bus montuojami ne po stogu ar pastato viduje, tiekėjas turi užtikrinti jų tinkamą apsaugą nuo tiesioginių saulės spindulių, lietaus ir sniego. Keitikliai privalo būti montuojami pagal gamintojo reikalavimus ir atsižvelgiant į rekomendacijas (atstumai tarp keitiklių, pasvirimo kampas, medžiagos, ant kurių negalima montuoti keitiklių). </w:t>
      </w:r>
    </w:p>
    <w:p w14:paraId="6531DD22" w14:textId="77777777" w:rsidR="00BF4454" w:rsidRPr="00BF4454" w:rsidRDefault="00BF4454" w:rsidP="00BF4454">
      <w:pPr>
        <w:spacing w:line="240" w:lineRule="auto"/>
        <w:jc w:val="both"/>
        <w:rPr>
          <w:rFonts w:ascii="Times New Roman" w:hAnsi="Times New Roman" w:cs="Times New Roman"/>
          <w:sz w:val="24"/>
          <w:szCs w:val="24"/>
        </w:rPr>
      </w:pPr>
    </w:p>
    <w:p w14:paraId="59320261" w14:textId="69D97B05" w:rsidR="00BF4454" w:rsidRPr="00BF4454" w:rsidRDefault="00BF4454" w:rsidP="00BF4454">
      <w:pPr>
        <w:spacing w:line="240" w:lineRule="auto"/>
        <w:jc w:val="center"/>
        <w:rPr>
          <w:rFonts w:ascii="Times New Roman" w:hAnsi="Times New Roman" w:cs="Times New Roman"/>
          <w:b/>
          <w:bCs/>
          <w:sz w:val="24"/>
          <w:szCs w:val="24"/>
        </w:rPr>
      </w:pPr>
      <w:r w:rsidRPr="00BF4454">
        <w:rPr>
          <w:rFonts w:ascii="Times New Roman" w:hAnsi="Times New Roman" w:cs="Times New Roman"/>
          <w:b/>
          <w:bCs/>
          <w:sz w:val="24"/>
          <w:szCs w:val="24"/>
        </w:rPr>
        <w:t>II. REIKALAVIMAI ĮRENGINIUI</w:t>
      </w:r>
    </w:p>
    <w:p w14:paraId="6E923294" w14:textId="77777777" w:rsidR="00BF4454" w:rsidRPr="00BF4454" w:rsidRDefault="00BF4454" w:rsidP="00BF4454">
      <w:pPr>
        <w:spacing w:line="240" w:lineRule="auto"/>
        <w:jc w:val="both"/>
        <w:rPr>
          <w:rFonts w:ascii="Times New Roman" w:hAnsi="Times New Roman" w:cs="Times New Roman"/>
          <w:sz w:val="24"/>
          <w:szCs w:val="24"/>
        </w:rPr>
      </w:pPr>
    </w:p>
    <w:p w14:paraId="79AB54D1"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16. Reikalavimai geografiškai nutolusios saulės elektrinės stebėsenos sistemai: </w:t>
      </w:r>
    </w:p>
    <w:p w14:paraId="3CE1DC46"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16.1. Užtikrinama nemokama internetinė prieiga prie saulės fotoelektrinės veikimo monitoringo sistemos (stebėsenos). </w:t>
      </w:r>
    </w:p>
    <w:p w14:paraId="186BD4B1" w14:textId="5CB6EF9C"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16.2. Stebėsenos sistemoje turi būti galimybė stebėti saulės elektrinės darbą ne mažesniu kaip modulių eilių lygmeniu, įskaitant sroves ir įtampas. </w:t>
      </w:r>
    </w:p>
    <w:p w14:paraId="7BCB4CC2"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lastRenderedPageBreak/>
        <w:t xml:space="preserve">16.3. Stebėsenos sistema turi komunikuoti su keitikliais ir gauti pranešimus apie gedimus ne mažesniu kaip keitiklio lygmeniu. </w:t>
      </w:r>
    </w:p>
    <w:p w14:paraId="414CB31A"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16.4. Pateikta įranga užtikrina neatlygintiną prieigą prie stebėsenos sistemos ir šios sistemos funkcionavimą ne mažiau kaip 5 metus nuo Elektros energijos pirkimo-pardavimo ir paslaugų sutarties su ESO pasirašymo dienos. </w:t>
      </w:r>
    </w:p>
    <w:p w14:paraId="54A12FEE" w14:textId="7F0196D0" w:rsidR="00BF4454" w:rsidRPr="00BF4454" w:rsidRDefault="00BF4454" w:rsidP="00DE2572">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16.5. Per ataskaitinius metus pagaminus mažesnį nei įsipareigota pagaminti energijos kiekį laikoma, kad įsipareigojimas nebuvo įvykdytas. </w:t>
      </w:r>
    </w:p>
    <w:p w14:paraId="32ADBFC6"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b/>
          <w:bCs/>
          <w:sz w:val="24"/>
          <w:szCs w:val="24"/>
        </w:rPr>
        <w:t xml:space="preserve">18. Techniniai reikalavimai įrangai ir medžiagoms; </w:t>
      </w:r>
    </w:p>
    <w:p w14:paraId="4EA2DB48"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b/>
          <w:bCs/>
          <w:sz w:val="24"/>
          <w:szCs w:val="24"/>
        </w:rPr>
        <w:t xml:space="preserve">SAULĖS FOTOELEKTRINIAI MODULIAI </w:t>
      </w:r>
    </w:p>
    <w:p w14:paraId="58C33684"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Darbinės modulio temperatūros rėžiai ne siauresni nei -40 – +85 °C; </w:t>
      </w:r>
    </w:p>
    <w:p w14:paraId="540F4C3B"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Produkto garantijos laikotarpis ≥25 metų; </w:t>
      </w:r>
    </w:p>
    <w:p w14:paraId="69EC4AF3"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Efektyvumo garantija po 25 metų eksploatacijos ≥80,0 %; </w:t>
      </w:r>
    </w:p>
    <w:p w14:paraId="29042C1D"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CE deklaracija arba sertifikatas. </w:t>
      </w:r>
    </w:p>
    <w:p w14:paraId="201D143A"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b/>
          <w:bCs/>
          <w:sz w:val="24"/>
          <w:szCs w:val="24"/>
        </w:rPr>
        <w:t xml:space="preserve">KEITIKLIAI </w:t>
      </w:r>
    </w:p>
    <w:p w14:paraId="169DB7AF"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Darbinės aplinkos temperatūros rėžiai ne siauresni nei -25 – +60 °C; </w:t>
      </w:r>
    </w:p>
    <w:p w14:paraId="3B9C7A68"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Nominalus keitiklio efektyvumas (Euro) ≥97,0 %; </w:t>
      </w:r>
    </w:p>
    <w:p w14:paraId="7D10CCB5"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Apsaugos klasė ≥IP65; </w:t>
      </w:r>
    </w:p>
    <w:p w14:paraId="088A2F4C"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Garantija ≥15 metų; </w:t>
      </w:r>
    </w:p>
    <w:p w14:paraId="38452DAF"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Deklaracijos CE deklaracija arba sertifikatas; </w:t>
      </w:r>
    </w:p>
    <w:p w14:paraId="50F65975"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b/>
          <w:bCs/>
          <w:sz w:val="24"/>
          <w:szCs w:val="24"/>
        </w:rPr>
        <w:t xml:space="preserve">MONTAVIMO KONSTRUKCIJOS </w:t>
      </w:r>
    </w:p>
    <w:p w14:paraId="15D2B0E7"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Garantija ≥25 metų; </w:t>
      </w:r>
    </w:p>
    <w:p w14:paraId="77426CDD"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Medžiaga turi būti iš tvirtų, patvarių bei visą tarnavimo laikotarpį saulės ir atmosferos kritulių poveikyje lauko sąlygomis senėjimui bei korozijai atsparių medžiagų (pavyzdžiui, aliuminio lydinys, nerūdijantis arba cinkuotas plienas (arba lygiavertis)); </w:t>
      </w:r>
    </w:p>
    <w:p w14:paraId="16604501" w14:textId="77777777" w:rsid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Gamintojo pateikta CE arba analogiškas dokumentas, patvirtinantis konstrukcijos elementų tinkamumą saulės modulių montavimui. Montavimo konstrukcijoms, jungiamiesiems kabeliams ir kabelių linijoms, matavimo prietaisams, įrenginio surinkimui ir paslėptiems darbams taikoma Tiekėjo garantija ≥10 metų. </w:t>
      </w:r>
    </w:p>
    <w:p w14:paraId="4A5741C3" w14:textId="2773891F"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19. Pagaminamas elektros energijos kiekis kurį Tiekėjas įsipareigoja pateikti į energijos skirstymo operatoriaus (ESO) tinklus pirmaisiais ir vėlesniais metais, privalo būti ne mažesnis nei:</w:t>
      </w:r>
    </w:p>
    <w:tbl>
      <w:tblPr>
        <w:tblW w:w="913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93"/>
        <w:gridCol w:w="7043"/>
      </w:tblGrid>
      <w:tr w:rsidR="00BF4454" w:rsidRPr="00BF4454" w14:paraId="2781AF05" w14:textId="77777777" w:rsidTr="00BF4454">
        <w:trPr>
          <w:trHeight w:val="351"/>
        </w:trPr>
        <w:tc>
          <w:tcPr>
            <w:tcW w:w="2093" w:type="dxa"/>
            <w:tcBorders>
              <w:top w:val="none" w:sz="6" w:space="0" w:color="auto"/>
              <w:bottom w:val="none" w:sz="6" w:space="0" w:color="auto"/>
              <w:right w:val="none" w:sz="6" w:space="0" w:color="auto"/>
            </w:tcBorders>
          </w:tcPr>
          <w:p w14:paraId="1082A9D6" w14:textId="24FE62F2"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b/>
                <w:bCs/>
                <w:sz w:val="24"/>
                <w:szCs w:val="24"/>
              </w:rPr>
              <w:t>Saulės elektrinės eksploatavimo ataskaitiniai metai</w:t>
            </w:r>
          </w:p>
        </w:tc>
        <w:tc>
          <w:tcPr>
            <w:tcW w:w="7043" w:type="dxa"/>
            <w:tcBorders>
              <w:top w:val="none" w:sz="6" w:space="0" w:color="auto"/>
              <w:left w:val="none" w:sz="6" w:space="0" w:color="auto"/>
              <w:bottom w:val="none" w:sz="6" w:space="0" w:color="auto"/>
            </w:tcBorders>
          </w:tcPr>
          <w:p w14:paraId="7FBA41F7" w14:textId="4E26A984"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b/>
                <w:bCs/>
                <w:sz w:val="24"/>
                <w:szCs w:val="24"/>
              </w:rPr>
              <w:t>Tiekėjo įsipareigojamas per metus pagaminti ir nukreipti į ESO tinklus elektros energijos kiekis - Gamybos įsipareigojimas kWh, ne mažiau</w:t>
            </w:r>
          </w:p>
        </w:tc>
      </w:tr>
      <w:tr w:rsidR="00BF4454" w:rsidRPr="00BF4454" w14:paraId="14BE6848" w14:textId="77777777" w:rsidTr="00BF4454">
        <w:trPr>
          <w:trHeight w:val="100"/>
        </w:trPr>
        <w:tc>
          <w:tcPr>
            <w:tcW w:w="2093" w:type="dxa"/>
            <w:tcBorders>
              <w:top w:val="none" w:sz="6" w:space="0" w:color="auto"/>
              <w:bottom w:val="none" w:sz="6" w:space="0" w:color="auto"/>
              <w:right w:val="none" w:sz="6" w:space="0" w:color="auto"/>
            </w:tcBorders>
          </w:tcPr>
          <w:p w14:paraId="35242A42" w14:textId="3C42115C"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1</w:t>
            </w:r>
          </w:p>
        </w:tc>
        <w:tc>
          <w:tcPr>
            <w:tcW w:w="7043" w:type="dxa"/>
            <w:tcBorders>
              <w:top w:val="none" w:sz="6" w:space="0" w:color="auto"/>
              <w:left w:val="none" w:sz="6" w:space="0" w:color="auto"/>
              <w:bottom w:val="none" w:sz="6" w:space="0" w:color="auto"/>
            </w:tcBorders>
          </w:tcPr>
          <w:p w14:paraId="4775FED7" w14:textId="396A6C6D"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 ≥ </w:t>
            </w:r>
            <w:r w:rsidR="00B47ED5">
              <w:rPr>
                <w:rFonts w:ascii="Times New Roman" w:hAnsi="Times New Roman" w:cs="Times New Roman"/>
                <w:sz w:val="24"/>
                <w:szCs w:val="24"/>
              </w:rPr>
              <w:t>150000 kWh</w:t>
            </w:r>
          </w:p>
        </w:tc>
      </w:tr>
      <w:tr w:rsidR="00BF4454" w:rsidRPr="00BF4454" w14:paraId="160C4F88" w14:textId="77777777" w:rsidTr="00BF4454">
        <w:trPr>
          <w:trHeight w:val="101"/>
        </w:trPr>
        <w:tc>
          <w:tcPr>
            <w:tcW w:w="2093" w:type="dxa"/>
            <w:tcBorders>
              <w:top w:val="none" w:sz="6" w:space="0" w:color="auto"/>
              <w:bottom w:val="none" w:sz="6" w:space="0" w:color="auto"/>
              <w:right w:val="none" w:sz="6" w:space="0" w:color="auto"/>
            </w:tcBorders>
          </w:tcPr>
          <w:p w14:paraId="67B35464" w14:textId="4DA0B92F"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2</w:t>
            </w:r>
          </w:p>
        </w:tc>
        <w:tc>
          <w:tcPr>
            <w:tcW w:w="7043" w:type="dxa"/>
            <w:tcBorders>
              <w:top w:val="none" w:sz="6" w:space="0" w:color="auto"/>
              <w:left w:val="none" w:sz="6" w:space="0" w:color="auto"/>
              <w:bottom w:val="none" w:sz="6" w:space="0" w:color="auto"/>
            </w:tcBorders>
          </w:tcPr>
          <w:p w14:paraId="65B9700B"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G2≥ [Apskaičiuojama pagal punkte 19.1. nurodytą formulę] </w:t>
            </w:r>
          </w:p>
        </w:tc>
      </w:tr>
      <w:tr w:rsidR="00BF4454" w:rsidRPr="00BF4454" w14:paraId="3243E08D" w14:textId="77777777" w:rsidTr="00BF4454">
        <w:trPr>
          <w:trHeight w:val="101"/>
        </w:trPr>
        <w:tc>
          <w:tcPr>
            <w:tcW w:w="2093" w:type="dxa"/>
            <w:tcBorders>
              <w:top w:val="none" w:sz="6" w:space="0" w:color="auto"/>
              <w:bottom w:val="none" w:sz="6" w:space="0" w:color="auto"/>
              <w:right w:val="none" w:sz="6" w:space="0" w:color="auto"/>
            </w:tcBorders>
          </w:tcPr>
          <w:p w14:paraId="7153DFB5" w14:textId="29ED13D9"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lastRenderedPageBreak/>
              <w:t>3</w:t>
            </w:r>
          </w:p>
        </w:tc>
        <w:tc>
          <w:tcPr>
            <w:tcW w:w="7043" w:type="dxa"/>
            <w:tcBorders>
              <w:top w:val="none" w:sz="6" w:space="0" w:color="auto"/>
              <w:left w:val="none" w:sz="6" w:space="0" w:color="auto"/>
              <w:bottom w:val="none" w:sz="6" w:space="0" w:color="auto"/>
            </w:tcBorders>
          </w:tcPr>
          <w:p w14:paraId="39BA11A6"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G3≥ [Apskaičiuojama pagal punkte 19.1. nurodytą formulę] </w:t>
            </w:r>
          </w:p>
        </w:tc>
      </w:tr>
      <w:tr w:rsidR="00BF4454" w:rsidRPr="00BF4454" w14:paraId="7B59158D" w14:textId="77777777" w:rsidTr="00BF4454">
        <w:trPr>
          <w:trHeight w:val="101"/>
        </w:trPr>
        <w:tc>
          <w:tcPr>
            <w:tcW w:w="2093" w:type="dxa"/>
            <w:tcBorders>
              <w:top w:val="none" w:sz="6" w:space="0" w:color="auto"/>
              <w:bottom w:val="none" w:sz="6" w:space="0" w:color="auto"/>
              <w:right w:val="none" w:sz="6" w:space="0" w:color="auto"/>
            </w:tcBorders>
          </w:tcPr>
          <w:p w14:paraId="710A537E" w14:textId="071F2229"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4</w:t>
            </w:r>
          </w:p>
        </w:tc>
        <w:tc>
          <w:tcPr>
            <w:tcW w:w="7043" w:type="dxa"/>
            <w:tcBorders>
              <w:top w:val="none" w:sz="6" w:space="0" w:color="auto"/>
              <w:left w:val="none" w:sz="6" w:space="0" w:color="auto"/>
              <w:bottom w:val="none" w:sz="6" w:space="0" w:color="auto"/>
            </w:tcBorders>
          </w:tcPr>
          <w:p w14:paraId="3431F38C"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G4≥ [Apskaičiuojama pagal punkte 19.1. nurodytą formulę] </w:t>
            </w:r>
          </w:p>
        </w:tc>
      </w:tr>
      <w:tr w:rsidR="00BF4454" w:rsidRPr="00BF4454" w14:paraId="06A5ED79" w14:textId="77777777" w:rsidTr="00BF4454">
        <w:trPr>
          <w:trHeight w:val="101"/>
        </w:trPr>
        <w:tc>
          <w:tcPr>
            <w:tcW w:w="2093" w:type="dxa"/>
            <w:tcBorders>
              <w:top w:val="none" w:sz="6" w:space="0" w:color="auto"/>
              <w:bottom w:val="none" w:sz="6" w:space="0" w:color="auto"/>
              <w:right w:val="none" w:sz="6" w:space="0" w:color="auto"/>
            </w:tcBorders>
          </w:tcPr>
          <w:p w14:paraId="239CBE4E" w14:textId="506E2675"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5</w:t>
            </w:r>
          </w:p>
        </w:tc>
        <w:tc>
          <w:tcPr>
            <w:tcW w:w="7043" w:type="dxa"/>
            <w:tcBorders>
              <w:top w:val="none" w:sz="6" w:space="0" w:color="auto"/>
              <w:left w:val="none" w:sz="6" w:space="0" w:color="auto"/>
              <w:bottom w:val="none" w:sz="6" w:space="0" w:color="auto"/>
            </w:tcBorders>
          </w:tcPr>
          <w:p w14:paraId="4F3D8862"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G5≥ [Apskaičiuojama pagal punkte 19.1. nurodytą formulę] </w:t>
            </w:r>
          </w:p>
        </w:tc>
      </w:tr>
      <w:tr w:rsidR="00BF4454" w:rsidRPr="00BF4454" w14:paraId="3961A010" w14:textId="77777777" w:rsidTr="00BF4454">
        <w:trPr>
          <w:trHeight w:val="101"/>
        </w:trPr>
        <w:tc>
          <w:tcPr>
            <w:tcW w:w="2093" w:type="dxa"/>
            <w:tcBorders>
              <w:top w:val="none" w:sz="6" w:space="0" w:color="auto"/>
              <w:bottom w:val="none" w:sz="6" w:space="0" w:color="auto"/>
              <w:right w:val="none" w:sz="6" w:space="0" w:color="auto"/>
            </w:tcBorders>
          </w:tcPr>
          <w:p w14:paraId="2693F494" w14:textId="2CC62CBF"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6</w:t>
            </w:r>
          </w:p>
        </w:tc>
        <w:tc>
          <w:tcPr>
            <w:tcW w:w="7043" w:type="dxa"/>
            <w:tcBorders>
              <w:top w:val="none" w:sz="6" w:space="0" w:color="auto"/>
              <w:left w:val="none" w:sz="6" w:space="0" w:color="auto"/>
              <w:bottom w:val="none" w:sz="6" w:space="0" w:color="auto"/>
            </w:tcBorders>
          </w:tcPr>
          <w:p w14:paraId="151A9F65"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G6≥ [Apskaičiuojama pagal punkte 19.1. nurodytą formulę] </w:t>
            </w:r>
          </w:p>
        </w:tc>
      </w:tr>
      <w:tr w:rsidR="00BF4454" w:rsidRPr="00BF4454" w14:paraId="269CA42C" w14:textId="77777777" w:rsidTr="00BF4454">
        <w:trPr>
          <w:trHeight w:val="101"/>
        </w:trPr>
        <w:tc>
          <w:tcPr>
            <w:tcW w:w="2093" w:type="dxa"/>
            <w:tcBorders>
              <w:top w:val="none" w:sz="6" w:space="0" w:color="auto"/>
              <w:bottom w:val="none" w:sz="6" w:space="0" w:color="auto"/>
              <w:right w:val="none" w:sz="6" w:space="0" w:color="auto"/>
            </w:tcBorders>
          </w:tcPr>
          <w:p w14:paraId="71464C64" w14:textId="49AF77D9"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7</w:t>
            </w:r>
          </w:p>
        </w:tc>
        <w:tc>
          <w:tcPr>
            <w:tcW w:w="7043" w:type="dxa"/>
            <w:tcBorders>
              <w:top w:val="none" w:sz="6" w:space="0" w:color="auto"/>
              <w:left w:val="none" w:sz="6" w:space="0" w:color="auto"/>
              <w:bottom w:val="none" w:sz="6" w:space="0" w:color="auto"/>
            </w:tcBorders>
          </w:tcPr>
          <w:p w14:paraId="30ED9C94"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G7≥ [Apskaičiuojama pagal punkte 19.1. nurodytą formulę] </w:t>
            </w:r>
          </w:p>
        </w:tc>
      </w:tr>
      <w:tr w:rsidR="00BF4454" w:rsidRPr="00BF4454" w14:paraId="28E64BDC" w14:textId="77777777" w:rsidTr="00BF4454">
        <w:trPr>
          <w:trHeight w:val="101"/>
        </w:trPr>
        <w:tc>
          <w:tcPr>
            <w:tcW w:w="2093" w:type="dxa"/>
            <w:tcBorders>
              <w:top w:val="none" w:sz="6" w:space="0" w:color="auto"/>
              <w:bottom w:val="none" w:sz="6" w:space="0" w:color="auto"/>
              <w:right w:val="none" w:sz="6" w:space="0" w:color="auto"/>
            </w:tcBorders>
          </w:tcPr>
          <w:p w14:paraId="6252ED9F" w14:textId="6B959F37"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8</w:t>
            </w:r>
          </w:p>
        </w:tc>
        <w:tc>
          <w:tcPr>
            <w:tcW w:w="7043" w:type="dxa"/>
            <w:tcBorders>
              <w:top w:val="none" w:sz="6" w:space="0" w:color="auto"/>
              <w:left w:val="none" w:sz="6" w:space="0" w:color="auto"/>
              <w:bottom w:val="none" w:sz="6" w:space="0" w:color="auto"/>
            </w:tcBorders>
          </w:tcPr>
          <w:p w14:paraId="2272CB19"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G8≥ [Apskaičiuojama pagal punkte 19.1. nurodytą formulę] </w:t>
            </w:r>
          </w:p>
        </w:tc>
      </w:tr>
      <w:tr w:rsidR="00BF4454" w:rsidRPr="00BF4454" w14:paraId="0BE2E291" w14:textId="77777777" w:rsidTr="00BF4454">
        <w:trPr>
          <w:trHeight w:val="101"/>
        </w:trPr>
        <w:tc>
          <w:tcPr>
            <w:tcW w:w="2093" w:type="dxa"/>
            <w:tcBorders>
              <w:top w:val="none" w:sz="6" w:space="0" w:color="auto"/>
              <w:bottom w:val="none" w:sz="6" w:space="0" w:color="auto"/>
              <w:right w:val="none" w:sz="6" w:space="0" w:color="auto"/>
            </w:tcBorders>
          </w:tcPr>
          <w:p w14:paraId="25F8FF3B" w14:textId="6609E396"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9</w:t>
            </w:r>
          </w:p>
        </w:tc>
        <w:tc>
          <w:tcPr>
            <w:tcW w:w="7043" w:type="dxa"/>
            <w:tcBorders>
              <w:top w:val="none" w:sz="6" w:space="0" w:color="auto"/>
              <w:left w:val="none" w:sz="6" w:space="0" w:color="auto"/>
              <w:bottom w:val="none" w:sz="6" w:space="0" w:color="auto"/>
            </w:tcBorders>
          </w:tcPr>
          <w:p w14:paraId="5C6438C6"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G9≥ [Apskaičiuojama pagal punkte 19.1. nurodytą formulę] </w:t>
            </w:r>
          </w:p>
        </w:tc>
      </w:tr>
      <w:tr w:rsidR="00BF4454" w:rsidRPr="00BF4454" w14:paraId="2750856D" w14:textId="77777777" w:rsidTr="00BF4454">
        <w:trPr>
          <w:trHeight w:val="101"/>
        </w:trPr>
        <w:tc>
          <w:tcPr>
            <w:tcW w:w="2093" w:type="dxa"/>
            <w:tcBorders>
              <w:top w:val="none" w:sz="6" w:space="0" w:color="auto"/>
              <w:bottom w:val="none" w:sz="6" w:space="0" w:color="auto"/>
              <w:right w:val="none" w:sz="6" w:space="0" w:color="auto"/>
            </w:tcBorders>
          </w:tcPr>
          <w:p w14:paraId="1A1A97F7" w14:textId="246CCCD5"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10</w:t>
            </w:r>
          </w:p>
        </w:tc>
        <w:tc>
          <w:tcPr>
            <w:tcW w:w="7043" w:type="dxa"/>
            <w:tcBorders>
              <w:top w:val="none" w:sz="6" w:space="0" w:color="auto"/>
              <w:left w:val="none" w:sz="6" w:space="0" w:color="auto"/>
              <w:bottom w:val="none" w:sz="6" w:space="0" w:color="auto"/>
            </w:tcBorders>
          </w:tcPr>
          <w:p w14:paraId="0944968E"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G10≥ [Apskaičiuojama pagal punkte 19.1. nurodytą formulę] </w:t>
            </w:r>
          </w:p>
        </w:tc>
      </w:tr>
      <w:tr w:rsidR="00BF4454" w:rsidRPr="00BF4454" w14:paraId="21B3CA5F" w14:textId="77777777" w:rsidTr="00BF4454">
        <w:trPr>
          <w:trHeight w:val="101"/>
        </w:trPr>
        <w:tc>
          <w:tcPr>
            <w:tcW w:w="2093" w:type="dxa"/>
            <w:tcBorders>
              <w:top w:val="none" w:sz="6" w:space="0" w:color="auto"/>
              <w:bottom w:val="none" w:sz="6" w:space="0" w:color="auto"/>
              <w:right w:val="none" w:sz="6" w:space="0" w:color="auto"/>
            </w:tcBorders>
          </w:tcPr>
          <w:p w14:paraId="571B7725" w14:textId="7CFACAF6"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11</w:t>
            </w:r>
          </w:p>
        </w:tc>
        <w:tc>
          <w:tcPr>
            <w:tcW w:w="7043" w:type="dxa"/>
            <w:tcBorders>
              <w:top w:val="none" w:sz="6" w:space="0" w:color="auto"/>
              <w:left w:val="none" w:sz="6" w:space="0" w:color="auto"/>
              <w:bottom w:val="none" w:sz="6" w:space="0" w:color="auto"/>
            </w:tcBorders>
          </w:tcPr>
          <w:p w14:paraId="53B6AA65"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G11≥ [Apskaičiuojama pagal punkte 19.1. nurodytą formulę] </w:t>
            </w:r>
          </w:p>
        </w:tc>
      </w:tr>
      <w:tr w:rsidR="00BF4454" w:rsidRPr="00BF4454" w14:paraId="5EBBB44B" w14:textId="77777777" w:rsidTr="00BF4454">
        <w:trPr>
          <w:trHeight w:val="101"/>
        </w:trPr>
        <w:tc>
          <w:tcPr>
            <w:tcW w:w="2093" w:type="dxa"/>
            <w:tcBorders>
              <w:top w:val="none" w:sz="6" w:space="0" w:color="auto"/>
              <w:bottom w:val="none" w:sz="6" w:space="0" w:color="auto"/>
              <w:right w:val="none" w:sz="6" w:space="0" w:color="auto"/>
            </w:tcBorders>
          </w:tcPr>
          <w:p w14:paraId="096764A6" w14:textId="3C49396D"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12</w:t>
            </w:r>
          </w:p>
        </w:tc>
        <w:tc>
          <w:tcPr>
            <w:tcW w:w="7043" w:type="dxa"/>
            <w:tcBorders>
              <w:top w:val="none" w:sz="6" w:space="0" w:color="auto"/>
              <w:left w:val="none" w:sz="6" w:space="0" w:color="auto"/>
              <w:bottom w:val="none" w:sz="6" w:space="0" w:color="auto"/>
            </w:tcBorders>
          </w:tcPr>
          <w:p w14:paraId="5E8CE861"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G12≥ [Apskaičiuojama pagal punkte 19.1. nurodytą formulę] </w:t>
            </w:r>
          </w:p>
        </w:tc>
      </w:tr>
      <w:tr w:rsidR="00BF4454" w:rsidRPr="00BF4454" w14:paraId="54A5BBEE" w14:textId="77777777" w:rsidTr="00BF4454">
        <w:trPr>
          <w:trHeight w:val="101"/>
        </w:trPr>
        <w:tc>
          <w:tcPr>
            <w:tcW w:w="2093" w:type="dxa"/>
            <w:tcBorders>
              <w:top w:val="none" w:sz="6" w:space="0" w:color="auto"/>
              <w:bottom w:val="none" w:sz="6" w:space="0" w:color="auto"/>
              <w:right w:val="none" w:sz="6" w:space="0" w:color="auto"/>
            </w:tcBorders>
          </w:tcPr>
          <w:p w14:paraId="62008007" w14:textId="602CE064"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13</w:t>
            </w:r>
          </w:p>
        </w:tc>
        <w:tc>
          <w:tcPr>
            <w:tcW w:w="7043" w:type="dxa"/>
            <w:tcBorders>
              <w:top w:val="none" w:sz="6" w:space="0" w:color="auto"/>
              <w:left w:val="none" w:sz="6" w:space="0" w:color="auto"/>
              <w:bottom w:val="none" w:sz="6" w:space="0" w:color="auto"/>
            </w:tcBorders>
          </w:tcPr>
          <w:p w14:paraId="483C8421"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G13≥ [Apskaičiuojama pagal punkte 19.1. nurodytą formulę] </w:t>
            </w:r>
          </w:p>
        </w:tc>
      </w:tr>
      <w:tr w:rsidR="00BF4454" w:rsidRPr="00BF4454" w14:paraId="5B835045" w14:textId="77777777" w:rsidTr="00BF4454">
        <w:trPr>
          <w:trHeight w:val="101"/>
        </w:trPr>
        <w:tc>
          <w:tcPr>
            <w:tcW w:w="2093" w:type="dxa"/>
            <w:tcBorders>
              <w:top w:val="none" w:sz="6" w:space="0" w:color="auto"/>
              <w:bottom w:val="none" w:sz="6" w:space="0" w:color="auto"/>
              <w:right w:val="none" w:sz="6" w:space="0" w:color="auto"/>
            </w:tcBorders>
          </w:tcPr>
          <w:p w14:paraId="75278069" w14:textId="34A93558"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14</w:t>
            </w:r>
          </w:p>
        </w:tc>
        <w:tc>
          <w:tcPr>
            <w:tcW w:w="7043" w:type="dxa"/>
            <w:tcBorders>
              <w:top w:val="none" w:sz="6" w:space="0" w:color="auto"/>
              <w:left w:val="none" w:sz="6" w:space="0" w:color="auto"/>
              <w:bottom w:val="none" w:sz="6" w:space="0" w:color="auto"/>
            </w:tcBorders>
          </w:tcPr>
          <w:p w14:paraId="07762C04"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G14≥ [Apskaičiuojama pagal punkte 19.1. nurodytą formulę] </w:t>
            </w:r>
          </w:p>
        </w:tc>
      </w:tr>
      <w:tr w:rsidR="00BF4454" w:rsidRPr="00BF4454" w14:paraId="38184C1F" w14:textId="77777777" w:rsidTr="00BF4454">
        <w:trPr>
          <w:trHeight w:val="101"/>
        </w:trPr>
        <w:tc>
          <w:tcPr>
            <w:tcW w:w="2093" w:type="dxa"/>
            <w:tcBorders>
              <w:top w:val="none" w:sz="6" w:space="0" w:color="auto"/>
              <w:bottom w:val="none" w:sz="6" w:space="0" w:color="auto"/>
              <w:right w:val="none" w:sz="6" w:space="0" w:color="auto"/>
            </w:tcBorders>
          </w:tcPr>
          <w:p w14:paraId="57AB5775" w14:textId="5A7042B7"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15</w:t>
            </w:r>
          </w:p>
        </w:tc>
        <w:tc>
          <w:tcPr>
            <w:tcW w:w="7043" w:type="dxa"/>
            <w:tcBorders>
              <w:top w:val="none" w:sz="6" w:space="0" w:color="auto"/>
              <w:left w:val="none" w:sz="6" w:space="0" w:color="auto"/>
              <w:bottom w:val="none" w:sz="6" w:space="0" w:color="auto"/>
            </w:tcBorders>
          </w:tcPr>
          <w:p w14:paraId="63470F06"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G15≥ [Apskaičiuojama pagal punkte 19.1. nurodytą formulę] </w:t>
            </w:r>
          </w:p>
        </w:tc>
      </w:tr>
      <w:tr w:rsidR="00BF4454" w:rsidRPr="00BF4454" w14:paraId="707E169F" w14:textId="77777777" w:rsidTr="00BF4454">
        <w:trPr>
          <w:trHeight w:val="101"/>
        </w:trPr>
        <w:tc>
          <w:tcPr>
            <w:tcW w:w="2093" w:type="dxa"/>
            <w:tcBorders>
              <w:top w:val="none" w:sz="6" w:space="0" w:color="auto"/>
              <w:bottom w:val="none" w:sz="6" w:space="0" w:color="auto"/>
              <w:right w:val="none" w:sz="6" w:space="0" w:color="auto"/>
            </w:tcBorders>
          </w:tcPr>
          <w:p w14:paraId="172D0D2B" w14:textId="1FBC46D7"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16</w:t>
            </w:r>
          </w:p>
        </w:tc>
        <w:tc>
          <w:tcPr>
            <w:tcW w:w="7043" w:type="dxa"/>
            <w:tcBorders>
              <w:top w:val="none" w:sz="6" w:space="0" w:color="auto"/>
              <w:left w:val="none" w:sz="6" w:space="0" w:color="auto"/>
              <w:bottom w:val="none" w:sz="6" w:space="0" w:color="auto"/>
            </w:tcBorders>
          </w:tcPr>
          <w:p w14:paraId="365EDE2C"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G16≥ [Apskaičiuojama pagal punkte 19.1. nurodytą formulę] </w:t>
            </w:r>
          </w:p>
        </w:tc>
      </w:tr>
      <w:tr w:rsidR="00BF4454" w:rsidRPr="00BF4454" w14:paraId="5D6A4738" w14:textId="77777777" w:rsidTr="00BF4454">
        <w:trPr>
          <w:trHeight w:val="101"/>
        </w:trPr>
        <w:tc>
          <w:tcPr>
            <w:tcW w:w="2093" w:type="dxa"/>
            <w:tcBorders>
              <w:top w:val="none" w:sz="6" w:space="0" w:color="auto"/>
              <w:bottom w:val="none" w:sz="6" w:space="0" w:color="auto"/>
              <w:right w:val="none" w:sz="6" w:space="0" w:color="auto"/>
            </w:tcBorders>
          </w:tcPr>
          <w:p w14:paraId="3036CD65" w14:textId="14F67036"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17</w:t>
            </w:r>
          </w:p>
        </w:tc>
        <w:tc>
          <w:tcPr>
            <w:tcW w:w="7043" w:type="dxa"/>
            <w:tcBorders>
              <w:top w:val="none" w:sz="6" w:space="0" w:color="auto"/>
              <w:left w:val="none" w:sz="6" w:space="0" w:color="auto"/>
              <w:bottom w:val="none" w:sz="6" w:space="0" w:color="auto"/>
            </w:tcBorders>
          </w:tcPr>
          <w:p w14:paraId="41726A71"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G17≥ [Apskaičiuojama pagal punkte 19.1. nurodytą formulę] </w:t>
            </w:r>
          </w:p>
        </w:tc>
      </w:tr>
      <w:tr w:rsidR="00BF4454" w:rsidRPr="00BF4454" w14:paraId="7C13781D" w14:textId="77777777" w:rsidTr="00BF4454">
        <w:trPr>
          <w:trHeight w:val="101"/>
        </w:trPr>
        <w:tc>
          <w:tcPr>
            <w:tcW w:w="2093" w:type="dxa"/>
            <w:tcBorders>
              <w:top w:val="none" w:sz="6" w:space="0" w:color="auto"/>
              <w:bottom w:val="none" w:sz="6" w:space="0" w:color="auto"/>
              <w:right w:val="none" w:sz="6" w:space="0" w:color="auto"/>
            </w:tcBorders>
          </w:tcPr>
          <w:p w14:paraId="513B04D6" w14:textId="4D3B93BE"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18</w:t>
            </w:r>
          </w:p>
        </w:tc>
        <w:tc>
          <w:tcPr>
            <w:tcW w:w="7043" w:type="dxa"/>
            <w:tcBorders>
              <w:top w:val="none" w:sz="6" w:space="0" w:color="auto"/>
              <w:left w:val="none" w:sz="6" w:space="0" w:color="auto"/>
              <w:bottom w:val="none" w:sz="6" w:space="0" w:color="auto"/>
            </w:tcBorders>
          </w:tcPr>
          <w:p w14:paraId="6035693F"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G18≥ [Apskaičiuojama pagal punkte 19.1. nurodytą formulę] </w:t>
            </w:r>
          </w:p>
        </w:tc>
      </w:tr>
      <w:tr w:rsidR="00BF4454" w:rsidRPr="00BF4454" w14:paraId="318E90AF" w14:textId="77777777" w:rsidTr="00BF4454">
        <w:trPr>
          <w:trHeight w:val="101"/>
        </w:trPr>
        <w:tc>
          <w:tcPr>
            <w:tcW w:w="2093" w:type="dxa"/>
            <w:tcBorders>
              <w:top w:val="none" w:sz="6" w:space="0" w:color="auto"/>
              <w:bottom w:val="none" w:sz="6" w:space="0" w:color="auto"/>
              <w:right w:val="none" w:sz="6" w:space="0" w:color="auto"/>
            </w:tcBorders>
          </w:tcPr>
          <w:p w14:paraId="11F3F5C3" w14:textId="019FCED9"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19</w:t>
            </w:r>
          </w:p>
        </w:tc>
        <w:tc>
          <w:tcPr>
            <w:tcW w:w="7043" w:type="dxa"/>
            <w:tcBorders>
              <w:top w:val="none" w:sz="6" w:space="0" w:color="auto"/>
              <w:left w:val="none" w:sz="6" w:space="0" w:color="auto"/>
              <w:bottom w:val="none" w:sz="6" w:space="0" w:color="auto"/>
            </w:tcBorders>
          </w:tcPr>
          <w:p w14:paraId="5727EBD1"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G19≥ [Apskaičiuojama pagal punkte 19.1. nurodytą formulę] </w:t>
            </w:r>
          </w:p>
        </w:tc>
      </w:tr>
      <w:tr w:rsidR="00BF4454" w:rsidRPr="00BF4454" w14:paraId="3E77D172" w14:textId="77777777" w:rsidTr="00BF4454">
        <w:trPr>
          <w:trHeight w:val="101"/>
        </w:trPr>
        <w:tc>
          <w:tcPr>
            <w:tcW w:w="2093" w:type="dxa"/>
            <w:tcBorders>
              <w:top w:val="none" w:sz="6" w:space="0" w:color="auto"/>
              <w:bottom w:val="none" w:sz="6" w:space="0" w:color="auto"/>
              <w:right w:val="none" w:sz="6" w:space="0" w:color="auto"/>
            </w:tcBorders>
          </w:tcPr>
          <w:p w14:paraId="455168A9" w14:textId="6ACF00BE"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20</w:t>
            </w:r>
          </w:p>
        </w:tc>
        <w:tc>
          <w:tcPr>
            <w:tcW w:w="7043" w:type="dxa"/>
            <w:tcBorders>
              <w:top w:val="none" w:sz="6" w:space="0" w:color="auto"/>
              <w:left w:val="none" w:sz="6" w:space="0" w:color="auto"/>
              <w:bottom w:val="none" w:sz="6" w:space="0" w:color="auto"/>
            </w:tcBorders>
          </w:tcPr>
          <w:p w14:paraId="5F28E220"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G20≥ [Apskaičiuojama pagal punkte 19.1. nurodytą formulę] </w:t>
            </w:r>
          </w:p>
        </w:tc>
      </w:tr>
      <w:tr w:rsidR="00BF4454" w:rsidRPr="00BF4454" w14:paraId="16B92197" w14:textId="77777777" w:rsidTr="00BF4454">
        <w:trPr>
          <w:trHeight w:val="101"/>
        </w:trPr>
        <w:tc>
          <w:tcPr>
            <w:tcW w:w="2093" w:type="dxa"/>
            <w:tcBorders>
              <w:top w:val="none" w:sz="6" w:space="0" w:color="auto"/>
              <w:bottom w:val="none" w:sz="6" w:space="0" w:color="auto"/>
              <w:right w:val="none" w:sz="6" w:space="0" w:color="auto"/>
            </w:tcBorders>
          </w:tcPr>
          <w:p w14:paraId="15AAEADE" w14:textId="225C75C8"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21</w:t>
            </w:r>
          </w:p>
        </w:tc>
        <w:tc>
          <w:tcPr>
            <w:tcW w:w="7043" w:type="dxa"/>
            <w:tcBorders>
              <w:top w:val="none" w:sz="6" w:space="0" w:color="auto"/>
              <w:left w:val="none" w:sz="6" w:space="0" w:color="auto"/>
              <w:bottom w:val="none" w:sz="6" w:space="0" w:color="auto"/>
            </w:tcBorders>
          </w:tcPr>
          <w:p w14:paraId="59010211"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G21≥ [Apskaičiuojama pagal punkte 19.1. nurodytą formulę] </w:t>
            </w:r>
          </w:p>
        </w:tc>
      </w:tr>
      <w:tr w:rsidR="00BF4454" w:rsidRPr="00BF4454" w14:paraId="415C8FF0" w14:textId="77777777" w:rsidTr="00BF4454">
        <w:trPr>
          <w:trHeight w:val="101"/>
        </w:trPr>
        <w:tc>
          <w:tcPr>
            <w:tcW w:w="2093" w:type="dxa"/>
            <w:tcBorders>
              <w:top w:val="none" w:sz="6" w:space="0" w:color="auto"/>
              <w:bottom w:val="none" w:sz="6" w:space="0" w:color="auto"/>
              <w:right w:val="none" w:sz="6" w:space="0" w:color="auto"/>
            </w:tcBorders>
          </w:tcPr>
          <w:p w14:paraId="574A6868" w14:textId="501F494E"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22</w:t>
            </w:r>
          </w:p>
        </w:tc>
        <w:tc>
          <w:tcPr>
            <w:tcW w:w="7043" w:type="dxa"/>
            <w:tcBorders>
              <w:top w:val="none" w:sz="6" w:space="0" w:color="auto"/>
              <w:left w:val="none" w:sz="6" w:space="0" w:color="auto"/>
              <w:bottom w:val="none" w:sz="6" w:space="0" w:color="auto"/>
            </w:tcBorders>
          </w:tcPr>
          <w:p w14:paraId="5C9453B8"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G22≥ [Apskaičiuojama pagal punkte 19.1. nurodytą formulę] </w:t>
            </w:r>
          </w:p>
        </w:tc>
      </w:tr>
      <w:tr w:rsidR="00BF4454" w:rsidRPr="00BF4454" w14:paraId="38B22BE1" w14:textId="77777777" w:rsidTr="00BF4454">
        <w:trPr>
          <w:trHeight w:val="101"/>
        </w:trPr>
        <w:tc>
          <w:tcPr>
            <w:tcW w:w="2093" w:type="dxa"/>
            <w:tcBorders>
              <w:top w:val="none" w:sz="6" w:space="0" w:color="auto"/>
              <w:bottom w:val="none" w:sz="6" w:space="0" w:color="auto"/>
              <w:right w:val="none" w:sz="6" w:space="0" w:color="auto"/>
            </w:tcBorders>
          </w:tcPr>
          <w:p w14:paraId="170AB8B7" w14:textId="5B4C1265"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23</w:t>
            </w:r>
          </w:p>
        </w:tc>
        <w:tc>
          <w:tcPr>
            <w:tcW w:w="7043" w:type="dxa"/>
            <w:tcBorders>
              <w:top w:val="none" w:sz="6" w:space="0" w:color="auto"/>
              <w:left w:val="none" w:sz="6" w:space="0" w:color="auto"/>
              <w:bottom w:val="none" w:sz="6" w:space="0" w:color="auto"/>
            </w:tcBorders>
          </w:tcPr>
          <w:p w14:paraId="115D05BF"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G23≥ [Apskaičiuojama pagal punkte 19.1. nurodytą formulę] </w:t>
            </w:r>
          </w:p>
        </w:tc>
      </w:tr>
      <w:tr w:rsidR="00BF4454" w:rsidRPr="00BF4454" w14:paraId="69B91C9C" w14:textId="77777777" w:rsidTr="00BF4454">
        <w:trPr>
          <w:trHeight w:val="101"/>
        </w:trPr>
        <w:tc>
          <w:tcPr>
            <w:tcW w:w="2093" w:type="dxa"/>
            <w:tcBorders>
              <w:top w:val="none" w:sz="6" w:space="0" w:color="auto"/>
              <w:bottom w:val="none" w:sz="6" w:space="0" w:color="auto"/>
              <w:right w:val="none" w:sz="6" w:space="0" w:color="auto"/>
            </w:tcBorders>
          </w:tcPr>
          <w:p w14:paraId="264A391F" w14:textId="106A9D76"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24</w:t>
            </w:r>
          </w:p>
        </w:tc>
        <w:tc>
          <w:tcPr>
            <w:tcW w:w="7043" w:type="dxa"/>
            <w:tcBorders>
              <w:top w:val="none" w:sz="6" w:space="0" w:color="auto"/>
              <w:left w:val="none" w:sz="6" w:space="0" w:color="auto"/>
              <w:bottom w:val="none" w:sz="6" w:space="0" w:color="auto"/>
            </w:tcBorders>
          </w:tcPr>
          <w:p w14:paraId="087E20B3"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G24≥ [Apskaičiuojama pagal punkte 19.1. nurodytą formulę] </w:t>
            </w:r>
          </w:p>
        </w:tc>
      </w:tr>
      <w:tr w:rsidR="00BF4454" w:rsidRPr="00BF4454" w14:paraId="21D9696E" w14:textId="77777777" w:rsidTr="00BF4454">
        <w:trPr>
          <w:trHeight w:val="101"/>
        </w:trPr>
        <w:tc>
          <w:tcPr>
            <w:tcW w:w="2093" w:type="dxa"/>
            <w:tcBorders>
              <w:top w:val="none" w:sz="6" w:space="0" w:color="auto"/>
              <w:bottom w:val="none" w:sz="6" w:space="0" w:color="auto"/>
              <w:right w:val="none" w:sz="6" w:space="0" w:color="auto"/>
            </w:tcBorders>
          </w:tcPr>
          <w:p w14:paraId="7D8B859A" w14:textId="65277981"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sz w:val="24"/>
                <w:szCs w:val="24"/>
              </w:rPr>
              <w:t>25</w:t>
            </w:r>
          </w:p>
        </w:tc>
        <w:tc>
          <w:tcPr>
            <w:tcW w:w="7043" w:type="dxa"/>
            <w:tcBorders>
              <w:top w:val="none" w:sz="6" w:space="0" w:color="auto"/>
              <w:left w:val="none" w:sz="6" w:space="0" w:color="auto"/>
              <w:bottom w:val="none" w:sz="6" w:space="0" w:color="auto"/>
            </w:tcBorders>
          </w:tcPr>
          <w:p w14:paraId="6C916B97"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G25≥ [Apskaičiuojama pagal punkte 19.1. nurodytą formulę] </w:t>
            </w:r>
          </w:p>
        </w:tc>
      </w:tr>
    </w:tbl>
    <w:p w14:paraId="16A888E9" w14:textId="77777777" w:rsid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19.1. </w:t>
      </w:r>
      <w:r w:rsidRPr="00BF4454">
        <w:rPr>
          <w:rFonts w:ascii="Times New Roman" w:hAnsi="Times New Roman" w:cs="Times New Roman"/>
          <w:sz w:val="24"/>
          <w:szCs w:val="24"/>
        </w:rPr>
        <w:t xml:space="preserve">Konkrečių ataskaitinių metų Gamybos įsipareigojimas (GT) apskaičiuojamas pagal formulę </w:t>
      </w:r>
    </w:p>
    <w:p w14:paraId="6769F5DF" w14:textId="30832B91" w:rsid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GT = G * (100 – ((T-1) * (100 – L)/24))/100 , kur:</w:t>
      </w:r>
    </w:p>
    <w:p w14:paraId="7A85D8AF" w14:textId="30C94C98" w:rsidR="00BF4454" w:rsidRP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19.1.1. </w:t>
      </w:r>
      <w:r w:rsidRPr="00BF4454">
        <w:rPr>
          <w:rFonts w:ascii="Times New Roman" w:hAnsi="Times New Roman" w:cs="Times New Roman"/>
          <w:sz w:val="24"/>
          <w:szCs w:val="24"/>
        </w:rPr>
        <w:t xml:space="preserve">G – pirmų Ataskaitinių metų Gamybos įsipareigojimas kWh, nurodomas pasiūlyme, ≥ </w:t>
      </w:r>
      <w:r w:rsidR="00B47ED5">
        <w:rPr>
          <w:rFonts w:ascii="Times New Roman" w:hAnsi="Times New Roman" w:cs="Times New Roman"/>
          <w:sz w:val="24"/>
          <w:szCs w:val="24"/>
        </w:rPr>
        <w:t>150000</w:t>
      </w:r>
      <w:r w:rsidRPr="00BF4454">
        <w:rPr>
          <w:rFonts w:ascii="Times New Roman" w:hAnsi="Times New Roman" w:cs="Times New Roman"/>
          <w:sz w:val="24"/>
          <w:szCs w:val="24"/>
        </w:rPr>
        <w:t xml:space="preserve"> kWh; </w:t>
      </w:r>
    </w:p>
    <w:p w14:paraId="7BD6BDC3" w14:textId="61DF5336" w:rsidR="00BF4454" w:rsidRP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19.1.2. </w:t>
      </w:r>
      <w:r w:rsidRPr="00BF4454">
        <w:rPr>
          <w:rFonts w:ascii="Times New Roman" w:hAnsi="Times New Roman" w:cs="Times New Roman"/>
          <w:sz w:val="24"/>
          <w:szCs w:val="24"/>
        </w:rPr>
        <w:t xml:space="preserve">L – likutinė gamintojo suteikta elektros energijos gamybos modulių efektyvumo garantija procentais po 25 metų, nurodoma pasiūlyme ≥80%.; </w:t>
      </w:r>
    </w:p>
    <w:p w14:paraId="783ADC58" w14:textId="426AF8C8" w:rsid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19.1.3. </w:t>
      </w:r>
      <w:r w:rsidRPr="00BF4454">
        <w:rPr>
          <w:rFonts w:ascii="Times New Roman" w:hAnsi="Times New Roman" w:cs="Times New Roman"/>
          <w:sz w:val="24"/>
          <w:szCs w:val="24"/>
        </w:rPr>
        <w:t xml:space="preserve">T - pilnų praėjusių saulės elektrinės darbo Ataskaitinių metų skaičius; </w:t>
      </w:r>
    </w:p>
    <w:p w14:paraId="4AB3063B" w14:textId="4A79E322" w:rsidR="00BF4454" w:rsidRP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19.1.4. </w:t>
      </w:r>
      <w:r w:rsidRPr="00BF4454">
        <w:rPr>
          <w:rFonts w:ascii="Times New Roman" w:hAnsi="Times New Roman" w:cs="Times New Roman"/>
          <w:sz w:val="24"/>
          <w:szCs w:val="24"/>
        </w:rPr>
        <w:t xml:space="preserve">GT –Gamybos įsipareigojimas kWh saulės elektrinės darbo T metais; </w:t>
      </w:r>
    </w:p>
    <w:p w14:paraId="478BFCF3" w14:textId="0D4AA9DD" w:rsid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19.1.5. </w:t>
      </w:r>
      <w:r w:rsidRPr="00BF4454">
        <w:rPr>
          <w:rFonts w:ascii="Times New Roman" w:hAnsi="Times New Roman" w:cs="Times New Roman"/>
          <w:sz w:val="24"/>
          <w:szCs w:val="24"/>
        </w:rPr>
        <w:t>Jei gamintojas nurodo likutinę elektros energijos gamybos modulių efektyvumo garantiją L laikotarpiui didesniam nei 25 metai, gamintojo nurodytas likutinis efektyvumo laikas prilyginamas 25 metams.</w:t>
      </w:r>
    </w:p>
    <w:p w14:paraId="59C235E6" w14:textId="3C91F303" w:rsidR="00650510" w:rsidRPr="00650510" w:rsidRDefault="00650510" w:rsidP="006505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19.1.6. </w:t>
      </w:r>
      <w:r w:rsidRPr="00650510">
        <w:rPr>
          <w:rFonts w:ascii="Times New Roman" w:hAnsi="Times New Roman" w:cs="Times New Roman"/>
          <w:sz w:val="24"/>
          <w:szCs w:val="24"/>
        </w:rPr>
        <w:t xml:space="preserve">Perkama Prekė turi atitikti Lietuvos Respublikos aplinkos ministro 2011 m. birželio 28 d. įsakymo Nr. D1-508 „Dėl Aplinkos apsaugos kriterijų taikymo, vykdant žaliuosius pirkimus, tvarkos aprašo patvirtinimo“ 4.4.2 papunktį (perkamas inovatyvus produktas, darantis kuo mažesnį poveikį aplinkai) nustatytas sąlygas. Tiekėjas įsigaliojus sutarčiai privalo Užsakovui pateikti atitiktį įrodančius dokumentus. Šios sąlygos nevykdymas laikomas esminiu Sutarties pažeidimu. </w:t>
      </w:r>
    </w:p>
    <w:p w14:paraId="2DFA187F" w14:textId="70C0084B" w:rsidR="00BF4454" w:rsidRPr="00BF4454" w:rsidRDefault="00BF4454" w:rsidP="00BF4454">
      <w:pPr>
        <w:spacing w:line="240" w:lineRule="auto"/>
        <w:jc w:val="center"/>
        <w:rPr>
          <w:rFonts w:ascii="Times New Roman" w:hAnsi="Times New Roman" w:cs="Times New Roman"/>
          <w:sz w:val="24"/>
          <w:szCs w:val="24"/>
        </w:rPr>
      </w:pPr>
      <w:r w:rsidRPr="00BF4454">
        <w:rPr>
          <w:rFonts w:ascii="Times New Roman" w:hAnsi="Times New Roman" w:cs="Times New Roman"/>
          <w:b/>
          <w:bCs/>
          <w:sz w:val="24"/>
          <w:szCs w:val="24"/>
        </w:rPr>
        <w:t>III. REIKALAVIMAI APTARNAVIMO IR PRIEŽIŪROS PASLAUGOMS</w:t>
      </w:r>
    </w:p>
    <w:p w14:paraId="6E8A8A8A" w14:textId="429DC10A" w:rsidR="00BF4454" w:rsidRP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BF4454">
        <w:rPr>
          <w:rFonts w:ascii="Times New Roman" w:hAnsi="Times New Roman" w:cs="Times New Roman"/>
          <w:sz w:val="24"/>
          <w:szCs w:val="24"/>
        </w:rPr>
        <w:t xml:space="preserve">Tiekėjas sutarties galiojimo metu teikia paslaugas, kurios apima saulės elektrinės, įrenginio eksploatavimą ir techninę priežiūrą, saulės elektrinės draudimą, administracines išlaidas, turto valdymą, apsaugą, saulės elektrinės savo reikmėms sunaudotos elektros energijos sąnaudų mokesčius, žemės mokesčius, įrenginio išmontavimą ir utilizavimą, nenumatytus atvejus ir kitas paslaugas, užtikrinančias tinkamą įrenginio (jo dalies) ir saulės elektrinės veikimą, taip pat įrenginio išmontavimą ir utilizavimą pasibaigus saulės elektrinės eksploatacijos laikotarpiui. Į įrenginių priežiūros ir aptarnavimo paslaugų kainą yra įskaičiuotos visos išlaidos, susijusios su žemės sklypu, ant kurio yra įrengta saulės elektrinė, įskaitant, bet neapsiribojant, žemės naudojimo, priežiūros ir valdymo kaštus, suteikiančius Užsakovui teisę netrukdomai naudotis įrenginiais pagal Sutarties sąlygas ir užtikrinančius žemės panaudą visam Sutarties galiojimo laikotarpiui. </w:t>
      </w:r>
    </w:p>
    <w:p w14:paraId="53F1B822" w14:textId="2362A101" w:rsidR="00BF4454" w:rsidRP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BF4454">
        <w:rPr>
          <w:rFonts w:ascii="Times New Roman" w:hAnsi="Times New Roman" w:cs="Times New Roman"/>
          <w:sz w:val="24"/>
          <w:szCs w:val="24"/>
        </w:rPr>
        <w:t xml:space="preserve">Įrenginio eksploatavimas – energetikos įrenginių technologinis valdymas, techninė priežiūra, remontas, matavimai, bandymai, paleidimo ir derinimo darbai. Saulės elektrinė turi būti eksploatuojama pagal „ELEKTRINIŲ IR ELEKTROS TINKLŲ EKSPLOATAVIMO TAISYKLĖS“. </w:t>
      </w:r>
    </w:p>
    <w:p w14:paraId="75C900D6" w14:textId="77777777" w:rsid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BF4454">
        <w:rPr>
          <w:rFonts w:ascii="Times New Roman" w:hAnsi="Times New Roman" w:cs="Times New Roman"/>
          <w:sz w:val="24"/>
          <w:szCs w:val="24"/>
        </w:rPr>
        <w:t xml:space="preserve">Tiekėjas teikdamas paslaugas: </w:t>
      </w:r>
    </w:p>
    <w:p w14:paraId="7B31CEAF" w14:textId="3CC68AFA" w:rsidR="00BF4454" w:rsidRP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22.1. </w:t>
      </w:r>
      <w:r w:rsidRPr="00BF4454">
        <w:rPr>
          <w:rFonts w:ascii="Times New Roman" w:hAnsi="Times New Roman" w:cs="Times New Roman"/>
          <w:sz w:val="24"/>
          <w:szCs w:val="24"/>
        </w:rPr>
        <w:t xml:space="preserve">turi užtikrinti nepertraukiamą saulės elektrinės, įskaitant joje esančių įrenginių, veikimą ir jos techninę priežiūrą; </w:t>
      </w:r>
    </w:p>
    <w:p w14:paraId="40539F1E" w14:textId="77777777" w:rsid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22.2. </w:t>
      </w:r>
      <w:r w:rsidRPr="00BF4454">
        <w:rPr>
          <w:rFonts w:ascii="Times New Roman" w:hAnsi="Times New Roman" w:cs="Times New Roman"/>
          <w:sz w:val="24"/>
          <w:szCs w:val="24"/>
        </w:rPr>
        <w:t xml:space="preserve">ne rečiau kaip 1 (vieną) kartą per kalendorinius metus tiekėjo pasirinktu metu atlikti reguliarią saulės elektrinės bei joje esančių įrenginių patikrą bei įvertinimą: </w:t>
      </w:r>
    </w:p>
    <w:p w14:paraId="40D303B7" w14:textId="1F9F5472" w:rsidR="00BF4454" w:rsidRP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22.2.1. </w:t>
      </w:r>
      <w:r w:rsidRPr="00BF4454">
        <w:rPr>
          <w:rFonts w:ascii="Times New Roman" w:hAnsi="Times New Roman" w:cs="Times New Roman"/>
          <w:sz w:val="24"/>
          <w:szCs w:val="24"/>
        </w:rPr>
        <w:t xml:space="preserve">bendrą įrenginių funkcionalumą; </w:t>
      </w:r>
    </w:p>
    <w:p w14:paraId="7A424BEF" w14:textId="31233C4F" w:rsidR="00BF4454" w:rsidRP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22.2.2. </w:t>
      </w:r>
      <w:r w:rsidRPr="00BF4454">
        <w:rPr>
          <w:rFonts w:ascii="Times New Roman" w:hAnsi="Times New Roman" w:cs="Times New Roman"/>
          <w:sz w:val="24"/>
          <w:szCs w:val="24"/>
        </w:rPr>
        <w:t xml:space="preserve">ar saulės elektrinėje neatsirado matomų įrangos pažeidimų, saulės modulių patamsėjimų, korozijos židinių, ar tinkamai funkcionuoja visa saulės elektrinės saugumą užtikrinanti įranga; </w:t>
      </w:r>
    </w:p>
    <w:p w14:paraId="5C680277" w14:textId="4E8645A0" w:rsidR="00BF4454" w:rsidRP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22.</w:t>
      </w:r>
      <w:r w:rsidR="00650510">
        <w:rPr>
          <w:rFonts w:ascii="Times New Roman" w:hAnsi="Times New Roman" w:cs="Times New Roman"/>
          <w:sz w:val="24"/>
          <w:szCs w:val="24"/>
        </w:rPr>
        <w:t xml:space="preserve">2.3. </w:t>
      </w:r>
      <w:r w:rsidRPr="00BF4454">
        <w:rPr>
          <w:rFonts w:ascii="Times New Roman" w:hAnsi="Times New Roman" w:cs="Times New Roman"/>
          <w:sz w:val="24"/>
          <w:szCs w:val="24"/>
        </w:rPr>
        <w:t xml:space="preserve">mechaninį saulės elektrinėje esančios įrangos funkcionalumą (įskaitant tvirtinimo elementus, įrangos sujungimo ir elektros dėžutes, kištukus, techninės eksploatacijos kontrolės sistemas, vizualiai patikrinti visas sistemos dalis, kabelius); </w:t>
      </w:r>
    </w:p>
    <w:p w14:paraId="57D42EE6" w14:textId="30B509A3" w:rsidR="00BF4454" w:rsidRP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22.</w:t>
      </w:r>
      <w:r w:rsidR="00650510">
        <w:rPr>
          <w:rFonts w:ascii="Times New Roman" w:hAnsi="Times New Roman" w:cs="Times New Roman"/>
          <w:sz w:val="24"/>
          <w:szCs w:val="24"/>
        </w:rPr>
        <w:t>3</w:t>
      </w:r>
      <w:r>
        <w:rPr>
          <w:rFonts w:ascii="Times New Roman" w:hAnsi="Times New Roman" w:cs="Times New Roman"/>
          <w:sz w:val="24"/>
          <w:szCs w:val="24"/>
        </w:rPr>
        <w:t xml:space="preserve">. </w:t>
      </w:r>
      <w:r w:rsidRPr="00BF4454">
        <w:rPr>
          <w:rFonts w:ascii="Times New Roman" w:hAnsi="Times New Roman" w:cs="Times New Roman"/>
          <w:sz w:val="24"/>
          <w:szCs w:val="24"/>
        </w:rPr>
        <w:t xml:space="preserve">užtikrina periodinį saulės elektrinės modulių valymą, plovimą ir saulės elektrinės teritorijos šienavimą, kad žolė nesiektų saulės modulių, tiekėjo pasirinktu metu bent 1 (vieną) kartą per kalendorinius metus; </w:t>
      </w:r>
    </w:p>
    <w:p w14:paraId="021822D2" w14:textId="1B20DB74" w:rsidR="00BF4454" w:rsidRPr="00BF4454"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t>22.</w:t>
      </w:r>
      <w:r w:rsidR="00650510">
        <w:rPr>
          <w:rFonts w:ascii="Times New Roman" w:hAnsi="Times New Roman" w:cs="Times New Roman"/>
          <w:sz w:val="24"/>
          <w:szCs w:val="24"/>
        </w:rPr>
        <w:t>4</w:t>
      </w:r>
      <w:r>
        <w:rPr>
          <w:rFonts w:ascii="Times New Roman" w:hAnsi="Times New Roman" w:cs="Times New Roman"/>
          <w:sz w:val="24"/>
          <w:szCs w:val="24"/>
        </w:rPr>
        <w:t xml:space="preserve">. </w:t>
      </w:r>
      <w:r w:rsidRPr="00BF4454">
        <w:rPr>
          <w:rFonts w:ascii="Times New Roman" w:hAnsi="Times New Roman" w:cs="Times New Roman"/>
          <w:sz w:val="24"/>
          <w:szCs w:val="24"/>
        </w:rPr>
        <w:t xml:space="preserve">teikia, kitas paslaugas, būtinas saulės elektrinės bei joje esančių įrenginių eksploatavimui ir jos priežiūrai; </w:t>
      </w:r>
    </w:p>
    <w:p w14:paraId="7EA514EE" w14:textId="77777777" w:rsidR="00650510" w:rsidRDefault="00BF4454" w:rsidP="00BF445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r w:rsidR="00650510">
        <w:rPr>
          <w:rFonts w:ascii="Times New Roman" w:hAnsi="Times New Roman" w:cs="Times New Roman"/>
          <w:sz w:val="24"/>
          <w:szCs w:val="24"/>
        </w:rPr>
        <w:t>5</w:t>
      </w:r>
      <w:r>
        <w:rPr>
          <w:rFonts w:ascii="Times New Roman" w:hAnsi="Times New Roman" w:cs="Times New Roman"/>
          <w:sz w:val="24"/>
          <w:szCs w:val="24"/>
        </w:rPr>
        <w:t xml:space="preserve">. </w:t>
      </w:r>
      <w:r w:rsidRPr="00BF4454">
        <w:rPr>
          <w:rFonts w:ascii="Times New Roman" w:hAnsi="Times New Roman" w:cs="Times New Roman"/>
          <w:sz w:val="24"/>
          <w:szCs w:val="24"/>
        </w:rPr>
        <w:t xml:space="preserve">apdraudžia saulės elektrinę ir joje esančius įrenginius ir užtikrina, kad toks draudimas nepertraukiamai galiotų visą sutarties terminą visoje saulės elektrinės teritorijoje: </w:t>
      </w:r>
    </w:p>
    <w:p w14:paraId="72FC9007" w14:textId="05C8AD18"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22.5.1. saulės elektrinę ir įrenginius turto draudimu atkuriamąja verte (nuo gaisro, sprogimo, žaibo trenkimo, vagystės ir gamtinių jėgų, naudos gavėju nurodant tiekėją); </w:t>
      </w:r>
    </w:p>
    <w:p w14:paraId="5E2E5028" w14:textId="77777777" w:rsidR="00BF4454" w:rsidRPr="00BF4454" w:rsidRDefault="00BF4454" w:rsidP="00650510">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22.5.2. tiekėjo ir sutarčiai vykdyti pasitelktų trečiųjų asmenų civilinę atsakomybę nuo rizikų, susijusių su paslaugų teikimu. </w:t>
      </w:r>
    </w:p>
    <w:p w14:paraId="3075AE69" w14:textId="695924D0"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22.5.3. įsipareigoja garantiniu laikotarpiu užtikrinti saulės elektrinės konstrukcijų atkūrimą, įrenginių ar įrangos veiklos atkūrimą visiško ar dalinio funkcionavimo sutrikimo (gedimų) atvejais. Garantiniu laikotarpiu pašalinus minėtus trūkumus, šių darbų atlikimas įforminamas garantinio aptarnavimo darbų perdavimo – priėmimo aktu. Visas su garantiniu aptarnavimu susijusias išlaidas apmoka Tiekėjas. Pasibaigus garantiniam laikotarpiui, faktiškai patirtas išlaidas, susijusias su gedimų šalinimu, apmoka perkančioji organizacija pagal Tiekėjo pateiktą rašytinį išlaidų pagrindimą. Visais atvejais, gedimų šalinimo išlaidos, turi būti iš anksto suderintos su perkančiąja organizacija; </w:t>
      </w:r>
    </w:p>
    <w:p w14:paraId="2DB0D1FB"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22.5.4. įsipareigoja gedimo atveju įrangą/medžiagas keisti nauja, ne prastesnių nei Tiekėjo pasiūlyme nurodytų parametrų, įranga/medžiagomis. Pateikti tai įrodančius dokumentus. </w:t>
      </w:r>
    </w:p>
    <w:p w14:paraId="737449DF" w14:textId="77777777"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22.5.5. Reikalavimai aptarnavimo ir priežiūros paslaugoms Tiekėjas turi užtikrinti nuolatinę elektrinės priežiūrą, gedimų šalinimą ir ataskaitų teikimą. Aptarnavimo paslaugos turi apimti: elektrinės eksploatavimą, techninę priežiūrą, saulės elektrinės draudimą, žemės naudojimo kaštus. </w:t>
      </w:r>
    </w:p>
    <w:p w14:paraId="4F42D8FC" w14:textId="2D93AA1E"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 xml:space="preserve">22.5.6. Mėnesinės saulės elektrinės aptarnavimo sąnaudos už 1 kWh, negali būti didesnės nei </w:t>
      </w:r>
      <w:r w:rsidR="004805FE">
        <w:rPr>
          <w:rFonts w:ascii="Times New Roman" w:hAnsi="Times New Roman" w:cs="Times New Roman"/>
          <w:sz w:val="24"/>
          <w:szCs w:val="24"/>
        </w:rPr>
        <w:t>2,49</w:t>
      </w:r>
      <w:r w:rsidRPr="00BF4454">
        <w:rPr>
          <w:rFonts w:ascii="Times New Roman" w:hAnsi="Times New Roman" w:cs="Times New Roman"/>
          <w:sz w:val="24"/>
          <w:szCs w:val="24"/>
        </w:rPr>
        <w:t xml:space="preserve"> Eur pirmus 36 mėn. po elektrinės perdavimo datos. </w:t>
      </w:r>
    </w:p>
    <w:p w14:paraId="0B339219" w14:textId="0B88106B" w:rsidR="00BF4454" w:rsidRPr="00BF4454" w:rsidRDefault="00BF4454" w:rsidP="00BF4454">
      <w:pPr>
        <w:spacing w:line="240" w:lineRule="auto"/>
        <w:jc w:val="both"/>
        <w:rPr>
          <w:rFonts w:ascii="Times New Roman" w:hAnsi="Times New Roman" w:cs="Times New Roman"/>
          <w:sz w:val="24"/>
          <w:szCs w:val="24"/>
        </w:rPr>
      </w:pPr>
      <w:r w:rsidRPr="00BF4454">
        <w:rPr>
          <w:rFonts w:ascii="Times New Roman" w:hAnsi="Times New Roman" w:cs="Times New Roman"/>
          <w:sz w:val="24"/>
          <w:szCs w:val="24"/>
        </w:rPr>
        <w:t>22.5.7. Aptarnavimo mokestis peržiūrimas ne dažniau kaip kartą per tris metus ir negali būti didinamas daugiau kaip 3 proc. lyginant su prieš tai buvusiu. Metinis fiksuotas įkainis gali būti keičiamas, kai vartotojų kainų indekso (VKI) pokytis viršija 1,05. Tokiu atveju nustatomos nauja mokesčio reikšmė sekančiam 36 mėn. laikotarpiui</w:t>
      </w:r>
    </w:p>
    <w:sectPr w:rsidR="00BF4454" w:rsidRPr="00BF445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78B96"/>
    <w:multiLevelType w:val="multilevel"/>
    <w:tmpl w:val="FFFFFFFF"/>
    <w:lvl w:ilvl="0">
      <w:start w:val="1"/>
      <w:numFmt w:val="decimal"/>
      <w:lvlText w:val="%1."/>
      <w:lvlJc w:val="left"/>
    </w:lvl>
    <w:lvl w:ilvl="1">
      <w:start w:val="1"/>
      <w:numFmt w:val="decimal"/>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AA3DC1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C2F507"/>
    <w:multiLevelType w:val="multilevel"/>
    <w:tmpl w:val="FFFFFFFF"/>
    <w:lvl w:ilvl="0">
      <w:start w:val="1"/>
      <w:numFmt w:val="upperRoman"/>
      <w:lvlText w:val="%1"/>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BD4EA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BB7D15"/>
    <w:multiLevelType w:val="multilevel"/>
    <w:tmpl w:val="FFFFFFFF"/>
    <w:lvl w:ilvl="0">
      <w:start w:val="1"/>
      <w:numFmt w:val="upperRoman"/>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5C6166"/>
    <w:multiLevelType w:val="hybridMultilevel"/>
    <w:tmpl w:val="C44C5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0A0913B"/>
    <w:multiLevelType w:val="multilevel"/>
    <w:tmpl w:val="FFFFFFFF"/>
    <w:lvl w:ilvl="0">
      <w:start w:val="1"/>
      <w:numFmt w:val="upperRoman"/>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6202054">
    <w:abstractNumId w:val="3"/>
  </w:num>
  <w:num w:numId="2" w16cid:durableId="1376655200">
    <w:abstractNumId w:val="1"/>
  </w:num>
  <w:num w:numId="3" w16cid:durableId="2092697403">
    <w:abstractNumId w:val="6"/>
  </w:num>
  <w:num w:numId="4" w16cid:durableId="511140911">
    <w:abstractNumId w:val="5"/>
  </w:num>
  <w:num w:numId="5" w16cid:durableId="738332194">
    <w:abstractNumId w:val="4"/>
  </w:num>
  <w:num w:numId="6" w16cid:durableId="907108096">
    <w:abstractNumId w:val="2"/>
  </w:num>
  <w:num w:numId="7" w16cid:durableId="142699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54"/>
    <w:rsid w:val="00025BA2"/>
    <w:rsid w:val="002C2BA5"/>
    <w:rsid w:val="004805FE"/>
    <w:rsid w:val="005423D4"/>
    <w:rsid w:val="00650510"/>
    <w:rsid w:val="00735BA2"/>
    <w:rsid w:val="00805352"/>
    <w:rsid w:val="008D1046"/>
    <w:rsid w:val="00AA2F91"/>
    <w:rsid w:val="00B47ED5"/>
    <w:rsid w:val="00B51354"/>
    <w:rsid w:val="00BF4454"/>
    <w:rsid w:val="00DB11DC"/>
    <w:rsid w:val="00DE2572"/>
    <w:rsid w:val="00E13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230C"/>
  <w15:chartTrackingRefBased/>
  <w15:docId w15:val="{B15F4D13-8510-4FEB-A0D4-6F1DCB38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4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44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44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4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4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4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44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44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4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4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454"/>
    <w:rPr>
      <w:rFonts w:eastAsiaTheme="majorEastAsia" w:cstheme="majorBidi"/>
      <w:color w:val="272727" w:themeColor="text1" w:themeTint="D8"/>
    </w:rPr>
  </w:style>
  <w:style w:type="paragraph" w:styleId="Title">
    <w:name w:val="Title"/>
    <w:basedOn w:val="Normal"/>
    <w:next w:val="Normal"/>
    <w:link w:val="TitleChar"/>
    <w:uiPriority w:val="10"/>
    <w:qFormat/>
    <w:rsid w:val="00BF4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454"/>
    <w:pPr>
      <w:spacing w:before="160"/>
      <w:jc w:val="center"/>
    </w:pPr>
    <w:rPr>
      <w:i/>
      <w:iCs/>
      <w:color w:val="404040" w:themeColor="text1" w:themeTint="BF"/>
    </w:rPr>
  </w:style>
  <w:style w:type="character" w:customStyle="1" w:styleId="QuoteChar">
    <w:name w:val="Quote Char"/>
    <w:basedOn w:val="DefaultParagraphFont"/>
    <w:link w:val="Quote"/>
    <w:uiPriority w:val="29"/>
    <w:rsid w:val="00BF4454"/>
    <w:rPr>
      <w:i/>
      <w:iCs/>
      <w:color w:val="404040" w:themeColor="text1" w:themeTint="BF"/>
    </w:rPr>
  </w:style>
  <w:style w:type="paragraph" w:styleId="ListParagraph">
    <w:name w:val="List Paragraph"/>
    <w:basedOn w:val="Normal"/>
    <w:uiPriority w:val="34"/>
    <w:qFormat/>
    <w:rsid w:val="00BF4454"/>
    <w:pPr>
      <w:ind w:left="720"/>
      <w:contextualSpacing/>
    </w:pPr>
  </w:style>
  <w:style w:type="character" w:styleId="IntenseEmphasis">
    <w:name w:val="Intense Emphasis"/>
    <w:basedOn w:val="DefaultParagraphFont"/>
    <w:uiPriority w:val="21"/>
    <w:qFormat/>
    <w:rsid w:val="00BF4454"/>
    <w:rPr>
      <w:i/>
      <w:iCs/>
      <w:color w:val="2F5496" w:themeColor="accent1" w:themeShade="BF"/>
    </w:rPr>
  </w:style>
  <w:style w:type="paragraph" w:styleId="IntenseQuote">
    <w:name w:val="Intense Quote"/>
    <w:basedOn w:val="Normal"/>
    <w:next w:val="Normal"/>
    <w:link w:val="IntenseQuoteChar"/>
    <w:uiPriority w:val="30"/>
    <w:qFormat/>
    <w:rsid w:val="00BF4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454"/>
    <w:rPr>
      <w:i/>
      <w:iCs/>
      <w:color w:val="2F5496" w:themeColor="accent1" w:themeShade="BF"/>
    </w:rPr>
  </w:style>
  <w:style w:type="character" w:styleId="IntenseReference">
    <w:name w:val="Intense Reference"/>
    <w:basedOn w:val="DefaultParagraphFont"/>
    <w:uiPriority w:val="32"/>
    <w:qFormat/>
    <w:rsid w:val="00BF4454"/>
    <w:rPr>
      <w:b/>
      <w:bCs/>
      <w:smallCaps/>
      <w:color w:val="2F5496" w:themeColor="accent1" w:themeShade="BF"/>
      <w:spacing w:val="5"/>
    </w:rPr>
  </w:style>
  <w:style w:type="character" w:styleId="CommentReference">
    <w:name w:val="annotation reference"/>
    <w:basedOn w:val="DefaultParagraphFont"/>
    <w:uiPriority w:val="99"/>
    <w:semiHidden/>
    <w:unhideWhenUsed/>
    <w:rsid w:val="00B51354"/>
    <w:rPr>
      <w:sz w:val="16"/>
      <w:szCs w:val="16"/>
    </w:rPr>
  </w:style>
  <w:style w:type="paragraph" w:styleId="CommentText">
    <w:name w:val="annotation text"/>
    <w:basedOn w:val="Normal"/>
    <w:link w:val="CommentTextChar"/>
    <w:uiPriority w:val="99"/>
    <w:semiHidden/>
    <w:unhideWhenUsed/>
    <w:rsid w:val="00B51354"/>
    <w:pPr>
      <w:spacing w:line="240" w:lineRule="auto"/>
    </w:pPr>
    <w:rPr>
      <w:sz w:val="20"/>
      <w:szCs w:val="20"/>
    </w:rPr>
  </w:style>
  <w:style w:type="character" w:customStyle="1" w:styleId="CommentTextChar">
    <w:name w:val="Comment Text Char"/>
    <w:basedOn w:val="DefaultParagraphFont"/>
    <w:link w:val="CommentText"/>
    <w:uiPriority w:val="99"/>
    <w:semiHidden/>
    <w:rsid w:val="00B51354"/>
    <w:rPr>
      <w:sz w:val="20"/>
      <w:szCs w:val="20"/>
    </w:rPr>
  </w:style>
  <w:style w:type="paragraph" w:styleId="CommentSubject">
    <w:name w:val="annotation subject"/>
    <w:basedOn w:val="CommentText"/>
    <w:next w:val="CommentText"/>
    <w:link w:val="CommentSubjectChar"/>
    <w:uiPriority w:val="99"/>
    <w:semiHidden/>
    <w:unhideWhenUsed/>
    <w:rsid w:val="00B51354"/>
    <w:rPr>
      <w:b/>
      <w:bCs/>
    </w:rPr>
  </w:style>
  <w:style w:type="character" w:customStyle="1" w:styleId="CommentSubjectChar">
    <w:name w:val="Comment Subject Char"/>
    <w:basedOn w:val="CommentTextChar"/>
    <w:link w:val="CommentSubject"/>
    <w:uiPriority w:val="99"/>
    <w:semiHidden/>
    <w:rsid w:val="00B513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9054-B6C6-436A-9DEB-501524BE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10108</Words>
  <Characters>5763</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Ščiglinskienė</dc:creator>
  <cp:keywords/>
  <dc:description/>
  <cp:lastModifiedBy>Jolita Ščiglinskienė</cp:lastModifiedBy>
  <cp:revision>2</cp:revision>
  <dcterms:created xsi:type="dcterms:W3CDTF">2026-02-09T08:09:00Z</dcterms:created>
  <dcterms:modified xsi:type="dcterms:W3CDTF">2026-02-09T08:09:00Z</dcterms:modified>
</cp:coreProperties>
</file>