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CE2DE99"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05CB5">
                      <w:rPr>
                        <w:rFonts w:ascii="Times New Roman" w:eastAsiaTheme="majorEastAsia" w:hAnsi="Times New Roman" w:cs="Times New Roman"/>
                        <w:b/>
                        <w:bCs/>
                        <w:sz w:val="24"/>
                        <w:szCs w:val="24"/>
                        <w:lang w:val="lt-LT"/>
                      </w:rPr>
                      <w:t>MEDICININĖ ĮRANGA (DEFIBRILIATORIAI)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307DC4">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8473" w14:textId="77777777" w:rsidR="00FB660F" w:rsidRDefault="00FB660F" w:rsidP="00184B8C">
      <w:pPr>
        <w:spacing w:after="0" w:line="240" w:lineRule="auto"/>
      </w:pPr>
      <w:r>
        <w:separator/>
      </w:r>
    </w:p>
  </w:endnote>
  <w:endnote w:type="continuationSeparator" w:id="0">
    <w:p w14:paraId="357FCE79" w14:textId="77777777" w:rsidR="00FB660F" w:rsidRDefault="00FB660F" w:rsidP="00184B8C">
      <w:pPr>
        <w:spacing w:after="0" w:line="240" w:lineRule="auto"/>
      </w:pPr>
      <w:r>
        <w:continuationSeparator/>
      </w:r>
    </w:p>
  </w:endnote>
  <w:endnote w:type="continuationNotice" w:id="1">
    <w:p w14:paraId="1D680D6C" w14:textId="77777777" w:rsidR="00FB660F" w:rsidRDefault="00FB6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E6FB" w14:textId="77777777" w:rsidR="00FB660F" w:rsidRDefault="00FB660F" w:rsidP="00184B8C">
      <w:pPr>
        <w:spacing w:after="0" w:line="240" w:lineRule="auto"/>
      </w:pPr>
      <w:r>
        <w:separator/>
      </w:r>
    </w:p>
  </w:footnote>
  <w:footnote w:type="continuationSeparator" w:id="0">
    <w:p w14:paraId="39B030AF" w14:textId="77777777" w:rsidR="00FB660F" w:rsidRDefault="00FB660F" w:rsidP="00184B8C">
      <w:pPr>
        <w:spacing w:after="0" w:line="240" w:lineRule="auto"/>
      </w:pPr>
      <w:r>
        <w:continuationSeparator/>
      </w:r>
    </w:p>
  </w:footnote>
  <w:footnote w:type="continuationNotice" w:id="1">
    <w:p w14:paraId="74538643" w14:textId="77777777" w:rsidR="00FB660F" w:rsidRDefault="00FB660F">
      <w:pPr>
        <w:spacing w:after="0" w:line="240" w:lineRule="auto"/>
      </w:pPr>
    </w:p>
  </w:footnote>
  <w:footnote w:id="2">
    <w:p w14:paraId="007E516C" w14:textId="6A0D13C3"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r w:rsidR="00307DC4">
        <w:t xml:space="preserve"> </w:t>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F85"/>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68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07DC4"/>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BD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2FD4"/>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7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60F"/>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4F85"/>
    <w:rsid w:val="000C5191"/>
    <w:rsid w:val="001138CE"/>
    <w:rsid w:val="00133E8C"/>
    <w:rsid w:val="001434E1"/>
    <w:rsid w:val="00152BA7"/>
    <w:rsid w:val="0016366A"/>
    <w:rsid w:val="00165F53"/>
    <w:rsid w:val="001860D8"/>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05B83"/>
    <w:rsid w:val="0031212B"/>
    <w:rsid w:val="00336D7E"/>
    <w:rsid w:val="00341600"/>
    <w:rsid w:val="00360A53"/>
    <w:rsid w:val="003749C5"/>
    <w:rsid w:val="003B1426"/>
    <w:rsid w:val="003D3ECD"/>
    <w:rsid w:val="003E6EE4"/>
    <w:rsid w:val="0044540B"/>
    <w:rsid w:val="00482FD4"/>
    <w:rsid w:val="00493487"/>
    <w:rsid w:val="0052513E"/>
    <w:rsid w:val="005675CF"/>
    <w:rsid w:val="005729F3"/>
    <w:rsid w:val="0057631C"/>
    <w:rsid w:val="005810C1"/>
    <w:rsid w:val="005834A3"/>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21510"/>
    <w:rsid w:val="00A7043D"/>
    <w:rsid w:val="00AF2391"/>
    <w:rsid w:val="00B04A47"/>
    <w:rsid w:val="00B15794"/>
    <w:rsid w:val="00B25A1A"/>
    <w:rsid w:val="00B34251"/>
    <w:rsid w:val="00B75321"/>
    <w:rsid w:val="00BA3EC3"/>
    <w:rsid w:val="00BA4285"/>
    <w:rsid w:val="00BF2050"/>
    <w:rsid w:val="00C21BEC"/>
    <w:rsid w:val="00C40F63"/>
    <w:rsid w:val="00CD31BE"/>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39831</Words>
  <Characters>22705</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„MEDICININĖ ĮRANGA (DEFIBRILIATORIAI) ROKIŠKIO RAJONO LIGONINEI“ atviro konkurso bendrosios sąlygos</dc:title>
  <dc:subject/>
  <dc:creator>Dalia Bulovienė</dc:creator>
  <cp:keywords/>
  <dc:description/>
  <cp:lastModifiedBy>Justina Balaišienė</cp:lastModifiedBy>
  <cp:revision>4</cp:revision>
  <cp:lastPrinted>2025-09-09T11:09:00Z</cp:lastPrinted>
  <dcterms:created xsi:type="dcterms:W3CDTF">2026-02-02T14:49:00Z</dcterms:created>
  <dcterms:modified xsi:type="dcterms:W3CDTF">2026-02-03T07:09:00Z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