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725381" w:rsidRPr="00725381">
        <w:rPr>
          <w:rFonts w:ascii="Cambria" w:hAnsi="Cambria"/>
          <w:b/>
          <w:bCs/>
          <w:sz w:val="22"/>
          <w:szCs w:val="22"/>
          <w:lang w:val="lt-LT"/>
        </w:rPr>
        <w:t>TIESIOGINĖS VIZUALIZACIJOS SISTEMOS SPYGLASS VIENKARTINI</w:t>
      </w:r>
      <w:r w:rsidR="00725381">
        <w:rPr>
          <w:rFonts w:ascii="Cambria" w:hAnsi="Cambria"/>
          <w:b/>
          <w:bCs/>
          <w:sz w:val="22"/>
          <w:szCs w:val="22"/>
          <w:lang w:val="lt-LT"/>
        </w:rPr>
        <w:t>Ų</w:t>
      </w:r>
      <w:bookmarkStart w:id="0" w:name="_GoBack"/>
      <w:bookmarkEnd w:id="0"/>
      <w:r w:rsidR="00725381" w:rsidRPr="00725381">
        <w:rPr>
          <w:rFonts w:ascii="Cambria" w:hAnsi="Cambria"/>
          <w:b/>
          <w:bCs/>
          <w:sz w:val="22"/>
          <w:szCs w:val="22"/>
          <w:lang w:val="lt-LT"/>
        </w:rPr>
        <w:t xml:space="preserve"> PRIED</w:t>
      </w:r>
      <w:r w:rsidR="00725381">
        <w:rPr>
          <w:rFonts w:ascii="Cambria" w:hAnsi="Cambria"/>
          <w:b/>
          <w:bCs/>
          <w:sz w:val="22"/>
          <w:szCs w:val="22"/>
          <w:lang w:val="lt-LT"/>
        </w:rPr>
        <w:t>Ų PIRKIMO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65D" w:rsidRDefault="0093165D" w:rsidP="00516023">
      <w:r>
        <w:separator/>
      </w:r>
    </w:p>
  </w:endnote>
  <w:endnote w:type="continuationSeparator" w:id="0">
    <w:p w:rsidR="0093165D" w:rsidRDefault="0093165D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65D" w:rsidRDefault="0093165D" w:rsidP="00516023">
      <w:r>
        <w:separator/>
      </w:r>
    </w:p>
  </w:footnote>
  <w:footnote w:type="continuationSeparator" w:id="0">
    <w:p w:rsidR="0093165D" w:rsidRDefault="0093165D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5381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65D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FEF9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A3244-B72D-4984-8640-18D0E993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2792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110</cp:revision>
  <cp:lastPrinted>2024-07-29T06:28:00Z</cp:lastPrinted>
  <dcterms:created xsi:type="dcterms:W3CDTF">2023-03-03T08:33:00Z</dcterms:created>
  <dcterms:modified xsi:type="dcterms:W3CDTF">2026-02-10T07:40:00Z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