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5606BAFA"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bookmarkStart w:id="0" w:name="_Hlk221609397"/>
      <w:r w:rsidR="00DE1ADD" w:rsidRPr="005501FE">
        <w:rPr>
          <w:b/>
          <w:sz w:val="20"/>
          <w:szCs w:val="20"/>
          <w:lang w:val="lt-LT"/>
        </w:rPr>
        <w:t>„</w:t>
      </w:r>
      <w:r w:rsidR="00571084">
        <w:rPr>
          <w:b/>
          <w:sz w:val="20"/>
          <w:szCs w:val="20"/>
          <w:lang w:val="lt-LT"/>
        </w:rPr>
        <w:t>INTRAORALINĖ KAMERA IR GYDYTOJO KĖDUTĖ</w:t>
      </w:r>
      <w:r w:rsidR="00DE1ADD" w:rsidRPr="005501FE">
        <w:rPr>
          <w:b/>
          <w:sz w:val="20"/>
          <w:szCs w:val="20"/>
          <w:lang w:val="lt-LT"/>
        </w:rPr>
        <w:t>”</w:t>
      </w:r>
      <w:bookmarkEnd w:id="0"/>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727E9937"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571084" w:rsidRPr="00571084">
        <w:rPr>
          <w:b/>
          <w:sz w:val="20"/>
          <w:szCs w:val="20"/>
          <w:lang w:val="lt-LT"/>
        </w:rPr>
        <w:t>„INTRAORALINĖ KAMERA IR GYDYTOJO KĖDUTĖ”</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6782A73E"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571084">
        <w:rPr>
          <w:rFonts w:eastAsia="Calibri"/>
          <w:b/>
          <w:sz w:val="20"/>
          <w:szCs w:val="20"/>
          <w:lang w:val="lt-LT"/>
        </w:rPr>
        <w:t>6</w:t>
      </w:r>
      <w:r w:rsidR="00FC240A" w:rsidRPr="005501FE">
        <w:rPr>
          <w:rFonts w:eastAsia="Calibri"/>
          <w:b/>
          <w:sz w:val="20"/>
          <w:szCs w:val="20"/>
          <w:lang w:val="lt-LT"/>
        </w:rPr>
        <w:t>-</w:t>
      </w:r>
      <w:r w:rsidR="00571084">
        <w:rPr>
          <w:rFonts w:eastAsia="Calibri"/>
          <w:b/>
          <w:sz w:val="20"/>
          <w:szCs w:val="20"/>
          <w:lang w:val="lt-LT"/>
        </w:rPr>
        <w:t>02</w:t>
      </w:r>
      <w:r w:rsidR="00332A7F">
        <w:rPr>
          <w:rFonts w:eastAsia="Calibri"/>
          <w:b/>
          <w:sz w:val="20"/>
          <w:szCs w:val="20"/>
          <w:lang w:val="lt-LT"/>
        </w:rPr>
        <w:t>-</w:t>
      </w:r>
      <w:r w:rsidR="00571084">
        <w:rPr>
          <w:rFonts w:eastAsia="Calibri"/>
          <w:b/>
          <w:sz w:val="20"/>
          <w:szCs w:val="20"/>
          <w:lang w:val="lt-LT"/>
        </w:rPr>
        <w:t>17</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Kokius</w:t>
            </w:r>
            <w:proofErr w:type="spellEnd"/>
            <w:r w:rsidRPr="00EA7BAA">
              <w:rPr>
                <w:b/>
                <w:sz w:val="20"/>
                <w:szCs w:val="20"/>
              </w:rPr>
              <w:t xml:space="preserve">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outlineLvl w:val="1"/>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lastRenderedPageBreak/>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proofErr w:type="gram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proofErr w:type="gram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tik</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w:t>
            </w:r>
            <w:proofErr w:type="spellStart"/>
            <w:r w:rsidRPr="00EA7BAA">
              <w:rPr>
                <w:sz w:val="20"/>
                <w:szCs w:val="20"/>
              </w:rPr>
              <w:t>Lietuvos</w:t>
            </w:r>
            <w:proofErr w:type="spellEnd"/>
            <w:r w:rsidRPr="00EA7BAA">
              <w:rPr>
                <w:sz w:val="20"/>
                <w:szCs w:val="20"/>
              </w:rPr>
              <w:t xml:space="preserve">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 xml:space="preserve">II skyriaus „Aplinkos apsaugos kriterijų taikymo tvarka ir rezultatų </w:t>
            </w:r>
            <w:proofErr w:type="gramStart"/>
            <w:r w:rsidRPr="00EA7BAA">
              <w:rPr>
                <w:b/>
                <w:bCs/>
                <w:sz w:val="20"/>
                <w:szCs w:val="20"/>
                <w:lang w:val="lt" w:eastAsia="lt-LT"/>
              </w:rPr>
              <w:t>apskaičiavimas“</w:t>
            </w:r>
            <w:proofErr w:type="gramEnd"/>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1" w:name="_Hlk93918024"/>
      <w:r w:rsidRPr="005501FE">
        <w:rPr>
          <w:rFonts w:eastAsia="Calibri"/>
          <w:sz w:val="20"/>
          <w:szCs w:val="20"/>
          <w:lang w:val="lt-LT"/>
        </w:rPr>
        <w:t>T</w:t>
      </w:r>
      <w:r w:rsidRPr="005501FE">
        <w:rPr>
          <w:sz w:val="20"/>
          <w:szCs w:val="20"/>
          <w:lang w:val="lt-LT"/>
        </w:rPr>
        <w:t>echninės specifikacijos projektas.</w:t>
      </w:r>
      <w:bookmarkEnd w:id="1"/>
    </w:p>
    <w:p w14:paraId="20DFB0E6" w14:textId="77777777" w:rsidR="00526640" w:rsidRDefault="00526640" w:rsidP="007E069C">
      <w:pPr>
        <w:ind w:firstLine="720"/>
        <w:jc w:val="both"/>
        <w:rPr>
          <w:sz w:val="20"/>
          <w:szCs w:val="20"/>
          <w:lang w:val="lt-LT"/>
        </w:rPr>
      </w:pPr>
    </w:p>
    <w:p w14:paraId="316195D7" w14:textId="3A273A26" w:rsidR="00526640" w:rsidRDefault="00571084" w:rsidP="00526640">
      <w:pPr>
        <w:ind w:firstLine="720"/>
        <w:jc w:val="center"/>
        <w:rPr>
          <w:b/>
          <w:sz w:val="20"/>
          <w:szCs w:val="20"/>
          <w:lang w:val="lt-LT"/>
        </w:rPr>
      </w:pPr>
      <w:r w:rsidRPr="00571084">
        <w:rPr>
          <w:b/>
          <w:sz w:val="20"/>
          <w:szCs w:val="20"/>
          <w:lang w:val="lt-LT"/>
        </w:rPr>
        <w:t>INTRAORALINĖ KAMERA</w:t>
      </w:r>
    </w:p>
    <w:p w14:paraId="0DEE91E2" w14:textId="77777777" w:rsidR="00571084" w:rsidRDefault="00571084" w:rsidP="00526640">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705932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0B7248E0" w14:textId="6BEC34A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26640" w14:paraId="18187E7D" w14:textId="77777777" w:rsidTr="00526640">
        <w:tc>
          <w:tcPr>
            <w:tcW w:w="5524" w:type="dxa"/>
          </w:tcPr>
          <w:p w14:paraId="6FE2173D" w14:textId="23B60CBB" w:rsidR="00526640" w:rsidRDefault="00571084" w:rsidP="00526640">
            <w:pPr>
              <w:rPr>
                <w:rFonts w:eastAsiaTheme="minorHAnsi"/>
                <w:b/>
                <w:sz w:val="20"/>
                <w:szCs w:val="20"/>
                <w:lang w:val="lt-LT"/>
              </w:rPr>
            </w:pPr>
            <w:proofErr w:type="spellStart"/>
            <w:r>
              <w:t>I</w:t>
            </w:r>
            <w:r w:rsidRPr="00571084">
              <w:t>ntraoralinė</w:t>
            </w:r>
            <w:proofErr w:type="spellEnd"/>
            <w:r w:rsidRPr="00571084">
              <w:t xml:space="preserve"> </w:t>
            </w:r>
            <w:proofErr w:type="spellStart"/>
            <w:r w:rsidRPr="00571084">
              <w:t>kamera</w:t>
            </w:r>
            <w:proofErr w:type="spellEnd"/>
          </w:p>
        </w:tc>
        <w:tc>
          <w:tcPr>
            <w:tcW w:w="2409" w:type="dxa"/>
          </w:tcPr>
          <w:p w14:paraId="4FA2819C" w14:textId="68914545" w:rsidR="00526640" w:rsidRDefault="00571084" w:rsidP="00526640">
            <w:pPr>
              <w:jc w:val="center"/>
              <w:rPr>
                <w:rFonts w:eastAsiaTheme="minorHAnsi"/>
                <w:b/>
                <w:sz w:val="20"/>
                <w:szCs w:val="20"/>
                <w:lang w:val="lt-LT"/>
              </w:rPr>
            </w:pPr>
            <w:r>
              <w:t>3630</w:t>
            </w:r>
            <w:r w:rsidR="00526640" w:rsidRPr="00526640">
              <w:t>,00</w:t>
            </w:r>
          </w:p>
        </w:tc>
        <w:tc>
          <w:tcPr>
            <w:tcW w:w="2086" w:type="dxa"/>
          </w:tcPr>
          <w:p w14:paraId="285320A7" w14:textId="19E168E3" w:rsidR="00526640" w:rsidRPr="00571084" w:rsidRDefault="00571084" w:rsidP="00526640">
            <w:pPr>
              <w:jc w:val="center"/>
              <w:rPr>
                <w:rFonts w:eastAsiaTheme="minorHAnsi"/>
                <w:sz w:val="20"/>
                <w:szCs w:val="20"/>
                <w:lang w:val="lt-LT"/>
              </w:rPr>
            </w:pPr>
            <w:r w:rsidRPr="00571084">
              <w:t>3000,00</w:t>
            </w:r>
          </w:p>
        </w:tc>
      </w:tr>
    </w:tbl>
    <w:p w14:paraId="0E9AAB1B" w14:textId="77777777" w:rsidR="007514F3" w:rsidRDefault="007514F3" w:rsidP="007514F3">
      <w:pPr>
        <w:ind w:firstLine="720"/>
        <w:jc w:val="center"/>
        <w:rPr>
          <w:rFonts w:eastAsiaTheme="minorHAnsi"/>
          <w:b/>
          <w:sz w:val="20"/>
          <w:szCs w:val="20"/>
          <w:lang w:val="lt-LT"/>
        </w:rPr>
      </w:pPr>
    </w:p>
    <w:p w14:paraId="6D3B554C" w14:textId="507447F6" w:rsidR="007514F3" w:rsidRDefault="007514F3" w:rsidP="007514F3">
      <w:pPr>
        <w:ind w:firstLine="720"/>
        <w:jc w:val="center"/>
        <w:rPr>
          <w:rFonts w:eastAsiaTheme="minorHAnsi"/>
          <w:b/>
          <w:sz w:val="20"/>
          <w:szCs w:val="20"/>
          <w:lang w:val="lt-LT"/>
        </w:rPr>
      </w:pPr>
      <w:r w:rsidRPr="00526640">
        <w:rPr>
          <w:rFonts w:eastAsiaTheme="minorHAnsi"/>
          <w:b/>
          <w:sz w:val="20"/>
          <w:szCs w:val="20"/>
          <w:lang w:val="lt-LT"/>
        </w:rPr>
        <w:t>TECHNINĖ SPECIFIKACIJA</w:t>
      </w:r>
    </w:p>
    <w:p w14:paraId="17F9911F" w14:textId="77777777" w:rsidR="00571084" w:rsidRDefault="00571084" w:rsidP="007514F3">
      <w:pPr>
        <w:ind w:firstLine="720"/>
        <w:jc w:val="center"/>
        <w:rPr>
          <w:rFonts w:eastAsiaTheme="minorHAnsi"/>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6460"/>
        <w:gridCol w:w="2777"/>
      </w:tblGrid>
      <w:tr w:rsidR="00571084" w:rsidRPr="00DA493C" w14:paraId="0B6E1975" w14:textId="77777777" w:rsidTr="003F3B90">
        <w:tc>
          <w:tcPr>
            <w:tcW w:w="390" w:type="pct"/>
            <w:tcBorders>
              <w:top w:val="single" w:sz="4" w:space="0" w:color="auto"/>
              <w:left w:val="single" w:sz="4" w:space="0" w:color="auto"/>
              <w:bottom w:val="single" w:sz="4" w:space="0" w:color="auto"/>
              <w:right w:val="single" w:sz="4" w:space="0" w:color="auto"/>
            </w:tcBorders>
            <w:vAlign w:val="center"/>
            <w:hideMark/>
          </w:tcPr>
          <w:p w14:paraId="590C8236" w14:textId="77777777" w:rsidR="00571084" w:rsidRPr="00DA493C" w:rsidRDefault="00571084" w:rsidP="003F3B90">
            <w:pPr>
              <w:rPr>
                <w:b/>
                <w:noProof/>
              </w:rPr>
            </w:pPr>
            <w:r w:rsidRPr="00DA493C">
              <w:rPr>
                <w:b/>
                <w:noProof/>
              </w:rPr>
              <w:t>Eil. Nr.</w:t>
            </w:r>
          </w:p>
        </w:tc>
        <w:tc>
          <w:tcPr>
            <w:tcW w:w="3224" w:type="pct"/>
            <w:tcBorders>
              <w:top w:val="single" w:sz="4" w:space="0" w:color="auto"/>
              <w:left w:val="single" w:sz="4" w:space="0" w:color="auto"/>
              <w:bottom w:val="single" w:sz="4" w:space="0" w:color="auto"/>
              <w:right w:val="single" w:sz="4" w:space="0" w:color="auto"/>
            </w:tcBorders>
            <w:vAlign w:val="center"/>
            <w:hideMark/>
          </w:tcPr>
          <w:p w14:paraId="4FEC4502" w14:textId="77777777" w:rsidR="00571084" w:rsidRPr="00DA493C" w:rsidRDefault="00571084" w:rsidP="003F3B90">
            <w:pPr>
              <w:jc w:val="center"/>
              <w:rPr>
                <w:b/>
                <w:noProof/>
              </w:rPr>
            </w:pPr>
            <w:r w:rsidRPr="00DA493C">
              <w:rPr>
                <w:b/>
                <w:noProof/>
              </w:rPr>
              <w:t>Reikalaujamos parametrų reikšmės</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6202D14" w14:textId="77777777" w:rsidR="00571084" w:rsidRPr="00DA493C" w:rsidRDefault="00571084" w:rsidP="003F3B90">
            <w:pPr>
              <w:jc w:val="center"/>
              <w:rPr>
                <w:b/>
                <w:noProof/>
              </w:rPr>
            </w:pPr>
            <w:r w:rsidRPr="00DA493C">
              <w:rPr>
                <w:b/>
                <w:noProof/>
              </w:rPr>
              <w:t>Siūlomos parametrų reikšmės</w:t>
            </w:r>
          </w:p>
        </w:tc>
      </w:tr>
      <w:tr w:rsidR="00571084" w:rsidRPr="00DA493C" w14:paraId="1F9F4B58" w14:textId="77777777" w:rsidTr="003F3B90">
        <w:trPr>
          <w:trHeight w:val="515"/>
        </w:trPr>
        <w:tc>
          <w:tcPr>
            <w:tcW w:w="390" w:type="pct"/>
            <w:tcBorders>
              <w:top w:val="single" w:sz="4" w:space="0" w:color="auto"/>
              <w:left w:val="single" w:sz="4" w:space="0" w:color="auto"/>
              <w:bottom w:val="single" w:sz="4" w:space="0" w:color="auto"/>
              <w:right w:val="single" w:sz="4" w:space="0" w:color="auto"/>
            </w:tcBorders>
            <w:hideMark/>
          </w:tcPr>
          <w:p w14:paraId="19D35208" w14:textId="77777777" w:rsidR="00571084" w:rsidRPr="00DA493C" w:rsidRDefault="00571084" w:rsidP="003F3B90">
            <w:pPr>
              <w:jc w:val="both"/>
              <w:rPr>
                <w:noProof/>
              </w:rPr>
            </w:pPr>
            <w:r w:rsidRPr="00DA493C">
              <w:rPr>
                <w:rFonts w:eastAsia="Calibri"/>
                <w:noProof/>
              </w:rPr>
              <w:lastRenderedPageBreak/>
              <w:t>1.</w:t>
            </w:r>
          </w:p>
        </w:tc>
        <w:tc>
          <w:tcPr>
            <w:tcW w:w="3224" w:type="pct"/>
            <w:tcBorders>
              <w:top w:val="single" w:sz="4" w:space="0" w:color="auto"/>
              <w:left w:val="single" w:sz="4" w:space="0" w:color="auto"/>
              <w:bottom w:val="single" w:sz="4" w:space="0" w:color="auto"/>
              <w:right w:val="single" w:sz="4" w:space="0" w:color="auto"/>
            </w:tcBorders>
          </w:tcPr>
          <w:p w14:paraId="5AFEBD0B" w14:textId="77777777" w:rsidR="00571084" w:rsidRPr="00DA493C" w:rsidRDefault="00571084" w:rsidP="003F3B90">
            <w:pPr>
              <w:tabs>
                <w:tab w:val="left" w:pos="1296"/>
                <w:tab w:val="center" w:pos="4153"/>
                <w:tab w:val="right" w:pos="8306"/>
              </w:tabs>
              <w:jc w:val="both"/>
              <w:rPr>
                <w:rFonts w:eastAsia="Calibri"/>
                <w:noProof/>
              </w:rPr>
            </w:pPr>
            <w:r w:rsidRPr="00DA493C">
              <w:rPr>
                <w:rFonts w:eastAsia="Calibri"/>
                <w:noProof/>
              </w:rPr>
              <w:t>Intraoralinė kamera (nurodyti siūlomos prekės pavadinimą (modelis, konkreti modifikacija), gamintoją, kilmės šalį)</w:t>
            </w:r>
          </w:p>
        </w:tc>
        <w:tc>
          <w:tcPr>
            <w:tcW w:w="1386" w:type="pct"/>
            <w:tcBorders>
              <w:top w:val="single" w:sz="4" w:space="0" w:color="auto"/>
              <w:left w:val="single" w:sz="4" w:space="0" w:color="auto"/>
              <w:bottom w:val="single" w:sz="4" w:space="0" w:color="auto"/>
              <w:right w:val="single" w:sz="4" w:space="0" w:color="auto"/>
            </w:tcBorders>
            <w:hideMark/>
          </w:tcPr>
          <w:p w14:paraId="79A73B6A" w14:textId="77777777" w:rsidR="00571084" w:rsidRPr="00DA493C" w:rsidRDefault="00571084" w:rsidP="003F3B90">
            <w:pPr>
              <w:rPr>
                <w:i/>
                <w:iCs/>
                <w:noProof/>
              </w:rPr>
            </w:pPr>
          </w:p>
        </w:tc>
      </w:tr>
      <w:tr w:rsidR="00571084" w:rsidRPr="00DA493C" w14:paraId="00375C54" w14:textId="77777777" w:rsidTr="003F3B90">
        <w:tc>
          <w:tcPr>
            <w:tcW w:w="390" w:type="pct"/>
            <w:tcBorders>
              <w:top w:val="single" w:sz="4" w:space="0" w:color="auto"/>
              <w:left w:val="single" w:sz="4" w:space="0" w:color="auto"/>
              <w:bottom w:val="single" w:sz="4" w:space="0" w:color="auto"/>
              <w:right w:val="single" w:sz="4" w:space="0" w:color="auto"/>
            </w:tcBorders>
            <w:hideMark/>
          </w:tcPr>
          <w:p w14:paraId="3D1A2FEF" w14:textId="77777777" w:rsidR="00571084" w:rsidRPr="00DA493C" w:rsidRDefault="00571084" w:rsidP="003F3B90">
            <w:pPr>
              <w:jc w:val="both"/>
              <w:rPr>
                <w:noProof/>
              </w:rPr>
            </w:pPr>
            <w:r w:rsidRPr="00DA493C">
              <w:rPr>
                <w:rFonts w:eastAsia="Calibri"/>
                <w:noProof/>
              </w:rPr>
              <w:t>1.1.</w:t>
            </w:r>
          </w:p>
        </w:tc>
        <w:tc>
          <w:tcPr>
            <w:tcW w:w="3224" w:type="pct"/>
            <w:tcBorders>
              <w:top w:val="single" w:sz="4" w:space="0" w:color="auto"/>
              <w:left w:val="single" w:sz="4" w:space="0" w:color="auto"/>
              <w:bottom w:val="single" w:sz="4" w:space="0" w:color="auto"/>
              <w:right w:val="single" w:sz="4" w:space="0" w:color="auto"/>
            </w:tcBorders>
            <w:hideMark/>
          </w:tcPr>
          <w:p w14:paraId="30ADA9CF" w14:textId="77777777" w:rsidR="00571084" w:rsidRPr="00DA493C" w:rsidRDefault="00571084" w:rsidP="003F3B90">
            <w:pPr>
              <w:contextualSpacing/>
              <w:rPr>
                <w:rFonts w:eastAsia="Calibri"/>
                <w:noProof/>
              </w:rPr>
            </w:pPr>
            <w:r w:rsidRPr="00DA493C">
              <w:rPr>
                <w:rFonts w:eastAsia="Calibri"/>
                <w:noProof/>
              </w:rPr>
              <w:t>Vaizdo raiška ne žemiau kaip 752x582</w:t>
            </w:r>
          </w:p>
        </w:tc>
        <w:tc>
          <w:tcPr>
            <w:tcW w:w="1386" w:type="pct"/>
            <w:tcBorders>
              <w:top w:val="single" w:sz="4" w:space="0" w:color="auto"/>
              <w:left w:val="single" w:sz="4" w:space="0" w:color="auto"/>
              <w:bottom w:val="single" w:sz="4" w:space="0" w:color="auto"/>
              <w:right w:val="single" w:sz="4" w:space="0" w:color="auto"/>
            </w:tcBorders>
            <w:hideMark/>
          </w:tcPr>
          <w:p w14:paraId="115836B4" w14:textId="77777777" w:rsidR="00571084" w:rsidRPr="00DA493C" w:rsidRDefault="00571084" w:rsidP="003F3B90">
            <w:pPr>
              <w:rPr>
                <w:noProof/>
              </w:rPr>
            </w:pPr>
            <w:r w:rsidRPr="00DA493C">
              <w:rPr>
                <w:i/>
                <w:iCs/>
                <w:noProof/>
              </w:rPr>
              <w:t xml:space="preserve"> </w:t>
            </w:r>
          </w:p>
        </w:tc>
      </w:tr>
      <w:tr w:rsidR="00571084" w:rsidRPr="00DA493C" w14:paraId="31E3AC16" w14:textId="77777777" w:rsidTr="003F3B90">
        <w:tc>
          <w:tcPr>
            <w:tcW w:w="390" w:type="pct"/>
            <w:tcBorders>
              <w:top w:val="single" w:sz="4" w:space="0" w:color="auto"/>
              <w:left w:val="single" w:sz="4" w:space="0" w:color="auto"/>
              <w:bottom w:val="single" w:sz="4" w:space="0" w:color="auto"/>
              <w:right w:val="single" w:sz="4" w:space="0" w:color="auto"/>
            </w:tcBorders>
            <w:hideMark/>
          </w:tcPr>
          <w:p w14:paraId="66DDBA2F" w14:textId="77777777" w:rsidR="00571084" w:rsidRPr="00DA493C" w:rsidRDefault="00571084" w:rsidP="003F3B90">
            <w:pPr>
              <w:jc w:val="both"/>
              <w:rPr>
                <w:noProof/>
              </w:rPr>
            </w:pPr>
            <w:r w:rsidRPr="00DA493C">
              <w:rPr>
                <w:rFonts w:eastAsia="Calibri"/>
                <w:noProof/>
              </w:rPr>
              <w:t>1.2</w:t>
            </w:r>
          </w:p>
        </w:tc>
        <w:tc>
          <w:tcPr>
            <w:tcW w:w="3224" w:type="pct"/>
            <w:tcBorders>
              <w:top w:val="single" w:sz="4" w:space="0" w:color="auto"/>
              <w:left w:val="single" w:sz="4" w:space="0" w:color="auto"/>
              <w:bottom w:val="single" w:sz="4" w:space="0" w:color="auto"/>
              <w:right w:val="single" w:sz="4" w:space="0" w:color="auto"/>
            </w:tcBorders>
            <w:hideMark/>
          </w:tcPr>
          <w:p w14:paraId="633C9BB4" w14:textId="77777777" w:rsidR="00571084" w:rsidRPr="00DA493C" w:rsidRDefault="00571084" w:rsidP="003F3B90">
            <w:pPr>
              <w:rPr>
                <w:noProof/>
              </w:rPr>
            </w:pPr>
            <w:r w:rsidRPr="00DA493C">
              <w:rPr>
                <w:noProof/>
              </w:rPr>
              <w:t>Automatinis fokusavimas</w:t>
            </w:r>
          </w:p>
        </w:tc>
        <w:tc>
          <w:tcPr>
            <w:tcW w:w="1386" w:type="pct"/>
            <w:tcBorders>
              <w:top w:val="single" w:sz="4" w:space="0" w:color="auto"/>
              <w:left w:val="single" w:sz="4" w:space="0" w:color="auto"/>
              <w:bottom w:val="single" w:sz="4" w:space="0" w:color="auto"/>
              <w:right w:val="single" w:sz="4" w:space="0" w:color="auto"/>
            </w:tcBorders>
            <w:hideMark/>
          </w:tcPr>
          <w:p w14:paraId="272E2F92" w14:textId="77777777" w:rsidR="00571084" w:rsidRPr="00DA493C" w:rsidRDefault="00571084" w:rsidP="003F3B90">
            <w:pPr>
              <w:rPr>
                <w:noProof/>
              </w:rPr>
            </w:pPr>
          </w:p>
        </w:tc>
      </w:tr>
      <w:tr w:rsidR="00571084" w:rsidRPr="00DA493C" w14:paraId="1A697EFA" w14:textId="77777777" w:rsidTr="003F3B90">
        <w:tc>
          <w:tcPr>
            <w:tcW w:w="390" w:type="pct"/>
            <w:tcBorders>
              <w:top w:val="single" w:sz="4" w:space="0" w:color="auto"/>
              <w:left w:val="single" w:sz="4" w:space="0" w:color="auto"/>
              <w:bottom w:val="single" w:sz="4" w:space="0" w:color="auto"/>
              <w:right w:val="single" w:sz="4" w:space="0" w:color="auto"/>
            </w:tcBorders>
          </w:tcPr>
          <w:p w14:paraId="064D9CBD" w14:textId="77777777" w:rsidR="00571084" w:rsidRPr="00DA493C" w:rsidRDefault="00571084" w:rsidP="003F3B90">
            <w:pPr>
              <w:jc w:val="both"/>
              <w:rPr>
                <w:rFonts w:eastAsia="Calibri"/>
                <w:noProof/>
              </w:rPr>
            </w:pPr>
            <w:r w:rsidRPr="00DA493C">
              <w:rPr>
                <w:rFonts w:eastAsia="Calibri"/>
                <w:noProof/>
              </w:rPr>
              <w:t>1.3.</w:t>
            </w:r>
          </w:p>
        </w:tc>
        <w:tc>
          <w:tcPr>
            <w:tcW w:w="3224" w:type="pct"/>
            <w:tcBorders>
              <w:top w:val="single" w:sz="4" w:space="0" w:color="auto"/>
              <w:left w:val="single" w:sz="4" w:space="0" w:color="auto"/>
              <w:bottom w:val="single" w:sz="4" w:space="0" w:color="auto"/>
              <w:right w:val="single" w:sz="4" w:space="0" w:color="auto"/>
            </w:tcBorders>
          </w:tcPr>
          <w:p w14:paraId="6A82C2D8" w14:textId="77777777" w:rsidR="00571084" w:rsidRPr="00DA493C" w:rsidRDefault="00571084" w:rsidP="003F3B90">
            <w:pPr>
              <w:rPr>
                <w:rFonts w:eastAsia="Calibri"/>
                <w:noProof/>
              </w:rPr>
            </w:pPr>
            <w:r w:rsidRPr="00DA493C">
              <w:rPr>
                <w:noProof/>
              </w:rPr>
              <w:t>Apšvietimas LED arba lygiavertis</w:t>
            </w:r>
          </w:p>
        </w:tc>
        <w:tc>
          <w:tcPr>
            <w:tcW w:w="1386" w:type="pct"/>
            <w:tcBorders>
              <w:top w:val="single" w:sz="4" w:space="0" w:color="auto"/>
              <w:left w:val="single" w:sz="4" w:space="0" w:color="auto"/>
              <w:bottom w:val="single" w:sz="4" w:space="0" w:color="auto"/>
              <w:right w:val="single" w:sz="4" w:space="0" w:color="auto"/>
            </w:tcBorders>
          </w:tcPr>
          <w:p w14:paraId="3579BD8C" w14:textId="77777777" w:rsidR="00571084" w:rsidRPr="00DA493C" w:rsidRDefault="00571084" w:rsidP="003F3B90">
            <w:pPr>
              <w:rPr>
                <w:noProof/>
              </w:rPr>
            </w:pPr>
          </w:p>
        </w:tc>
      </w:tr>
      <w:tr w:rsidR="00571084" w:rsidRPr="00DA493C" w14:paraId="6A95401B" w14:textId="77777777" w:rsidTr="003F3B90">
        <w:tc>
          <w:tcPr>
            <w:tcW w:w="390" w:type="pct"/>
            <w:tcBorders>
              <w:top w:val="single" w:sz="4" w:space="0" w:color="auto"/>
              <w:left w:val="single" w:sz="4" w:space="0" w:color="auto"/>
              <w:bottom w:val="single" w:sz="4" w:space="0" w:color="auto"/>
              <w:right w:val="single" w:sz="4" w:space="0" w:color="auto"/>
            </w:tcBorders>
          </w:tcPr>
          <w:p w14:paraId="5C38EB80" w14:textId="77777777" w:rsidR="00571084" w:rsidRPr="00DA493C" w:rsidRDefault="00571084" w:rsidP="003F3B90">
            <w:pPr>
              <w:jc w:val="both"/>
              <w:rPr>
                <w:rFonts w:eastAsia="Calibri"/>
                <w:noProof/>
              </w:rPr>
            </w:pPr>
            <w:r w:rsidRPr="00DA493C">
              <w:rPr>
                <w:rFonts w:eastAsia="Calibri"/>
                <w:noProof/>
              </w:rPr>
              <w:t>1.</w:t>
            </w:r>
            <w:r>
              <w:rPr>
                <w:rFonts w:eastAsia="Calibri"/>
                <w:noProof/>
              </w:rPr>
              <w:t>4</w:t>
            </w:r>
            <w:r w:rsidRPr="00DA493C">
              <w:rPr>
                <w:rFonts w:eastAsia="Calibri"/>
                <w:noProof/>
              </w:rPr>
              <w:t>.</w:t>
            </w:r>
          </w:p>
        </w:tc>
        <w:tc>
          <w:tcPr>
            <w:tcW w:w="3224" w:type="pct"/>
            <w:tcBorders>
              <w:top w:val="single" w:sz="4" w:space="0" w:color="auto"/>
              <w:left w:val="single" w:sz="4" w:space="0" w:color="auto"/>
              <w:bottom w:val="single" w:sz="4" w:space="0" w:color="auto"/>
              <w:right w:val="single" w:sz="4" w:space="0" w:color="auto"/>
            </w:tcBorders>
          </w:tcPr>
          <w:p w14:paraId="0EAF6D90" w14:textId="77777777" w:rsidR="00571084" w:rsidRPr="00DA493C" w:rsidRDefault="00571084" w:rsidP="003F3B90">
            <w:pPr>
              <w:rPr>
                <w:rFonts w:eastAsia="Calibri"/>
                <w:noProof/>
              </w:rPr>
            </w:pPr>
            <w:r w:rsidRPr="00DA493C">
              <w:rPr>
                <w:rFonts w:eastAsia="Calibri"/>
                <w:noProof/>
              </w:rPr>
              <w:t xml:space="preserve">Apžvalgos kampas ≥ </w:t>
            </w:r>
            <w:r>
              <w:rPr>
                <w:rFonts w:eastAsia="Calibri"/>
                <w:noProof/>
              </w:rPr>
              <w:t>64</w:t>
            </w:r>
            <w:r w:rsidRPr="00DA493C">
              <w:rPr>
                <w:rFonts w:eastAsia="Calibri"/>
                <w:noProof/>
                <w:vertAlign w:val="superscript"/>
              </w:rPr>
              <w:t>o</w:t>
            </w:r>
          </w:p>
        </w:tc>
        <w:tc>
          <w:tcPr>
            <w:tcW w:w="1386" w:type="pct"/>
            <w:tcBorders>
              <w:top w:val="single" w:sz="4" w:space="0" w:color="auto"/>
              <w:left w:val="single" w:sz="4" w:space="0" w:color="auto"/>
              <w:bottom w:val="single" w:sz="4" w:space="0" w:color="auto"/>
              <w:right w:val="single" w:sz="4" w:space="0" w:color="auto"/>
            </w:tcBorders>
          </w:tcPr>
          <w:p w14:paraId="7B0ADB8A" w14:textId="77777777" w:rsidR="00571084" w:rsidRPr="00DA493C" w:rsidRDefault="00571084" w:rsidP="003F3B90">
            <w:pPr>
              <w:rPr>
                <w:noProof/>
              </w:rPr>
            </w:pPr>
          </w:p>
        </w:tc>
      </w:tr>
      <w:tr w:rsidR="00571084" w:rsidRPr="00DA493C" w14:paraId="0ADDDC4E" w14:textId="77777777" w:rsidTr="003F3B90">
        <w:tc>
          <w:tcPr>
            <w:tcW w:w="390" w:type="pct"/>
            <w:tcBorders>
              <w:top w:val="single" w:sz="4" w:space="0" w:color="auto"/>
              <w:left w:val="single" w:sz="4" w:space="0" w:color="auto"/>
              <w:bottom w:val="single" w:sz="4" w:space="0" w:color="auto"/>
              <w:right w:val="single" w:sz="4" w:space="0" w:color="auto"/>
            </w:tcBorders>
          </w:tcPr>
          <w:p w14:paraId="7AC93920" w14:textId="77777777" w:rsidR="00571084" w:rsidRPr="00DA493C" w:rsidRDefault="00571084" w:rsidP="003F3B90">
            <w:pPr>
              <w:jc w:val="both"/>
              <w:rPr>
                <w:rFonts w:eastAsia="Calibri"/>
                <w:noProof/>
              </w:rPr>
            </w:pPr>
            <w:r>
              <w:rPr>
                <w:rFonts w:eastAsia="Calibri"/>
                <w:noProof/>
              </w:rPr>
              <w:t>1.5.</w:t>
            </w:r>
          </w:p>
        </w:tc>
        <w:tc>
          <w:tcPr>
            <w:tcW w:w="3224" w:type="pct"/>
            <w:tcBorders>
              <w:top w:val="single" w:sz="4" w:space="0" w:color="auto"/>
              <w:left w:val="single" w:sz="4" w:space="0" w:color="auto"/>
              <w:bottom w:val="single" w:sz="4" w:space="0" w:color="auto"/>
              <w:right w:val="single" w:sz="4" w:space="0" w:color="auto"/>
            </w:tcBorders>
          </w:tcPr>
          <w:p w14:paraId="14A1815B" w14:textId="77777777" w:rsidR="00571084" w:rsidRPr="00455A89" w:rsidRDefault="00571084" w:rsidP="003F3B90">
            <w:pPr>
              <w:jc w:val="both"/>
              <w:rPr>
                <w:rFonts w:eastAsia="Calibri"/>
                <w:iCs/>
                <w:noProof/>
              </w:rPr>
            </w:pPr>
            <w:r w:rsidRPr="00455A89">
              <w:rPr>
                <w:rFonts w:eastAsia="Calibri"/>
                <w:iCs/>
                <w:noProof/>
              </w:rPr>
              <w:t>Vaizdo fiksavimo funkcija</w:t>
            </w:r>
          </w:p>
        </w:tc>
        <w:tc>
          <w:tcPr>
            <w:tcW w:w="1386" w:type="pct"/>
            <w:tcBorders>
              <w:top w:val="single" w:sz="4" w:space="0" w:color="auto"/>
              <w:left w:val="single" w:sz="4" w:space="0" w:color="auto"/>
              <w:bottom w:val="single" w:sz="4" w:space="0" w:color="auto"/>
              <w:right w:val="single" w:sz="4" w:space="0" w:color="auto"/>
            </w:tcBorders>
          </w:tcPr>
          <w:p w14:paraId="12EC35EF" w14:textId="77777777" w:rsidR="00571084" w:rsidRPr="00DA493C" w:rsidRDefault="00571084" w:rsidP="003F3B90">
            <w:pPr>
              <w:rPr>
                <w:noProof/>
              </w:rPr>
            </w:pPr>
          </w:p>
        </w:tc>
      </w:tr>
      <w:tr w:rsidR="00571084" w:rsidRPr="00DA493C" w14:paraId="34C6A3D8" w14:textId="77777777" w:rsidTr="003F3B90">
        <w:tc>
          <w:tcPr>
            <w:tcW w:w="390" w:type="pct"/>
            <w:tcBorders>
              <w:top w:val="single" w:sz="4" w:space="0" w:color="auto"/>
              <w:left w:val="single" w:sz="4" w:space="0" w:color="auto"/>
              <w:bottom w:val="single" w:sz="4" w:space="0" w:color="auto"/>
              <w:right w:val="single" w:sz="4" w:space="0" w:color="auto"/>
            </w:tcBorders>
          </w:tcPr>
          <w:p w14:paraId="7C5964F0" w14:textId="77777777" w:rsidR="00571084" w:rsidRPr="00DA493C" w:rsidRDefault="00571084" w:rsidP="003F3B90">
            <w:pPr>
              <w:jc w:val="both"/>
              <w:rPr>
                <w:rFonts w:eastAsia="Calibri"/>
                <w:noProof/>
              </w:rPr>
            </w:pPr>
            <w:r>
              <w:rPr>
                <w:rFonts w:eastAsia="Calibri"/>
                <w:noProof/>
              </w:rPr>
              <w:t>1.6.</w:t>
            </w:r>
          </w:p>
        </w:tc>
        <w:tc>
          <w:tcPr>
            <w:tcW w:w="3224" w:type="pct"/>
            <w:tcBorders>
              <w:top w:val="single" w:sz="4" w:space="0" w:color="auto"/>
              <w:left w:val="single" w:sz="4" w:space="0" w:color="auto"/>
              <w:bottom w:val="single" w:sz="4" w:space="0" w:color="auto"/>
              <w:right w:val="single" w:sz="4" w:space="0" w:color="auto"/>
            </w:tcBorders>
          </w:tcPr>
          <w:p w14:paraId="0C824BC5" w14:textId="77777777" w:rsidR="00571084" w:rsidRPr="00455A89" w:rsidRDefault="00571084" w:rsidP="003F3B90">
            <w:pPr>
              <w:jc w:val="both"/>
              <w:rPr>
                <w:rFonts w:eastAsia="Calibri"/>
                <w:iCs/>
                <w:noProof/>
              </w:rPr>
            </w:pPr>
            <w:r w:rsidRPr="00455A89">
              <w:rPr>
                <w:rFonts w:eastAsia="Calibri"/>
                <w:iCs/>
                <w:noProof/>
              </w:rPr>
              <w:t>Kartu komplektuojama vaizdo peržiūros sistema</w:t>
            </w:r>
          </w:p>
        </w:tc>
        <w:tc>
          <w:tcPr>
            <w:tcW w:w="1386" w:type="pct"/>
            <w:tcBorders>
              <w:top w:val="single" w:sz="4" w:space="0" w:color="auto"/>
              <w:left w:val="single" w:sz="4" w:space="0" w:color="auto"/>
              <w:bottom w:val="single" w:sz="4" w:space="0" w:color="auto"/>
              <w:right w:val="single" w:sz="4" w:space="0" w:color="auto"/>
            </w:tcBorders>
          </w:tcPr>
          <w:p w14:paraId="7DA16C5A" w14:textId="77777777" w:rsidR="00571084" w:rsidRPr="00DA493C" w:rsidRDefault="00571084" w:rsidP="003F3B90">
            <w:pPr>
              <w:rPr>
                <w:noProof/>
              </w:rPr>
            </w:pPr>
          </w:p>
        </w:tc>
      </w:tr>
      <w:tr w:rsidR="00571084" w:rsidRPr="00DA493C" w14:paraId="0AC20631" w14:textId="77777777" w:rsidTr="003F3B90">
        <w:tc>
          <w:tcPr>
            <w:tcW w:w="390" w:type="pct"/>
            <w:tcBorders>
              <w:top w:val="single" w:sz="4" w:space="0" w:color="auto"/>
              <w:left w:val="single" w:sz="4" w:space="0" w:color="auto"/>
              <w:bottom w:val="single" w:sz="4" w:space="0" w:color="auto"/>
              <w:right w:val="single" w:sz="4" w:space="0" w:color="auto"/>
            </w:tcBorders>
          </w:tcPr>
          <w:p w14:paraId="438865B8" w14:textId="77777777" w:rsidR="00571084" w:rsidRPr="00DA493C" w:rsidRDefault="00571084" w:rsidP="003F3B90">
            <w:pPr>
              <w:jc w:val="both"/>
              <w:rPr>
                <w:rFonts w:eastAsia="Calibri"/>
                <w:noProof/>
              </w:rPr>
            </w:pPr>
            <w:r w:rsidRPr="00DA493C">
              <w:rPr>
                <w:rFonts w:eastAsia="Calibri"/>
                <w:noProof/>
              </w:rPr>
              <w:t>1.</w:t>
            </w:r>
            <w:r>
              <w:rPr>
                <w:rFonts w:eastAsia="Calibri"/>
                <w:noProof/>
              </w:rPr>
              <w:t>7.</w:t>
            </w:r>
            <w:r w:rsidRPr="00DA493C">
              <w:rPr>
                <w:rFonts w:eastAsia="Calibri"/>
                <w:noProof/>
              </w:rPr>
              <w:t>.</w:t>
            </w:r>
          </w:p>
        </w:tc>
        <w:tc>
          <w:tcPr>
            <w:tcW w:w="3224" w:type="pct"/>
            <w:tcBorders>
              <w:top w:val="single" w:sz="4" w:space="0" w:color="auto"/>
              <w:left w:val="single" w:sz="4" w:space="0" w:color="auto"/>
              <w:bottom w:val="single" w:sz="4" w:space="0" w:color="auto"/>
              <w:right w:val="single" w:sz="4" w:space="0" w:color="auto"/>
            </w:tcBorders>
          </w:tcPr>
          <w:p w14:paraId="62B30BEC" w14:textId="77777777" w:rsidR="00571084" w:rsidRPr="00DA493C" w:rsidRDefault="00571084" w:rsidP="003F3B90">
            <w:pPr>
              <w:jc w:val="both"/>
              <w:rPr>
                <w:noProof/>
              </w:rPr>
            </w:pPr>
            <w:r w:rsidRPr="00942021">
              <w:rPr>
                <w:rFonts w:eastAsia="Calibri"/>
                <w:iCs/>
                <w:noProof/>
              </w:rPr>
              <w:t>Kartu su pasiūlymu privaloma pateikti galiojančio CE sertifikato arba EB atitikties deklaracijos kopiją</w:t>
            </w:r>
          </w:p>
        </w:tc>
        <w:tc>
          <w:tcPr>
            <w:tcW w:w="1386" w:type="pct"/>
            <w:tcBorders>
              <w:top w:val="single" w:sz="4" w:space="0" w:color="auto"/>
              <w:left w:val="single" w:sz="4" w:space="0" w:color="auto"/>
              <w:bottom w:val="single" w:sz="4" w:space="0" w:color="auto"/>
              <w:right w:val="single" w:sz="4" w:space="0" w:color="auto"/>
            </w:tcBorders>
          </w:tcPr>
          <w:p w14:paraId="09DD52E6" w14:textId="77777777" w:rsidR="00571084" w:rsidRPr="00DA493C" w:rsidRDefault="00571084" w:rsidP="003F3B90">
            <w:pPr>
              <w:rPr>
                <w:noProof/>
              </w:rPr>
            </w:pPr>
          </w:p>
        </w:tc>
      </w:tr>
    </w:tbl>
    <w:p w14:paraId="3C9E74CD" w14:textId="77777777" w:rsidR="00526640" w:rsidRDefault="00526640" w:rsidP="00526640">
      <w:pPr>
        <w:ind w:firstLine="720"/>
        <w:jc w:val="center"/>
        <w:rPr>
          <w:rFonts w:eastAsiaTheme="minorHAnsi"/>
          <w:b/>
          <w:sz w:val="20"/>
          <w:szCs w:val="20"/>
          <w:lang w:val="lt-LT"/>
        </w:rPr>
      </w:pPr>
    </w:p>
    <w:p w14:paraId="7EE26D69" w14:textId="327CF216" w:rsidR="007514F3" w:rsidRDefault="007514F3" w:rsidP="007514F3">
      <w:pPr>
        <w:tabs>
          <w:tab w:val="left" w:pos="3349"/>
        </w:tabs>
        <w:rPr>
          <w:b/>
          <w:lang w:val="en-GB"/>
        </w:rPr>
      </w:pPr>
      <w:proofErr w:type="spellStart"/>
      <w:r w:rsidRPr="00066A51">
        <w:rPr>
          <w:b/>
          <w:lang w:val="en-GB"/>
        </w:rPr>
        <w:t>Ekonominio</w:t>
      </w:r>
      <w:proofErr w:type="spellEnd"/>
      <w:r w:rsidRPr="00066A51">
        <w:rPr>
          <w:b/>
          <w:lang w:val="en-GB"/>
        </w:rPr>
        <w:t xml:space="preserve"> </w:t>
      </w:r>
      <w:proofErr w:type="spellStart"/>
      <w:r w:rsidRPr="00066A51">
        <w:rPr>
          <w:b/>
          <w:lang w:val="en-GB"/>
        </w:rPr>
        <w:t>naudingumo</w:t>
      </w:r>
      <w:proofErr w:type="spellEnd"/>
      <w:r w:rsidRPr="00066A51">
        <w:rPr>
          <w:b/>
          <w:lang w:val="en-GB"/>
        </w:rPr>
        <w:t xml:space="preserve"> </w:t>
      </w:r>
      <w:proofErr w:type="spellStart"/>
      <w:r w:rsidRPr="00066A51">
        <w:rPr>
          <w:b/>
          <w:lang w:val="en-GB"/>
        </w:rPr>
        <w:t>vertinimo</w:t>
      </w:r>
      <w:proofErr w:type="spellEnd"/>
      <w:r w:rsidRPr="00066A51">
        <w:rPr>
          <w:b/>
          <w:lang w:val="en-GB"/>
        </w:rPr>
        <w:t xml:space="preserve"> </w:t>
      </w:r>
      <w:proofErr w:type="spellStart"/>
      <w:r w:rsidRPr="00066A51">
        <w:rPr>
          <w:b/>
          <w:lang w:val="en-GB"/>
        </w:rPr>
        <w:t>kriterijai</w:t>
      </w:r>
      <w:proofErr w:type="spellEnd"/>
      <w:r w:rsidRPr="00066A51">
        <w:rPr>
          <w:b/>
          <w:lang w:val="en-GB"/>
        </w:rPr>
        <w:t>:</w:t>
      </w:r>
    </w:p>
    <w:p w14:paraId="7E5FF215" w14:textId="77777777" w:rsidR="00571084" w:rsidRPr="00066A51" w:rsidRDefault="00571084" w:rsidP="007514F3">
      <w:pPr>
        <w:tabs>
          <w:tab w:val="left" w:pos="3349"/>
        </w:tabs>
        <w:rPr>
          <w:b/>
          <w:lang w:val="en-GB"/>
        </w:rPr>
      </w:pPr>
    </w:p>
    <w:tbl>
      <w:tblPr>
        <w:tblW w:w="9361" w:type="dxa"/>
        <w:shd w:val="clear" w:color="auto" w:fill="FFFFFF"/>
        <w:tblCellMar>
          <w:left w:w="0" w:type="dxa"/>
          <w:right w:w="0" w:type="dxa"/>
        </w:tblCellMar>
        <w:tblLook w:val="04A0" w:firstRow="1" w:lastRow="0" w:firstColumn="1" w:lastColumn="0" w:noHBand="0" w:noVBand="1"/>
      </w:tblPr>
      <w:tblGrid>
        <w:gridCol w:w="854"/>
        <w:gridCol w:w="5878"/>
        <w:gridCol w:w="2629"/>
      </w:tblGrid>
      <w:tr w:rsidR="007514F3" w:rsidRPr="00066A51" w14:paraId="55B30914" w14:textId="77777777" w:rsidTr="002F34CF">
        <w:trPr>
          <w:trHeight w:val="33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5559" w14:textId="60658A71" w:rsidR="007514F3" w:rsidRPr="00066A51" w:rsidRDefault="00571084" w:rsidP="002F34CF">
            <w:pPr>
              <w:ind w:left="22" w:firstLine="545"/>
              <w:jc w:val="center"/>
              <w:rPr>
                <w:lang w:val="en-GB" w:eastAsia="lt-LT"/>
              </w:rPr>
            </w:pPr>
            <w:r w:rsidRPr="00571084">
              <w:rPr>
                <w:b/>
                <w:bCs/>
                <w:lang w:val="en-GB" w:eastAsia="lt-LT"/>
              </w:rPr>
              <w:t>INTRAORALINĖ KAMERA</w:t>
            </w:r>
          </w:p>
        </w:tc>
      </w:tr>
      <w:tr w:rsidR="007514F3" w:rsidRPr="00066A51" w14:paraId="33132BC5" w14:textId="77777777" w:rsidTr="00F62085">
        <w:trPr>
          <w:trHeight w:val="712"/>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0249F" w14:textId="77777777" w:rsidR="007514F3" w:rsidRPr="00066A51" w:rsidRDefault="007514F3" w:rsidP="002F34CF">
            <w:pPr>
              <w:spacing w:after="200"/>
              <w:jc w:val="center"/>
              <w:rPr>
                <w:lang w:val="en-GB" w:eastAsia="lt-LT"/>
              </w:rPr>
            </w:pPr>
            <w:bookmarkStart w:id="2" w:name="v1_Hlk158795405"/>
            <w:r w:rsidRPr="00066A51">
              <w:rPr>
                <w:b/>
                <w:bCs/>
                <w:lang w:val="en-GB" w:eastAsia="lt-LT"/>
              </w:rPr>
              <w:t>Eil. Nr.</w:t>
            </w:r>
            <w:bookmarkEnd w:id="2"/>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39D83A" w14:textId="77777777" w:rsidR="007514F3" w:rsidRPr="00066A51" w:rsidRDefault="007514F3" w:rsidP="002F34CF">
            <w:pPr>
              <w:spacing w:after="200"/>
              <w:ind w:firstLine="567"/>
              <w:jc w:val="center"/>
              <w:rPr>
                <w:lang w:val="en-GB" w:eastAsia="lt-LT"/>
              </w:rPr>
            </w:pPr>
            <w:proofErr w:type="spellStart"/>
            <w:r w:rsidRPr="00066A51">
              <w:rPr>
                <w:b/>
                <w:bCs/>
                <w:lang w:val="en-GB" w:eastAsia="lt-LT"/>
              </w:rPr>
              <w:t>Pasiūlymų</w:t>
            </w:r>
            <w:proofErr w:type="spellEnd"/>
            <w:r w:rsidRPr="00066A51">
              <w:rPr>
                <w:b/>
                <w:bCs/>
                <w:lang w:val="en-GB" w:eastAsia="lt-LT"/>
              </w:rPr>
              <w:t xml:space="preserve"> </w:t>
            </w:r>
            <w:proofErr w:type="spellStart"/>
            <w:r w:rsidRPr="00066A51">
              <w:rPr>
                <w:b/>
                <w:bCs/>
                <w:lang w:val="en-GB" w:eastAsia="lt-LT"/>
              </w:rPr>
              <w:t>vertinimo</w:t>
            </w:r>
            <w:proofErr w:type="spellEnd"/>
            <w:r w:rsidRPr="00066A51">
              <w:rPr>
                <w:b/>
                <w:bCs/>
                <w:lang w:val="en-GB" w:eastAsia="lt-LT"/>
              </w:rPr>
              <w:t xml:space="preserve"> </w:t>
            </w:r>
            <w:proofErr w:type="spellStart"/>
            <w:r w:rsidRPr="00066A51">
              <w:rPr>
                <w:b/>
                <w:bCs/>
                <w:lang w:val="en-GB" w:eastAsia="lt-LT"/>
              </w:rPr>
              <w:t>kriterijai</w:t>
            </w:r>
            <w:proofErr w:type="spellEnd"/>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291B90" w14:textId="77777777" w:rsidR="007514F3" w:rsidRPr="00066A51" w:rsidRDefault="007514F3" w:rsidP="002F34CF">
            <w:pPr>
              <w:jc w:val="center"/>
              <w:rPr>
                <w:lang w:val="en-GB" w:eastAsia="lt-LT"/>
              </w:rPr>
            </w:pPr>
            <w:proofErr w:type="spellStart"/>
            <w:r w:rsidRPr="00066A51">
              <w:rPr>
                <w:b/>
                <w:bCs/>
                <w:lang w:val="en-GB" w:eastAsia="lt-LT"/>
              </w:rPr>
              <w:t>Kriterijaus</w:t>
            </w:r>
            <w:proofErr w:type="spellEnd"/>
            <w:r w:rsidRPr="00066A51">
              <w:rPr>
                <w:b/>
                <w:bCs/>
                <w:lang w:val="en-GB" w:eastAsia="lt-LT"/>
              </w:rPr>
              <w:t xml:space="preserve"> </w:t>
            </w:r>
            <w:proofErr w:type="spellStart"/>
            <w:r w:rsidRPr="00066A51">
              <w:rPr>
                <w:b/>
                <w:bCs/>
                <w:lang w:val="en-GB" w:eastAsia="lt-LT"/>
              </w:rPr>
              <w:t>lyginamasis</w:t>
            </w:r>
            <w:proofErr w:type="spellEnd"/>
            <w:r w:rsidRPr="00066A51">
              <w:rPr>
                <w:b/>
                <w:bCs/>
                <w:lang w:val="en-GB" w:eastAsia="lt-LT"/>
              </w:rPr>
              <w:t xml:space="preserve"> </w:t>
            </w:r>
            <w:proofErr w:type="spellStart"/>
            <w:r w:rsidRPr="00066A51">
              <w:rPr>
                <w:b/>
                <w:bCs/>
                <w:lang w:val="en-GB" w:eastAsia="lt-LT"/>
              </w:rPr>
              <w:t>svoris</w:t>
            </w:r>
            <w:proofErr w:type="spellEnd"/>
            <w:r w:rsidRPr="00066A51">
              <w:rPr>
                <w:b/>
                <w:bCs/>
                <w:lang w:val="en-GB" w:eastAsia="lt-LT"/>
              </w:rPr>
              <w:t>/</w:t>
            </w:r>
            <w:proofErr w:type="spellStart"/>
            <w:r w:rsidRPr="00066A51">
              <w:rPr>
                <w:b/>
                <w:bCs/>
                <w:lang w:val="en-GB" w:eastAsia="lt-LT"/>
              </w:rPr>
              <w:t>balai</w:t>
            </w:r>
            <w:proofErr w:type="spellEnd"/>
          </w:p>
        </w:tc>
      </w:tr>
      <w:tr w:rsidR="007514F3" w:rsidRPr="00066A51" w14:paraId="6F40CA6E" w14:textId="77777777" w:rsidTr="002F34CF">
        <w:trPr>
          <w:trHeight w:val="507"/>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82F0D9" w14:textId="77777777" w:rsidR="007514F3" w:rsidRPr="00066A51" w:rsidRDefault="007514F3" w:rsidP="002F34CF">
            <w:pPr>
              <w:spacing w:after="200"/>
              <w:rPr>
                <w:lang w:val="en-GB" w:eastAsia="lt-LT"/>
              </w:rPr>
            </w:pPr>
            <w:r w:rsidRPr="00066A51">
              <w:rPr>
                <w:lang w:val="en-GB" w:eastAsia="lt-LT"/>
              </w:rPr>
              <w:t>1.</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5E64DD" w14:textId="77777777" w:rsidR="007514F3" w:rsidRPr="00066A51" w:rsidRDefault="007514F3" w:rsidP="002F34CF">
            <w:pPr>
              <w:rPr>
                <w:lang w:val="en-GB" w:eastAsia="lt-LT"/>
              </w:rPr>
            </w:pPr>
            <w:r w:rsidRPr="00066A51">
              <w:rPr>
                <w:b/>
                <w:bCs/>
                <w:lang w:val="en-GB" w:eastAsia="lt-LT"/>
              </w:rPr>
              <w:t>Kaina</w:t>
            </w:r>
            <w:r w:rsidRPr="00066A51">
              <w:rPr>
                <w:b/>
                <w:bCs/>
                <w:i/>
                <w:iCs/>
                <w:lang w:val="en-GB" w:eastAsia="lt-LT"/>
              </w:rPr>
              <w:t>, </w:t>
            </w:r>
            <w:r w:rsidRPr="00066A51">
              <w:rPr>
                <w:b/>
                <w:bCs/>
                <w:lang w:val="en-GB" w:eastAsia="lt-LT"/>
              </w:rPr>
              <w:t>C</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503653" w14:textId="77777777" w:rsidR="007514F3" w:rsidRPr="00066A51" w:rsidRDefault="007514F3" w:rsidP="002F34CF">
            <w:pPr>
              <w:spacing w:after="200"/>
              <w:jc w:val="both"/>
              <w:rPr>
                <w:lang w:val="en-GB" w:eastAsia="lt-LT"/>
              </w:rPr>
            </w:pPr>
            <w:r w:rsidRPr="00066A51">
              <w:rPr>
                <w:lang w:val="en-GB" w:eastAsia="lt-LT"/>
              </w:rPr>
              <w:t>X=90</w:t>
            </w:r>
          </w:p>
        </w:tc>
      </w:tr>
      <w:tr w:rsidR="007514F3" w:rsidRPr="00066A51" w14:paraId="38110B7A" w14:textId="77777777" w:rsidTr="002F34CF">
        <w:trPr>
          <w:trHeight w:val="386"/>
        </w:trPr>
        <w:tc>
          <w:tcPr>
            <w:tcW w:w="9361"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A2CFF7" w14:textId="77777777" w:rsidR="007514F3" w:rsidRPr="00066A51" w:rsidRDefault="007514F3" w:rsidP="002F34CF">
            <w:pPr>
              <w:jc w:val="center"/>
              <w:rPr>
                <w:lang w:val="en-GB" w:eastAsia="lt-LT"/>
              </w:rPr>
            </w:pPr>
            <w:proofErr w:type="spellStart"/>
            <w:r w:rsidRPr="00066A51">
              <w:rPr>
                <w:b/>
                <w:bCs/>
                <w:lang w:val="en-GB" w:eastAsia="lt-LT"/>
              </w:rPr>
              <w:t>Kokybiniai</w:t>
            </w:r>
            <w:proofErr w:type="spellEnd"/>
            <w:r w:rsidRPr="00066A51">
              <w:rPr>
                <w:b/>
                <w:bCs/>
                <w:lang w:val="en-GB" w:eastAsia="lt-LT"/>
              </w:rPr>
              <w:t xml:space="preserve"> </w:t>
            </w:r>
            <w:proofErr w:type="spellStart"/>
            <w:r w:rsidRPr="00066A51">
              <w:rPr>
                <w:b/>
                <w:bCs/>
                <w:lang w:val="en-GB" w:eastAsia="lt-LT"/>
              </w:rPr>
              <w:t>kriterijai</w:t>
            </w:r>
            <w:proofErr w:type="spellEnd"/>
          </w:p>
        </w:tc>
      </w:tr>
      <w:tr w:rsidR="00521811" w:rsidRPr="00066A51" w14:paraId="0C746A45" w14:textId="77777777" w:rsidTr="002F34CF">
        <w:trPr>
          <w:trHeight w:val="761"/>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F20B82" w14:textId="77777777" w:rsidR="00521811" w:rsidRPr="00066A51" w:rsidRDefault="00521811" w:rsidP="00521811">
            <w:pPr>
              <w:spacing w:after="200"/>
              <w:rPr>
                <w:lang w:val="en-GB" w:eastAsia="lt-LT"/>
              </w:rPr>
            </w:pPr>
            <w:r w:rsidRPr="00066A51">
              <w:rPr>
                <w:lang w:val="en-GB" w:eastAsia="lt-LT"/>
              </w:rPr>
              <w:t>2.</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B038F1" w14:textId="48FC4B33" w:rsidR="00521811" w:rsidRPr="00066A51" w:rsidRDefault="00521811" w:rsidP="00521811">
            <w:pPr>
              <w:jc w:val="both"/>
              <w:rPr>
                <w:lang w:val="en-GB" w:eastAsia="lt-LT"/>
              </w:rPr>
            </w:pPr>
            <w:proofErr w:type="spellStart"/>
            <w:r w:rsidRPr="00521811">
              <w:rPr>
                <w:b/>
                <w:bCs/>
                <w:lang w:val="en-GB" w:eastAsia="lt-LT"/>
              </w:rPr>
              <w:t>Garantinių</w:t>
            </w:r>
            <w:proofErr w:type="spellEnd"/>
            <w:r w:rsidRPr="00521811">
              <w:rPr>
                <w:b/>
                <w:bCs/>
                <w:lang w:val="en-GB" w:eastAsia="lt-LT"/>
              </w:rPr>
              <w:t xml:space="preserve"> </w:t>
            </w:r>
            <w:proofErr w:type="spellStart"/>
            <w:r w:rsidRPr="00521811">
              <w:rPr>
                <w:b/>
                <w:bCs/>
                <w:lang w:val="en-GB" w:eastAsia="lt-LT"/>
              </w:rPr>
              <w:t>įsipareigojimų</w:t>
            </w:r>
            <w:proofErr w:type="spellEnd"/>
            <w:r w:rsidRPr="00521811">
              <w:rPr>
                <w:b/>
                <w:bCs/>
                <w:lang w:val="en-GB" w:eastAsia="lt-LT"/>
              </w:rPr>
              <w:t xml:space="preserve"> </w:t>
            </w:r>
            <w:proofErr w:type="spellStart"/>
            <w:r w:rsidRPr="00521811">
              <w:rPr>
                <w:b/>
                <w:bCs/>
                <w:lang w:val="en-GB" w:eastAsia="lt-LT"/>
              </w:rPr>
              <w:t>užtikrinimo</w:t>
            </w:r>
            <w:proofErr w:type="spellEnd"/>
            <w:r w:rsidRPr="00521811">
              <w:rPr>
                <w:b/>
                <w:bCs/>
                <w:lang w:val="en-GB" w:eastAsia="lt-LT"/>
              </w:rPr>
              <w:t xml:space="preserve"> </w:t>
            </w:r>
            <w:proofErr w:type="spellStart"/>
            <w:r w:rsidRPr="00521811">
              <w:rPr>
                <w:b/>
                <w:bCs/>
                <w:lang w:val="en-GB" w:eastAsia="lt-LT"/>
              </w:rPr>
              <w:t>pratęsimas</w:t>
            </w:r>
            <w:proofErr w:type="spellEnd"/>
            <w:r w:rsidRPr="00521811">
              <w:rPr>
                <w:b/>
                <w:bCs/>
                <w:lang w:val="en-GB" w:eastAsia="lt-LT"/>
              </w:rPr>
              <w:t xml:space="preserve"> </w:t>
            </w:r>
            <w:proofErr w:type="spellStart"/>
            <w:r w:rsidRPr="00521811">
              <w:rPr>
                <w:b/>
                <w:bCs/>
                <w:lang w:val="en-GB" w:eastAsia="lt-LT"/>
              </w:rPr>
              <w:t>prekėms</w:t>
            </w:r>
            <w:proofErr w:type="spellEnd"/>
            <w:r w:rsidRPr="00521811">
              <w:rPr>
                <w:b/>
                <w:bCs/>
                <w:lang w:val="en-GB" w:eastAsia="lt-LT"/>
              </w:rPr>
              <w:t xml:space="preserve"> po 24 </w:t>
            </w:r>
            <w:proofErr w:type="spellStart"/>
            <w:r w:rsidRPr="00521811">
              <w:rPr>
                <w:b/>
                <w:bCs/>
                <w:lang w:val="en-GB" w:eastAsia="lt-LT"/>
              </w:rPr>
              <w:t>privalomų</w:t>
            </w:r>
            <w:proofErr w:type="spellEnd"/>
            <w:r w:rsidRPr="00521811">
              <w:rPr>
                <w:b/>
                <w:bCs/>
                <w:lang w:val="en-GB" w:eastAsia="lt-LT"/>
              </w:rPr>
              <w:t xml:space="preserve"> </w:t>
            </w:r>
            <w:proofErr w:type="spellStart"/>
            <w:r w:rsidRPr="00521811">
              <w:rPr>
                <w:b/>
                <w:bCs/>
                <w:lang w:val="en-GB" w:eastAsia="lt-LT"/>
              </w:rPr>
              <w:t>mėnesių</w:t>
            </w:r>
            <w:proofErr w:type="spellEnd"/>
            <w:r w:rsidRPr="00066A51">
              <w:rPr>
                <w:b/>
                <w:bCs/>
                <w:lang w:val="en-GB" w:eastAsia="lt-LT"/>
              </w:rPr>
              <w:t>, T</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8550AA" w14:textId="77777777" w:rsidR="00521811" w:rsidRPr="00066A51" w:rsidRDefault="00521811" w:rsidP="00521811">
            <w:pPr>
              <w:spacing w:after="200"/>
              <w:jc w:val="both"/>
              <w:rPr>
                <w:lang w:val="en-GB" w:eastAsia="lt-LT"/>
              </w:rPr>
            </w:pPr>
            <w:r w:rsidRPr="00066A51">
              <w:rPr>
                <w:lang w:val="en-GB" w:eastAsia="lt-LT"/>
              </w:rPr>
              <w:t>Y=10</w:t>
            </w:r>
          </w:p>
        </w:tc>
      </w:tr>
    </w:tbl>
    <w:p w14:paraId="691D8ABE" w14:textId="77777777" w:rsidR="007514F3" w:rsidRDefault="007514F3" w:rsidP="00F62085">
      <w:pPr>
        <w:jc w:val="both"/>
        <w:rPr>
          <w:b/>
          <w:sz w:val="22"/>
          <w:szCs w:val="22"/>
          <w:lang w:val="en-GB"/>
        </w:rPr>
      </w:pPr>
      <w:r>
        <w:rPr>
          <w:b/>
          <w:sz w:val="22"/>
          <w:szCs w:val="22"/>
          <w:lang w:val="en-GB"/>
        </w:rPr>
        <w:t xml:space="preserve"> </w:t>
      </w:r>
    </w:p>
    <w:p w14:paraId="2D608546" w14:textId="77777777" w:rsidR="007514F3" w:rsidRPr="00066A51" w:rsidRDefault="007514F3" w:rsidP="007514F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Ekonominis naudingumas (S) apskaičiuojamas sudedant tiekėjo pasiūlymo kainos (C) ir kitų kriterijų (T) balus:</w:t>
      </w:r>
    </w:p>
    <w:p w14:paraId="6AE597A2" w14:textId="77777777" w:rsidR="007514F3" w:rsidRPr="00066A51" w:rsidRDefault="007514F3" w:rsidP="007514F3">
      <w:pPr>
        <w:jc w:val="both"/>
        <w:rPr>
          <w:bCs/>
          <w:sz w:val="22"/>
          <w:szCs w:val="22"/>
          <w:lang w:val="lt-LT"/>
        </w:rPr>
      </w:pPr>
      <w:r w:rsidRPr="00066A51">
        <w:rPr>
          <w:bCs/>
          <w:sz w:val="22"/>
          <w:szCs w:val="22"/>
          <w:lang w:val="lt-LT"/>
        </w:rPr>
        <w:t>S = C+T</w:t>
      </w:r>
    </w:p>
    <w:p w14:paraId="04F70D74"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Pasiūlymo kainos (C) balai apskaičiuojami pagal formulę:</w:t>
      </w:r>
    </w:p>
    <w:p w14:paraId="14CBC853" w14:textId="7B556AD6" w:rsidR="007514F3" w:rsidRPr="00066A51" w:rsidRDefault="007514F3" w:rsidP="007514F3">
      <w:pPr>
        <w:jc w:val="both"/>
        <w:rPr>
          <w:bCs/>
          <w:sz w:val="22"/>
          <w:szCs w:val="22"/>
          <w:lang w:val="lt-LT"/>
        </w:rPr>
      </w:pPr>
      <w:r w:rsidRPr="00066A51">
        <w:rPr>
          <w:bCs/>
          <w:sz w:val="22"/>
          <w:szCs w:val="22"/>
          <w:lang w:val="lt-LT"/>
        </w:rPr>
        <w:t>C = (1 - (X/</w:t>
      </w:r>
      <w:r w:rsidR="00571084">
        <w:rPr>
          <w:bCs/>
          <w:sz w:val="22"/>
          <w:szCs w:val="22"/>
          <w:lang w:val="lt-LT"/>
        </w:rPr>
        <w:t>3630</w:t>
      </w:r>
      <w:r w:rsidRPr="00066A51">
        <w:rPr>
          <w:bCs/>
          <w:sz w:val="22"/>
          <w:szCs w:val="22"/>
          <w:lang w:val="lt-LT"/>
        </w:rPr>
        <w:t>)) * kriterijaus lyginamasis svoris,</w:t>
      </w:r>
    </w:p>
    <w:p w14:paraId="68D0DFEE" w14:textId="34359D32" w:rsidR="007514F3" w:rsidRPr="00066A51" w:rsidRDefault="007514F3" w:rsidP="007514F3">
      <w:pPr>
        <w:jc w:val="both"/>
        <w:rPr>
          <w:bCs/>
          <w:sz w:val="22"/>
          <w:szCs w:val="22"/>
          <w:lang w:val="lt-LT"/>
        </w:rPr>
      </w:pPr>
      <w:r w:rsidRPr="00066A51">
        <w:rPr>
          <w:bCs/>
          <w:sz w:val="22"/>
          <w:szCs w:val="22"/>
          <w:lang w:val="lt-LT"/>
        </w:rPr>
        <w:t xml:space="preserve">kur X yra tiekėjo pasiūlyta </w:t>
      </w:r>
      <w:r w:rsidR="00F62085">
        <w:rPr>
          <w:bCs/>
          <w:sz w:val="22"/>
          <w:szCs w:val="22"/>
          <w:lang w:val="lt-LT"/>
        </w:rPr>
        <w:t>įrangos</w:t>
      </w:r>
      <w:r w:rsidRPr="00066A51">
        <w:rPr>
          <w:bCs/>
          <w:sz w:val="22"/>
          <w:szCs w:val="22"/>
          <w:lang w:val="lt-LT"/>
        </w:rPr>
        <w:t xml:space="preserve"> kaina (su PVM).</w:t>
      </w:r>
    </w:p>
    <w:p w14:paraId="302BAE1D" w14:textId="77777777" w:rsidR="007514F3" w:rsidRPr="00066A51" w:rsidRDefault="007514F3" w:rsidP="007514F3">
      <w:pPr>
        <w:jc w:val="both"/>
        <w:rPr>
          <w:bCs/>
          <w:sz w:val="22"/>
          <w:szCs w:val="22"/>
          <w:lang w:val="lt-LT"/>
        </w:rPr>
      </w:pPr>
      <w:r w:rsidRPr="00066A51">
        <w:rPr>
          <w:bCs/>
          <w:sz w:val="22"/>
          <w:szCs w:val="22"/>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6C363A8"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Kriterijų (T) balai apskaičiuojami:</w:t>
      </w:r>
    </w:p>
    <w:p w14:paraId="60D2E4B1" w14:textId="77777777" w:rsidR="007514F3" w:rsidRPr="00066A51" w:rsidRDefault="007514F3" w:rsidP="007514F3">
      <w:pPr>
        <w:jc w:val="both"/>
        <w:rPr>
          <w:bCs/>
          <w:sz w:val="22"/>
          <w:szCs w:val="22"/>
          <w:lang w:val="lt-LT"/>
        </w:rPr>
      </w:pPr>
      <w:r w:rsidRPr="00066A51">
        <w:rPr>
          <w:bCs/>
          <w:sz w:val="22"/>
          <w:szCs w:val="22"/>
          <w:lang w:val="lt-LT"/>
        </w:rPr>
        <w:t xml:space="preserve">T = </w:t>
      </w:r>
      <w:proofErr w:type="spellStart"/>
      <w:r w:rsidRPr="00066A51">
        <w:rPr>
          <w:bCs/>
          <w:sz w:val="22"/>
          <w:szCs w:val="22"/>
          <w:lang w:val="lt-LT"/>
        </w:rPr>
        <w:t>T</w:t>
      </w:r>
      <w:r w:rsidRPr="00066A51">
        <w:rPr>
          <w:bCs/>
          <w:sz w:val="22"/>
          <w:szCs w:val="22"/>
          <w:vertAlign w:val="subscript"/>
          <w:lang w:val="lt-LT"/>
        </w:rPr>
        <w:t>i</w:t>
      </w:r>
      <w:proofErr w:type="spellEnd"/>
    </w:p>
    <w:p w14:paraId="159C5124" w14:textId="77777777" w:rsidR="007514F3" w:rsidRPr="00066A51" w:rsidRDefault="007514F3" w:rsidP="007514F3">
      <w:pPr>
        <w:jc w:val="both"/>
        <w:rPr>
          <w:bCs/>
          <w:sz w:val="22"/>
          <w:szCs w:val="22"/>
          <w:lang w:val="lt-LT"/>
        </w:rPr>
      </w:pPr>
      <w:r w:rsidRPr="00066A51">
        <w:rPr>
          <w:bCs/>
          <w:sz w:val="22"/>
          <w:szCs w:val="22"/>
          <w:lang w:val="lt-LT"/>
        </w:rPr>
        <w:t xml:space="preserve"> Kriterijui „Garantinių įsipareigojimų užtikrinimas (T) skiriami balai, atitinkamai pagal tai, kokią garantinių įsipareigojimų užtikrinimo pratęsimo galimybę siūlo tiekėjas:</w:t>
      </w:r>
    </w:p>
    <w:p w14:paraId="28E188B4" w14:textId="77777777" w:rsidR="007514F3" w:rsidRPr="00066A51" w:rsidRDefault="007514F3" w:rsidP="007514F3">
      <w:pPr>
        <w:jc w:val="both"/>
        <w:rPr>
          <w:bCs/>
          <w:sz w:val="22"/>
          <w:szCs w:val="22"/>
          <w:lang w:val="lt-LT"/>
        </w:rPr>
      </w:pPr>
      <w:r w:rsidRPr="00066A51">
        <w:rPr>
          <w:bCs/>
          <w:sz w:val="22"/>
          <w:szCs w:val="22"/>
          <w:lang w:val="lt-LT"/>
        </w:rPr>
        <w:t>0 balų. Nepateikta garantinių įsipareigojimų užtikrinimo pratęsimo galimybė po 24 (dvidešimt keturių) privalomų mėn.</w:t>
      </w:r>
    </w:p>
    <w:p w14:paraId="6F4624D3" w14:textId="77777777" w:rsidR="007514F3" w:rsidRPr="00066A51" w:rsidRDefault="007514F3" w:rsidP="007514F3">
      <w:pPr>
        <w:jc w:val="both"/>
        <w:rPr>
          <w:bCs/>
          <w:sz w:val="22"/>
          <w:szCs w:val="22"/>
          <w:lang w:val="lt-LT"/>
        </w:rPr>
      </w:pPr>
      <w:r w:rsidRPr="00066A51">
        <w:rPr>
          <w:bCs/>
          <w:sz w:val="22"/>
          <w:szCs w:val="22"/>
          <w:lang w:val="lt-LT"/>
        </w:rPr>
        <w:t>2,5 balo. Pateikta 6 mėnesių garantinių įsipareigojimų užtikrinimo pratęsimas po 24 (dvidešimt keturių) privalomų mėn.</w:t>
      </w:r>
    </w:p>
    <w:p w14:paraId="70FF9EC5" w14:textId="77777777" w:rsidR="007514F3" w:rsidRPr="00066A51" w:rsidRDefault="007514F3" w:rsidP="007514F3">
      <w:pPr>
        <w:jc w:val="both"/>
        <w:rPr>
          <w:bCs/>
          <w:sz w:val="22"/>
          <w:szCs w:val="22"/>
          <w:lang w:val="lt-LT"/>
        </w:rPr>
      </w:pPr>
      <w:r w:rsidRPr="00066A51">
        <w:rPr>
          <w:bCs/>
          <w:sz w:val="22"/>
          <w:szCs w:val="22"/>
          <w:lang w:val="lt-LT"/>
        </w:rPr>
        <w:t>5 balai. Pateikta 12 mėnesių garantinių įsipareigojimų užtikrinimo pratęsimas po 24 (dvidešimt keturių) privalomų mėn.</w:t>
      </w:r>
    </w:p>
    <w:p w14:paraId="197AEFF8" w14:textId="77777777" w:rsidR="007514F3" w:rsidRPr="00066A51" w:rsidRDefault="007514F3" w:rsidP="007514F3">
      <w:pPr>
        <w:jc w:val="both"/>
        <w:rPr>
          <w:bCs/>
          <w:sz w:val="22"/>
          <w:szCs w:val="22"/>
          <w:lang w:val="lt-LT"/>
        </w:rPr>
      </w:pPr>
      <w:r w:rsidRPr="00066A51">
        <w:rPr>
          <w:bCs/>
          <w:sz w:val="22"/>
          <w:szCs w:val="22"/>
          <w:lang w:val="lt-LT"/>
        </w:rPr>
        <w:t>7,5 balai. Pateikta 18 mėnesių garantinių įsipareigojimų užtikrinimo pratęsimas po 24 (dvidešimt keturių) privalomų mėn.</w:t>
      </w:r>
    </w:p>
    <w:p w14:paraId="1C54AF13" w14:textId="77777777" w:rsidR="007514F3" w:rsidRPr="00066A51" w:rsidRDefault="007514F3" w:rsidP="007514F3">
      <w:pPr>
        <w:jc w:val="both"/>
        <w:rPr>
          <w:bCs/>
          <w:sz w:val="22"/>
          <w:szCs w:val="22"/>
          <w:lang w:val="lt-LT"/>
        </w:rPr>
      </w:pPr>
      <w:r w:rsidRPr="00066A51">
        <w:rPr>
          <w:bCs/>
          <w:sz w:val="22"/>
          <w:szCs w:val="22"/>
          <w:lang w:val="lt-LT"/>
        </w:rPr>
        <w:t>10 balų. Pateikta 24 mėnesių garantinių įsipareigojimų užtikrinimo pratęsimas po 24 (dvidešimt keturių) privalomų mėn.</w:t>
      </w:r>
    </w:p>
    <w:p w14:paraId="77CD254B" w14:textId="77777777" w:rsidR="007514F3" w:rsidRPr="00066A51" w:rsidRDefault="007514F3" w:rsidP="007514F3">
      <w:pPr>
        <w:jc w:val="both"/>
        <w:rPr>
          <w:bCs/>
          <w:sz w:val="22"/>
          <w:szCs w:val="22"/>
          <w:lang w:val="lt-LT"/>
        </w:rPr>
      </w:pPr>
      <w:r w:rsidRPr="00066A51">
        <w:rPr>
          <w:bCs/>
          <w:sz w:val="22"/>
          <w:szCs w:val="22"/>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01777F2E" w14:textId="77777777" w:rsidR="00521811" w:rsidRDefault="00521811" w:rsidP="00571084">
      <w:pPr>
        <w:ind w:firstLine="720"/>
        <w:jc w:val="center"/>
        <w:rPr>
          <w:rFonts w:eastAsiaTheme="minorHAnsi"/>
          <w:b/>
          <w:sz w:val="20"/>
          <w:szCs w:val="20"/>
          <w:lang w:val="lt-LT"/>
        </w:rPr>
      </w:pPr>
    </w:p>
    <w:p w14:paraId="79D697ED" w14:textId="77777777" w:rsidR="00521811" w:rsidRDefault="00521811" w:rsidP="00571084">
      <w:pPr>
        <w:ind w:firstLine="720"/>
        <w:jc w:val="center"/>
        <w:rPr>
          <w:rFonts w:eastAsiaTheme="minorHAnsi"/>
          <w:b/>
          <w:sz w:val="20"/>
          <w:szCs w:val="20"/>
          <w:lang w:val="lt-LT"/>
        </w:rPr>
      </w:pPr>
    </w:p>
    <w:p w14:paraId="6FFA16B3" w14:textId="77777777" w:rsidR="00521811" w:rsidRDefault="00521811" w:rsidP="00571084">
      <w:pPr>
        <w:ind w:firstLine="720"/>
        <w:jc w:val="center"/>
        <w:rPr>
          <w:rFonts w:eastAsiaTheme="minorHAnsi"/>
          <w:b/>
          <w:sz w:val="20"/>
          <w:szCs w:val="20"/>
          <w:lang w:val="lt-LT"/>
        </w:rPr>
      </w:pPr>
    </w:p>
    <w:p w14:paraId="56A71691" w14:textId="77777777" w:rsidR="00521811" w:rsidRDefault="00521811" w:rsidP="00571084">
      <w:pPr>
        <w:ind w:firstLine="720"/>
        <w:jc w:val="center"/>
        <w:rPr>
          <w:rFonts w:eastAsiaTheme="minorHAnsi"/>
          <w:b/>
          <w:sz w:val="20"/>
          <w:szCs w:val="20"/>
          <w:lang w:val="lt-LT"/>
        </w:rPr>
      </w:pPr>
    </w:p>
    <w:p w14:paraId="66CEC6DB" w14:textId="77777777" w:rsidR="00521811" w:rsidRDefault="00521811" w:rsidP="00571084">
      <w:pPr>
        <w:ind w:firstLine="720"/>
        <w:jc w:val="center"/>
        <w:rPr>
          <w:rFonts w:eastAsiaTheme="minorHAnsi"/>
          <w:b/>
          <w:sz w:val="20"/>
          <w:szCs w:val="20"/>
          <w:lang w:val="lt-LT"/>
        </w:rPr>
      </w:pPr>
    </w:p>
    <w:p w14:paraId="607C631C" w14:textId="77777777" w:rsidR="00521811" w:rsidRDefault="00521811" w:rsidP="00571084">
      <w:pPr>
        <w:ind w:firstLine="720"/>
        <w:jc w:val="center"/>
        <w:rPr>
          <w:rFonts w:eastAsiaTheme="minorHAnsi"/>
          <w:b/>
          <w:sz w:val="20"/>
          <w:szCs w:val="20"/>
          <w:lang w:val="lt-LT"/>
        </w:rPr>
      </w:pPr>
    </w:p>
    <w:p w14:paraId="6B5D008B" w14:textId="77777777" w:rsidR="00521811" w:rsidRDefault="00521811" w:rsidP="00571084">
      <w:pPr>
        <w:ind w:firstLine="720"/>
        <w:jc w:val="center"/>
        <w:rPr>
          <w:rFonts w:eastAsiaTheme="minorHAnsi"/>
          <w:b/>
          <w:sz w:val="20"/>
          <w:szCs w:val="20"/>
          <w:lang w:val="lt-LT"/>
        </w:rPr>
      </w:pPr>
    </w:p>
    <w:p w14:paraId="360B2409" w14:textId="1EF3003E" w:rsidR="00571084" w:rsidRDefault="00571084" w:rsidP="00571084">
      <w:pPr>
        <w:ind w:firstLine="720"/>
        <w:jc w:val="center"/>
        <w:rPr>
          <w:b/>
          <w:sz w:val="20"/>
          <w:szCs w:val="20"/>
          <w:lang w:val="lt-LT"/>
        </w:rPr>
      </w:pPr>
      <w:bookmarkStart w:id="3" w:name="_GoBack"/>
      <w:bookmarkEnd w:id="3"/>
      <w:r>
        <w:rPr>
          <w:rFonts w:eastAsiaTheme="minorHAnsi"/>
          <w:b/>
          <w:sz w:val="20"/>
          <w:szCs w:val="20"/>
          <w:lang w:val="lt-LT"/>
        </w:rPr>
        <w:lastRenderedPageBreak/>
        <w:t>GYDYTOJO KĖDUTĖ</w:t>
      </w:r>
    </w:p>
    <w:p w14:paraId="64722E28" w14:textId="77777777" w:rsidR="00571084" w:rsidRDefault="00571084" w:rsidP="00571084">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71084" w14:paraId="0308A8EF" w14:textId="77777777" w:rsidTr="003F3B90">
        <w:tc>
          <w:tcPr>
            <w:tcW w:w="5524" w:type="dxa"/>
          </w:tcPr>
          <w:p w14:paraId="0B61B0EA" w14:textId="77777777" w:rsidR="00571084" w:rsidRDefault="00571084" w:rsidP="003F3B9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3DCCC891" w14:textId="77777777" w:rsidR="00571084" w:rsidRDefault="00571084" w:rsidP="003F3B9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7437280E" w14:textId="77777777" w:rsidR="00571084" w:rsidRDefault="00571084" w:rsidP="003F3B9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71084" w14:paraId="7C5C3A1E" w14:textId="77777777" w:rsidTr="003F3B90">
        <w:tc>
          <w:tcPr>
            <w:tcW w:w="5524" w:type="dxa"/>
          </w:tcPr>
          <w:p w14:paraId="7E45986F" w14:textId="477B7CFB" w:rsidR="00571084" w:rsidRDefault="00571084" w:rsidP="003F3B90">
            <w:pPr>
              <w:rPr>
                <w:rFonts w:eastAsiaTheme="minorHAnsi"/>
                <w:b/>
                <w:sz w:val="20"/>
                <w:szCs w:val="20"/>
                <w:lang w:val="lt-LT"/>
              </w:rPr>
            </w:pPr>
            <w:proofErr w:type="spellStart"/>
            <w:r>
              <w:t>Gydytojo</w:t>
            </w:r>
            <w:proofErr w:type="spellEnd"/>
            <w:r>
              <w:t xml:space="preserve"> </w:t>
            </w:r>
            <w:proofErr w:type="spellStart"/>
            <w:r>
              <w:t>kėdutė</w:t>
            </w:r>
            <w:proofErr w:type="spellEnd"/>
          </w:p>
        </w:tc>
        <w:tc>
          <w:tcPr>
            <w:tcW w:w="2409" w:type="dxa"/>
          </w:tcPr>
          <w:p w14:paraId="4EF5E2B2" w14:textId="7B636B94" w:rsidR="00571084" w:rsidRDefault="00A66123" w:rsidP="003F3B90">
            <w:pPr>
              <w:jc w:val="center"/>
              <w:rPr>
                <w:rFonts w:eastAsiaTheme="minorHAnsi"/>
                <w:b/>
                <w:sz w:val="20"/>
                <w:szCs w:val="20"/>
                <w:lang w:val="lt-LT"/>
              </w:rPr>
            </w:pPr>
            <w:r>
              <w:t>510</w:t>
            </w:r>
            <w:r w:rsidR="00571084" w:rsidRPr="00526640">
              <w:t>,00</w:t>
            </w:r>
          </w:p>
        </w:tc>
        <w:tc>
          <w:tcPr>
            <w:tcW w:w="2086" w:type="dxa"/>
          </w:tcPr>
          <w:p w14:paraId="4A06A7B2" w14:textId="50470B85" w:rsidR="00571084" w:rsidRPr="00571084" w:rsidRDefault="00FC4E28" w:rsidP="003F3B90">
            <w:pPr>
              <w:jc w:val="center"/>
              <w:rPr>
                <w:rFonts w:eastAsiaTheme="minorHAnsi"/>
                <w:sz w:val="20"/>
                <w:szCs w:val="20"/>
                <w:lang w:val="lt-LT"/>
              </w:rPr>
            </w:pPr>
            <w:r>
              <w:t>421,49</w:t>
            </w:r>
          </w:p>
        </w:tc>
      </w:tr>
    </w:tbl>
    <w:p w14:paraId="792E84A9" w14:textId="77777777" w:rsidR="00571084" w:rsidRDefault="00571084" w:rsidP="00571084">
      <w:pPr>
        <w:ind w:firstLine="720"/>
        <w:jc w:val="center"/>
        <w:rPr>
          <w:rFonts w:eastAsiaTheme="minorHAnsi"/>
          <w:b/>
          <w:sz w:val="20"/>
          <w:szCs w:val="20"/>
          <w:lang w:val="lt-LT"/>
        </w:rPr>
      </w:pPr>
    </w:p>
    <w:p w14:paraId="08A439AA" w14:textId="77777777" w:rsidR="00571084" w:rsidRDefault="00571084" w:rsidP="00571084">
      <w:pPr>
        <w:ind w:firstLine="720"/>
        <w:jc w:val="center"/>
        <w:rPr>
          <w:rFonts w:eastAsiaTheme="minorHAnsi"/>
          <w:b/>
          <w:sz w:val="20"/>
          <w:szCs w:val="20"/>
          <w:lang w:val="lt-LT"/>
        </w:rPr>
      </w:pPr>
      <w:r w:rsidRPr="00526640">
        <w:rPr>
          <w:rFonts w:eastAsiaTheme="minorHAnsi"/>
          <w:b/>
          <w:sz w:val="20"/>
          <w:szCs w:val="20"/>
          <w:lang w:val="lt-LT"/>
        </w:rPr>
        <w:t>TECHNINĖ SPECIFIKACIJA</w:t>
      </w:r>
    </w:p>
    <w:p w14:paraId="1F44E263" w14:textId="77777777" w:rsidR="00571084" w:rsidRDefault="00571084" w:rsidP="00571084">
      <w:pPr>
        <w:ind w:firstLine="720"/>
        <w:jc w:val="center"/>
        <w:rPr>
          <w:rFonts w:eastAsiaTheme="minorHAnsi"/>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6516"/>
        <w:gridCol w:w="2721"/>
      </w:tblGrid>
      <w:tr w:rsidR="00571084" w:rsidRPr="00DA493C" w14:paraId="7E5F4559" w14:textId="77777777" w:rsidTr="003F3B90">
        <w:tc>
          <w:tcPr>
            <w:tcW w:w="390" w:type="pct"/>
            <w:tcBorders>
              <w:top w:val="single" w:sz="4" w:space="0" w:color="auto"/>
              <w:left w:val="single" w:sz="4" w:space="0" w:color="auto"/>
              <w:bottom w:val="single" w:sz="4" w:space="0" w:color="auto"/>
              <w:right w:val="single" w:sz="4" w:space="0" w:color="auto"/>
            </w:tcBorders>
            <w:vAlign w:val="center"/>
            <w:hideMark/>
          </w:tcPr>
          <w:p w14:paraId="02ABB42D" w14:textId="77777777" w:rsidR="00571084" w:rsidRPr="00DA493C" w:rsidRDefault="00571084" w:rsidP="003F3B90">
            <w:pPr>
              <w:rPr>
                <w:b/>
                <w:noProof/>
              </w:rPr>
            </w:pPr>
            <w:r w:rsidRPr="00DA493C">
              <w:rPr>
                <w:b/>
                <w:noProof/>
              </w:rPr>
              <w:t>Eil. Nr.</w:t>
            </w:r>
          </w:p>
        </w:tc>
        <w:tc>
          <w:tcPr>
            <w:tcW w:w="3252" w:type="pct"/>
            <w:tcBorders>
              <w:top w:val="single" w:sz="4" w:space="0" w:color="auto"/>
              <w:left w:val="single" w:sz="4" w:space="0" w:color="auto"/>
              <w:bottom w:val="single" w:sz="4" w:space="0" w:color="auto"/>
              <w:right w:val="single" w:sz="4" w:space="0" w:color="auto"/>
            </w:tcBorders>
            <w:vAlign w:val="center"/>
            <w:hideMark/>
          </w:tcPr>
          <w:p w14:paraId="102BE509" w14:textId="77777777" w:rsidR="00571084" w:rsidRPr="00DA493C" w:rsidRDefault="00571084" w:rsidP="003F3B90">
            <w:pPr>
              <w:jc w:val="center"/>
              <w:rPr>
                <w:b/>
                <w:noProof/>
              </w:rPr>
            </w:pPr>
            <w:r w:rsidRPr="00DA493C">
              <w:rPr>
                <w:b/>
                <w:noProof/>
              </w:rPr>
              <w:t>Reikalaujamos parametrų reikšmės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7EFE5712" w14:textId="77777777" w:rsidR="00571084" w:rsidRPr="00DA493C" w:rsidRDefault="00571084" w:rsidP="003F3B90">
            <w:pPr>
              <w:jc w:val="center"/>
              <w:rPr>
                <w:b/>
                <w:noProof/>
              </w:rPr>
            </w:pPr>
            <w:r w:rsidRPr="00DA493C">
              <w:rPr>
                <w:b/>
                <w:noProof/>
              </w:rPr>
              <w:t>Siūlomos parametrų reikšmės</w:t>
            </w:r>
          </w:p>
        </w:tc>
      </w:tr>
      <w:tr w:rsidR="00571084" w:rsidRPr="00DA493C" w14:paraId="165EB995" w14:textId="77777777" w:rsidTr="003F3B90">
        <w:trPr>
          <w:trHeight w:val="515"/>
        </w:trPr>
        <w:tc>
          <w:tcPr>
            <w:tcW w:w="390" w:type="pct"/>
            <w:tcBorders>
              <w:top w:val="single" w:sz="4" w:space="0" w:color="auto"/>
              <w:left w:val="single" w:sz="4" w:space="0" w:color="auto"/>
              <w:bottom w:val="single" w:sz="4" w:space="0" w:color="auto"/>
              <w:right w:val="single" w:sz="4" w:space="0" w:color="auto"/>
            </w:tcBorders>
            <w:hideMark/>
          </w:tcPr>
          <w:p w14:paraId="27F45242" w14:textId="77777777" w:rsidR="00571084" w:rsidRPr="00DA493C" w:rsidRDefault="00571084" w:rsidP="003F3B90">
            <w:pPr>
              <w:jc w:val="both"/>
              <w:rPr>
                <w:noProof/>
              </w:rPr>
            </w:pPr>
            <w:r w:rsidRPr="00DA493C">
              <w:rPr>
                <w:rFonts w:eastAsia="Calibri"/>
                <w:noProof/>
              </w:rPr>
              <w:t>1.</w:t>
            </w:r>
          </w:p>
        </w:tc>
        <w:tc>
          <w:tcPr>
            <w:tcW w:w="3252" w:type="pct"/>
            <w:tcBorders>
              <w:top w:val="single" w:sz="4" w:space="0" w:color="auto"/>
              <w:left w:val="single" w:sz="4" w:space="0" w:color="auto"/>
              <w:bottom w:val="single" w:sz="4" w:space="0" w:color="auto"/>
              <w:right w:val="single" w:sz="4" w:space="0" w:color="auto"/>
            </w:tcBorders>
          </w:tcPr>
          <w:p w14:paraId="6304693E" w14:textId="77777777" w:rsidR="00571084" w:rsidRPr="00DA493C" w:rsidRDefault="00571084" w:rsidP="003F3B90">
            <w:pPr>
              <w:tabs>
                <w:tab w:val="left" w:pos="1296"/>
                <w:tab w:val="center" w:pos="4153"/>
                <w:tab w:val="right" w:pos="8306"/>
              </w:tabs>
              <w:jc w:val="both"/>
              <w:rPr>
                <w:rFonts w:eastAsia="Calibri"/>
                <w:noProof/>
              </w:rPr>
            </w:pPr>
            <w:r w:rsidRPr="00DA493C">
              <w:rPr>
                <w:rFonts w:eastAsia="Calibri"/>
                <w:noProof/>
              </w:rPr>
              <w:t>Gydytojo kėdutė (nurodyti siūlomos prekės pavadinimą (modelis, konkreti modifikacija), gamintoją, kilmės šalį)</w:t>
            </w:r>
          </w:p>
        </w:tc>
        <w:tc>
          <w:tcPr>
            <w:tcW w:w="1358" w:type="pct"/>
            <w:tcBorders>
              <w:top w:val="single" w:sz="4" w:space="0" w:color="auto"/>
              <w:left w:val="single" w:sz="4" w:space="0" w:color="auto"/>
              <w:bottom w:val="single" w:sz="4" w:space="0" w:color="auto"/>
              <w:right w:val="single" w:sz="4" w:space="0" w:color="auto"/>
            </w:tcBorders>
            <w:hideMark/>
          </w:tcPr>
          <w:p w14:paraId="3B46635D" w14:textId="77777777" w:rsidR="00571084" w:rsidRPr="00DA493C" w:rsidRDefault="00571084" w:rsidP="003F3B90">
            <w:pPr>
              <w:rPr>
                <w:i/>
                <w:iCs/>
                <w:noProof/>
              </w:rPr>
            </w:pPr>
          </w:p>
        </w:tc>
      </w:tr>
      <w:tr w:rsidR="00571084" w:rsidRPr="00DA493C" w14:paraId="7820DCA2" w14:textId="77777777" w:rsidTr="003F3B90">
        <w:tc>
          <w:tcPr>
            <w:tcW w:w="390" w:type="pct"/>
            <w:tcBorders>
              <w:top w:val="single" w:sz="4" w:space="0" w:color="auto"/>
              <w:left w:val="single" w:sz="4" w:space="0" w:color="auto"/>
              <w:bottom w:val="single" w:sz="4" w:space="0" w:color="auto"/>
              <w:right w:val="single" w:sz="4" w:space="0" w:color="auto"/>
            </w:tcBorders>
            <w:hideMark/>
          </w:tcPr>
          <w:p w14:paraId="4B0257F4" w14:textId="77777777" w:rsidR="00571084" w:rsidRPr="00DA493C" w:rsidRDefault="00571084" w:rsidP="003F3B90">
            <w:pPr>
              <w:jc w:val="both"/>
              <w:rPr>
                <w:noProof/>
              </w:rPr>
            </w:pPr>
            <w:r w:rsidRPr="00DA493C">
              <w:rPr>
                <w:rFonts w:eastAsia="Calibri"/>
                <w:noProof/>
              </w:rPr>
              <w:t>1.1.</w:t>
            </w:r>
          </w:p>
        </w:tc>
        <w:tc>
          <w:tcPr>
            <w:tcW w:w="3252" w:type="pct"/>
            <w:tcBorders>
              <w:top w:val="single" w:sz="4" w:space="0" w:color="auto"/>
              <w:left w:val="single" w:sz="4" w:space="0" w:color="auto"/>
              <w:bottom w:val="single" w:sz="4" w:space="0" w:color="auto"/>
              <w:right w:val="single" w:sz="4" w:space="0" w:color="auto"/>
            </w:tcBorders>
            <w:hideMark/>
          </w:tcPr>
          <w:p w14:paraId="33F508C7" w14:textId="77777777" w:rsidR="00571084" w:rsidRPr="00DA493C" w:rsidRDefault="00571084" w:rsidP="003F3B90">
            <w:pPr>
              <w:contextualSpacing/>
              <w:rPr>
                <w:rFonts w:eastAsia="Calibri"/>
                <w:noProof/>
              </w:rPr>
            </w:pPr>
            <w:r w:rsidRPr="00DA493C">
              <w:rPr>
                <w:rFonts w:eastAsia="Calibri"/>
                <w:noProof/>
              </w:rPr>
              <w:t>Laisvai stumdoma, ne mažiau 5 ratukų</w:t>
            </w:r>
          </w:p>
        </w:tc>
        <w:tc>
          <w:tcPr>
            <w:tcW w:w="1358" w:type="pct"/>
            <w:tcBorders>
              <w:top w:val="single" w:sz="4" w:space="0" w:color="auto"/>
              <w:left w:val="single" w:sz="4" w:space="0" w:color="auto"/>
              <w:bottom w:val="single" w:sz="4" w:space="0" w:color="auto"/>
              <w:right w:val="single" w:sz="4" w:space="0" w:color="auto"/>
            </w:tcBorders>
            <w:hideMark/>
          </w:tcPr>
          <w:p w14:paraId="5A5E8BAA" w14:textId="77777777" w:rsidR="00571084" w:rsidRPr="00DA493C" w:rsidRDefault="00571084" w:rsidP="003F3B90">
            <w:pPr>
              <w:rPr>
                <w:noProof/>
              </w:rPr>
            </w:pPr>
            <w:r w:rsidRPr="00DA493C">
              <w:rPr>
                <w:i/>
                <w:iCs/>
                <w:noProof/>
              </w:rPr>
              <w:t xml:space="preserve"> </w:t>
            </w:r>
          </w:p>
        </w:tc>
      </w:tr>
      <w:tr w:rsidR="00571084" w:rsidRPr="00DA493C" w14:paraId="57AC880D" w14:textId="77777777" w:rsidTr="003F3B90">
        <w:tc>
          <w:tcPr>
            <w:tcW w:w="390" w:type="pct"/>
            <w:tcBorders>
              <w:top w:val="single" w:sz="4" w:space="0" w:color="auto"/>
              <w:left w:val="single" w:sz="4" w:space="0" w:color="auto"/>
              <w:bottom w:val="single" w:sz="4" w:space="0" w:color="auto"/>
              <w:right w:val="single" w:sz="4" w:space="0" w:color="auto"/>
            </w:tcBorders>
            <w:hideMark/>
          </w:tcPr>
          <w:p w14:paraId="1FBD37ED" w14:textId="77777777" w:rsidR="00571084" w:rsidRPr="00DA493C" w:rsidRDefault="00571084" w:rsidP="003F3B90">
            <w:pPr>
              <w:jc w:val="both"/>
              <w:rPr>
                <w:noProof/>
              </w:rPr>
            </w:pPr>
            <w:r w:rsidRPr="00DA493C">
              <w:rPr>
                <w:rFonts w:eastAsia="Calibri"/>
                <w:noProof/>
              </w:rPr>
              <w:t>1.2.</w:t>
            </w:r>
          </w:p>
        </w:tc>
        <w:tc>
          <w:tcPr>
            <w:tcW w:w="3252" w:type="pct"/>
            <w:tcBorders>
              <w:top w:val="single" w:sz="4" w:space="0" w:color="auto"/>
              <w:left w:val="single" w:sz="4" w:space="0" w:color="auto"/>
              <w:bottom w:val="single" w:sz="4" w:space="0" w:color="auto"/>
              <w:right w:val="single" w:sz="4" w:space="0" w:color="auto"/>
            </w:tcBorders>
            <w:hideMark/>
          </w:tcPr>
          <w:p w14:paraId="3917495A" w14:textId="77777777" w:rsidR="00571084" w:rsidRPr="00DA493C" w:rsidRDefault="00571084" w:rsidP="003F3B90">
            <w:pPr>
              <w:rPr>
                <w:noProof/>
              </w:rPr>
            </w:pPr>
            <w:r w:rsidRPr="00DA493C">
              <w:rPr>
                <w:rFonts w:eastAsia="Calibri"/>
                <w:noProof/>
              </w:rPr>
              <w:t>Reguliuojamas kėdutės</w:t>
            </w:r>
            <w:r>
              <w:rPr>
                <w:rFonts w:eastAsia="Calibri"/>
                <w:noProof/>
              </w:rPr>
              <w:t xml:space="preserve"> </w:t>
            </w:r>
            <w:r w:rsidRPr="00DA493C">
              <w:rPr>
                <w:rFonts w:eastAsia="Calibri"/>
                <w:noProof/>
              </w:rPr>
              <w:t>aukštis</w:t>
            </w:r>
          </w:p>
        </w:tc>
        <w:tc>
          <w:tcPr>
            <w:tcW w:w="1358" w:type="pct"/>
            <w:tcBorders>
              <w:top w:val="single" w:sz="4" w:space="0" w:color="auto"/>
              <w:left w:val="single" w:sz="4" w:space="0" w:color="auto"/>
              <w:bottom w:val="single" w:sz="4" w:space="0" w:color="auto"/>
              <w:right w:val="single" w:sz="4" w:space="0" w:color="auto"/>
            </w:tcBorders>
            <w:hideMark/>
          </w:tcPr>
          <w:p w14:paraId="4D65DBC2" w14:textId="77777777" w:rsidR="00571084" w:rsidRPr="00DA493C" w:rsidRDefault="00571084" w:rsidP="003F3B90">
            <w:pPr>
              <w:rPr>
                <w:noProof/>
              </w:rPr>
            </w:pPr>
          </w:p>
        </w:tc>
      </w:tr>
      <w:tr w:rsidR="00571084" w:rsidRPr="00DA493C" w14:paraId="2B31978F" w14:textId="77777777" w:rsidTr="003F3B90">
        <w:tc>
          <w:tcPr>
            <w:tcW w:w="390" w:type="pct"/>
            <w:tcBorders>
              <w:top w:val="single" w:sz="4" w:space="0" w:color="auto"/>
              <w:left w:val="single" w:sz="4" w:space="0" w:color="auto"/>
              <w:bottom w:val="single" w:sz="4" w:space="0" w:color="auto"/>
              <w:right w:val="single" w:sz="4" w:space="0" w:color="auto"/>
            </w:tcBorders>
          </w:tcPr>
          <w:p w14:paraId="10EC4E1E" w14:textId="77777777" w:rsidR="00571084" w:rsidRPr="00DA493C" w:rsidRDefault="00571084" w:rsidP="003F3B90">
            <w:pPr>
              <w:jc w:val="both"/>
              <w:rPr>
                <w:rFonts w:eastAsia="Calibri"/>
                <w:noProof/>
              </w:rPr>
            </w:pPr>
            <w:r w:rsidRPr="00DA493C">
              <w:rPr>
                <w:rFonts w:eastAsia="Calibri"/>
                <w:noProof/>
              </w:rPr>
              <w:t>1.3.</w:t>
            </w:r>
          </w:p>
        </w:tc>
        <w:tc>
          <w:tcPr>
            <w:tcW w:w="3252" w:type="pct"/>
            <w:tcBorders>
              <w:top w:val="single" w:sz="4" w:space="0" w:color="auto"/>
              <w:left w:val="single" w:sz="4" w:space="0" w:color="auto"/>
              <w:bottom w:val="single" w:sz="4" w:space="0" w:color="auto"/>
              <w:right w:val="single" w:sz="4" w:space="0" w:color="auto"/>
            </w:tcBorders>
          </w:tcPr>
          <w:p w14:paraId="547D7DE2" w14:textId="77777777" w:rsidR="00571084" w:rsidRPr="00DA493C" w:rsidRDefault="00571084" w:rsidP="003F3B90">
            <w:pPr>
              <w:rPr>
                <w:rFonts w:eastAsia="Calibri"/>
                <w:noProof/>
              </w:rPr>
            </w:pPr>
            <w:r w:rsidRPr="00DA493C">
              <w:rPr>
                <w:rFonts w:eastAsia="Calibri"/>
                <w:noProof/>
              </w:rPr>
              <w:t>Balno formos</w:t>
            </w:r>
          </w:p>
        </w:tc>
        <w:tc>
          <w:tcPr>
            <w:tcW w:w="1358" w:type="pct"/>
            <w:tcBorders>
              <w:top w:val="single" w:sz="4" w:space="0" w:color="auto"/>
              <w:left w:val="single" w:sz="4" w:space="0" w:color="auto"/>
              <w:bottom w:val="single" w:sz="4" w:space="0" w:color="auto"/>
              <w:right w:val="single" w:sz="4" w:space="0" w:color="auto"/>
            </w:tcBorders>
          </w:tcPr>
          <w:p w14:paraId="6D532EA6" w14:textId="77777777" w:rsidR="00571084" w:rsidRPr="00DA493C" w:rsidRDefault="00571084" w:rsidP="003F3B90">
            <w:pPr>
              <w:rPr>
                <w:noProof/>
              </w:rPr>
            </w:pPr>
          </w:p>
        </w:tc>
      </w:tr>
      <w:tr w:rsidR="00571084" w:rsidRPr="00DA493C" w14:paraId="78B69432" w14:textId="77777777" w:rsidTr="003F3B90">
        <w:tc>
          <w:tcPr>
            <w:tcW w:w="390" w:type="pct"/>
            <w:tcBorders>
              <w:top w:val="single" w:sz="4" w:space="0" w:color="auto"/>
              <w:left w:val="single" w:sz="4" w:space="0" w:color="auto"/>
              <w:bottom w:val="single" w:sz="4" w:space="0" w:color="auto"/>
              <w:right w:val="single" w:sz="4" w:space="0" w:color="auto"/>
            </w:tcBorders>
            <w:hideMark/>
          </w:tcPr>
          <w:p w14:paraId="2890092A" w14:textId="77777777" w:rsidR="00571084" w:rsidRPr="00DA493C" w:rsidRDefault="00571084" w:rsidP="003F3B90">
            <w:pPr>
              <w:jc w:val="both"/>
              <w:rPr>
                <w:noProof/>
              </w:rPr>
            </w:pPr>
            <w:r w:rsidRPr="00DA493C">
              <w:rPr>
                <w:rFonts w:eastAsia="Calibri"/>
                <w:noProof/>
              </w:rPr>
              <w:t>1.4.</w:t>
            </w:r>
          </w:p>
        </w:tc>
        <w:tc>
          <w:tcPr>
            <w:tcW w:w="3252" w:type="pct"/>
            <w:tcBorders>
              <w:top w:val="single" w:sz="4" w:space="0" w:color="auto"/>
              <w:left w:val="single" w:sz="4" w:space="0" w:color="auto"/>
              <w:bottom w:val="single" w:sz="4" w:space="0" w:color="auto"/>
              <w:right w:val="single" w:sz="4" w:space="0" w:color="auto"/>
            </w:tcBorders>
            <w:hideMark/>
          </w:tcPr>
          <w:p w14:paraId="38BC5D49" w14:textId="77777777" w:rsidR="00571084" w:rsidRPr="00DA493C" w:rsidRDefault="00571084" w:rsidP="003F3B90">
            <w:pPr>
              <w:rPr>
                <w:noProof/>
              </w:rPr>
            </w:pPr>
            <w:r w:rsidRPr="00DA493C">
              <w:rPr>
                <w:rFonts w:eastAsia="Calibri"/>
                <w:noProof/>
              </w:rPr>
              <w:t>Kėdutės apmušalo danga lengvai valoma ir dezinfekuojama</w:t>
            </w:r>
          </w:p>
        </w:tc>
        <w:tc>
          <w:tcPr>
            <w:tcW w:w="1358" w:type="pct"/>
            <w:tcBorders>
              <w:top w:val="single" w:sz="4" w:space="0" w:color="auto"/>
              <w:left w:val="single" w:sz="4" w:space="0" w:color="auto"/>
              <w:bottom w:val="single" w:sz="4" w:space="0" w:color="auto"/>
              <w:right w:val="single" w:sz="4" w:space="0" w:color="auto"/>
            </w:tcBorders>
            <w:hideMark/>
          </w:tcPr>
          <w:p w14:paraId="2D5388DF" w14:textId="77777777" w:rsidR="00571084" w:rsidRPr="00DA493C" w:rsidRDefault="00571084" w:rsidP="003F3B90">
            <w:pPr>
              <w:rPr>
                <w:noProof/>
              </w:rPr>
            </w:pPr>
          </w:p>
        </w:tc>
      </w:tr>
      <w:tr w:rsidR="00571084" w:rsidRPr="00DA493C" w14:paraId="0ED4C42B" w14:textId="77777777" w:rsidTr="003F3B90">
        <w:tc>
          <w:tcPr>
            <w:tcW w:w="390" w:type="pct"/>
            <w:tcBorders>
              <w:top w:val="single" w:sz="4" w:space="0" w:color="auto"/>
              <w:left w:val="single" w:sz="4" w:space="0" w:color="auto"/>
              <w:bottom w:val="single" w:sz="4" w:space="0" w:color="auto"/>
              <w:right w:val="single" w:sz="4" w:space="0" w:color="auto"/>
            </w:tcBorders>
          </w:tcPr>
          <w:p w14:paraId="0F60436B" w14:textId="77777777" w:rsidR="00571084" w:rsidRPr="00DA493C" w:rsidRDefault="00571084" w:rsidP="003F3B90">
            <w:pPr>
              <w:jc w:val="both"/>
              <w:rPr>
                <w:rFonts w:eastAsia="Calibri"/>
                <w:noProof/>
              </w:rPr>
            </w:pPr>
            <w:r w:rsidRPr="00DA493C">
              <w:rPr>
                <w:rFonts w:eastAsia="Calibri"/>
                <w:noProof/>
              </w:rPr>
              <w:t>1.</w:t>
            </w:r>
            <w:r>
              <w:rPr>
                <w:rFonts w:eastAsia="Calibri"/>
                <w:noProof/>
              </w:rPr>
              <w:t>5</w:t>
            </w:r>
            <w:r w:rsidRPr="00DA493C">
              <w:rPr>
                <w:rFonts w:eastAsia="Calibri"/>
                <w:noProof/>
              </w:rPr>
              <w:t>.</w:t>
            </w:r>
          </w:p>
        </w:tc>
        <w:tc>
          <w:tcPr>
            <w:tcW w:w="3252" w:type="pct"/>
            <w:tcBorders>
              <w:top w:val="single" w:sz="4" w:space="0" w:color="auto"/>
              <w:left w:val="single" w:sz="4" w:space="0" w:color="auto"/>
              <w:bottom w:val="single" w:sz="4" w:space="0" w:color="auto"/>
              <w:right w:val="single" w:sz="4" w:space="0" w:color="auto"/>
            </w:tcBorders>
          </w:tcPr>
          <w:p w14:paraId="7B072015" w14:textId="77777777" w:rsidR="00571084" w:rsidRPr="00942021" w:rsidRDefault="00571084" w:rsidP="003F3B90">
            <w:pPr>
              <w:jc w:val="both"/>
              <w:rPr>
                <w:iCs/>
                <w:noProof/>
              </w:rPr>
            </w:pPr>
            <w:r w:rsidRPr="00942021">
              <w:rPr>
                <w:rFonts w:eastAsia="Calibri"/>
                <w:iCs/>
                <w:noProof/>
              </w:rPr>
              <w:t>Kartu su pasiūlymu privaloma pateikti galiojančio CE sertifikato arba EB atitikties deklaracijos kopiją</w:t>
            </w:r>
          </w:p>
        </w:tc>
        <w:tc>
          <w:tcPr>
            <w:tcW w:w="1358" w:type="pct"/>
            <w:tcBorders>
              <w:top w:val="single" w:sz="4" w:space="0" w:color="auto"/>
              <w:left w:val="single" w:sz="4" w:space="0" w:color="auto"/>
              <w:bottom w:val="single" w:sz="4" w:space="0" w:color="auto"/>
              <w:right w:val="single" w:sz="4" w:space="0" w:color="auto"/>
            </w:tcBorders>
          </w:tcPr>
          <w:p w14:paraId="5B66B904" w14:textId="77777777" w:rsidR="00571084" w:rsidRPr="00DA493C" w:rsidRDefault="00571084" w:rsidP="003F3B90">
            <w:pPr>
              <w:rPr>
                <w:noProof/>
              </w:rPr>
            </w:pPr>
          </w:p>
        </w:tc>
      </w:tr>
    </w:tbl>
    <w:p w14:paraId="02A95AC0" w14:textId="2E32E621" w:rsidR="00571084" w:rsidRDefault="00571084" w:rsidP="00526640">
      <w:pPr>
        <w:ind w:firstLine="720"/>
        <w:jc w:val="center"/>
        <w:rPr>
          <w:rFonts w:eastAsiaTheme="minorHAnsi"/>
          <w:b/>
          <w:sz w:val="20"/>
          <w:szCs w:val="20"/>
          <w:lang w:val="lt-LT"/>
        </w:rPr>
      </w:pPr>
    </w:p>
    <w:p w14:paraId="07A9B5C7" w14:textId="77777777" w:rsidR="00521811" w:rsidRDefault="00521811" w:rsidP="00521811">
      <w:pPr>
        <w:tabs>
          <w:tab w:val="left" w:pos="3349"/>
        </w:tabs>
        <w:rPr>
          <w:b/>
          <w:lang w:val="en-GB"/>
        </w:rPr>
      </w:pPr>
      <w:proofErr w:type="spellStart"/>
      <w:r w:rsidRPr="00066A51">
        <w:rPr>
          <w:b/>
          <w:lang w:val="en-GB"/>
        </w:rPr>
        <w:t>Ekonominio</w:t>
      </w:r>
      <w:proofErr w:type="spellEnd"/>
      <w:r w:rsidRPr="00066A51">
        <w:rPr>
          <w:b/>
          <w:lang w:val="en-GB"/>
        </w:rPr>
        <w:t xml:space="preserve"> </w:t>
      </w:r>
      <w:proofErr w:type="spellStart"/>
      <w:r w:rsidRPr="00066A51">
        <w:rPr>
          <w:b/>
          <w:lang w:val="en-GB"/>
        </w:rPr>
        <w:t>naudingumo</w:t>
      </w:r>
      <w:proofErr w:type="spellEnd"/>
      <w:r w:rsidRPr="00066A51">
        <w:rPr>
          <w:b/>
          <w:lang w:val="en-GB"/>
        </w:rPr>
        <w:t xml:space="preserve"> </w:t>
      </w:r>
      <w:proofErr w:type="spellStart"/>
      <w:r w:rsidRPr="00066A51">
        <w:rPr>
          <w:b/>
          <w:lang w:val="en-GB"/>
        </w:rPr>
        <w:t>vertinimo</w:t>
      </w:r>
      <w:proofErr w:type="spellEnd"/>
      <w:r w:rsidRPr="00066A51">
        <w:rPr>
          <w:b/>
          <w:lang w:val="en-GB"/>
        </w:rPr>
        <w:t xml:space="preserve"> </w:t>
      </w:r>
      <w:proofErr w:type="spellStart"/>
      <w:r w:rsidRPr="00066A51">
        <w:rPr>
          <w:b/>
          <w:lang w:val="en-GB"/>
        </w:rPr>
        <w:t>kriterijai</w:t>
      </w:r>
      <w:proofErr w:type="spellEnd"/>
      <w:r w:rsidRPr="00066A51">
        <w:rPr>
          <w:b/>
          <w:lang w:val="en-GB"/>
        </w:rPr>
        <w:t>:</w:t>
      </w:r>
    </w:p>
    <w:p w14:paraId="14AF54DC" w14:textId="77777777" w:rsidR="00521811" w:rsidRPr="00066A51" w:rsidRDefault="00521811" w:rsidP="00521811">
      <w:pPr>
        <w:tabs>
          <w:tab w:val="left" w:pos="3349"/>
        </w:tabs>
        <w:rPr>
          <w:b/>
          <w:lang w:val="en-GB"/>
        </w:rPr>
      </w:pPr>
    </w:p>
    <w:tbl>
      <w:tblPr>
        <w:tblW w:w="9361" w:type="dxa"/>
        <w:shd w:val="clear" w:color="auto" w:fill="FFFFFF"/>
        <w:tblCellMar>
          <w:left w:w="0" w:type="dxa"/>
          <w:right w:w="0" w:type="dxa"/>
        </w:tblCellMar>
        <w:tblLook w:val="04A0" w:firstRow="1" w:lastRow="0" w:firstColumn="1" w:lastColumn="0" w:noHBand="0" w:noVBand="1"/>
      </w:tblPr>
      <w:tblGrid>
        <w:gridCol w:w="854"/>
        <w:gridCol w:w="5878"/>
        <w:gridCol w:w="2629"/>
      </w:tblGrid>
      <w:tr w:rsidR="00521811" w:rsidRPr="00066A51" w14:paraId="1C6351FF" w14:textId="77777777" w:rsidTr="00342D4A">
        <w:trPr>
          <w:trHeight w:val="33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572CED" w14:textId="5732144B" w:rsidR="00521811" w:rsidRPr="00066A51" w:rsidRDefault="00521811" w:rsidP="00342D4A">
            <w:pPr>
              <w:ind w:left="22" w:firstLine="545"/>
              <w:jc w:val="center"/>
              <w:rPr>
                <w:lang w:val="en-GB" w:eastAsia="lt-LT"/>
              </w:rPr>
            </w:pPr>
            <w:r>
              <w:rPr>
                <w:b/>
                <w:bCs/>
                <w:lang w:val="en-GB" w:eastAsia="lt-LT"/>
              </w:rPr>
              <w:t>GYDYTOJO K</w:t>
            </w:r>
            <w:r>
              <w:rPr>
                <w:b/>
                <w:bCs/>
                <w:lang w:val="lt-LT" w:eastAsia="lt-LT"/>
              </w:rPr>
              <w:t>Ė</w:t>
            </w:r>
            <w:r>
              <w:rPr>
                <w:b/>
                <w:bCs/>
                <w:lang w:val="en-GB" w:eastAsia="lt-LT"/>
              </w:rPr>
              <w:t>DUTĖ</w:t>
            </w:r>
          </w:p>
        </w:tc>
      </w:tr>
      <w:tr w:rsidR="00521811" w:rsidRPr="00066A51" w14:paraId="3E071E86" w14:textId="77777777" w:rsidTr="00342D4A">
        <w:trPr>
          <w:trHeight w:val="712"/>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4D6B92" w14:textId="77777777" w:rsidR="00521811" w:rsidRPr="00066A51" w:rsidRDefault="00521811" w:rsidP="00342D4A">
            <w:pPr>
              <w:spacing w:after="200"/>
              <w:jc w:val="center"/>
              <w:rPr>
                <w:lang w:val="en-GB" w:eastAsia="lt-LT"/>
              </w:rPr>
            </w:pPr>
            <w:proofErr w:type="spellStart"/>
            <w:r w:rsidRPr="00066A51">
              <w:rPr>
                <w:b/>
                <w:bCs/>
                <w:lang w:val="en-GB" w:eastAsia="lt-LT"/>
              </w:rPr>
              <w:t>Eil</w:t>
            </w:r>
            <w:proofErr w:type="spellEnd"/>
            <w:r w:rsidRPr="00066A51">
              <w:rPr>
                <w:b/>
                <w:bCs/>
                <w:lang w:val="en-GB" w:eastAsia="lt-LT"/>
              </w:rPr>
              <w:t>. Nr.</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2481E7" w14:textId="77777777" w:rsidR="00521811" w:rsidRPr="00066A51" w:rsidRDefault="00521811" w:rsidP="00342D4A">
            <w:pPr>
              <w:spacing w:after="200"/>
              <w:ind w:firstLine="567"/>
              <w:jc w:val="center"/>
              <w:rPr>
                <w:lang w:val="en-GB" w:eastAsia="lt-LT"/>
              </w:rPr>
            </w:pPr>
            <w:proofErr w:type="spellStart"/>
            <w:r w:rsidRPr="00066A51">
              <w:rPr>
                <w:b/>
                <w:bCs/>
                <w:lang w:val="en-GB" w:eastAsia="lt-LT"/>
              </w:rPr>
              <w:t>Pasiūlymų</w:t>
            </w:r>
            <w:proofErr w:type="spellEnd"/>
            <w:r w:rsidRPr="00066A51">
              <w:rPr>
                <w:b/>
                <w:bCs/>
                <w:lang w:val="en-GB" w:eastAsia="lt-LT"/>
              </w:rPr>
              <w:t xml:space="preserve"> </w:t>
            </w:r>
            <w:proofErr w:type="spellStart"/>
            <w:r w:rsidRPr="00066A51">
              <w:rPr>
                <w:b/>
                <w:bCs/>
                <w:lang w:val="en-GB" w:eastAsia="lt-LT"/>
              </w:rPr>
              <w:t>vertinimo</w:t>
            </w:r>
            <w:proofErr w:type="spellEnd"/>
            <w:r w:rsidRPr="00066A51">
              <w:rPr>
                <w:b/>
                <w:bCs/>
                <w:lang w:val="en-GB" w:eastAsia="lt-LT"/>
              </w:rPr>
              <w:t xml:space="preserve"> </w:t>
            </w:r>
            <w:proofErr w:type="spellStart"/>
            <w:r w:rsidRPr="00066A51">
              <w:rPr>
                <w:b/>
                <w:bCs/>
                <w:lang w:val="en-GB" w:eastAsia="lt-LT"/>
              </w:rPr>
              <w:t>kriterijai</w:t>
            </w:r>
            <w:proofErr w:type="spellEnd"/>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59847CC" w14:textId="77777777" w:rsidR="00521811" w:rsidRPr="00066A51" w:rsidRDefault="00521811" w:rsidP="00342D4A">
            <w:pPr>
              <w:jc w:val="center"/>
              <w:rPr>
                <w:lang w:val="en-GB" w:eastAsia="lt-LT"/>
              </w:rPr>
            </w:pPr>
            <w:proofErr w:type="spellStart"/>
            <w:r w:rsidRPr="00066A51">
              <w:rPr>
                <w:b/>
                <w:bCs/>
                <w:lang w:val="en-GB" w:eastAsia="lt-LT"/>
              </w:rPr>
              <w:t>Kriterijaus</w:t>
            </w:r>
            <w:proofErr w:type="spellEnd"/>
            <w:r w:rsidRPr="00066A51">
              <w:rPr>
                <w:b/>
                <w:bCs/>
                <w:lang w:val="en-GB" w:eastAsia="lt-LT"/>
              </w:rPr>
              <w:t xml:space="preserve"> </w:t>
            </w:r>
            <w:proofErr w:type="spellStart"/>
            <w:r w:rsidRPr="00066A51">
              <w:rPr>
                <w:b/>
                <w:bCs/>
                <w:lang w:val="en-GB" w:eastAsia="lt-LT"/>
              </w:rPr>
              <w:t>lyginamasis</w:t>
            </w:r>
            <w:proofErr w:type="spellEnd"/>
            <w:r w:rsidRPr="00066A51">
              <w:rPr>
                <w:b/>
                <w:bCs/>
                <w:lang w:val="en-GB" w:eastAsia="lt-LT"/>
              </w:rPr>
              <w:t xml:space="preserve"> </w:t>
            </w:r>
            <w:proofErr w:type="spellStart"/>
            <w:r w:rsidRPr="00066A51">
              <w:rPr>
                <w:b/>
                <w:bCs/>
                <w:lang w:val="en-GB" w:eastAsia="lt-LT"/>
              </w:rPr>
              <w:t>svoris</w:t>
            </w:r>
            <w:proofErr w:type="spellEnd"/>
            <w:r w:rsidRPr="00066A51">
              <w:rPr>
                <w:b/>
                <w:bCs/>
                <w:lang w:val="en-GB" w:eastAsia="lt-LT"/>
              </w:rPr>
              <w:t>/</w:t>
            </w:r>
            <w:proofErr w:type="spellStart"/>
            <w:r w:rsidRPr="00066A51">
              <w:rPr>
                <w:b/>
                <w:bCs/>
                <w:lang w:val="en-GB" w:eastAsia="lt-LT"/>
              </w:rPr>
              <w:t>balai</w:t>
            </w:r>
            <w:proofErr w:type="spellEnd"/>
          </w:p>
        </w:tc>
      </w:tr>
      <w:tr w:rsidR="00521811" w:rsidRPr="00066A51" w14:paraId="5A61ADCA" w14:textId="77777777" w:rsidTr="00342D4A">
        <w:trPr>
          <w:trHeight w:val="507"/>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2AC41C" w14:textId="77777777" w:rsidR="00521811" w:rsidRPr="00066A51" w:rsidRDefault="00521811" w:rsidP="00342D4A">
            <w:pPr>
              <w:spacing w:after="200"/>
              <w:rPr>
                <w:lang w:val="en-GB" w:eastAsia="lt-LT"/>
              </w:rPr>
            </w:pPr>
            <w:r w:rsidRPr="00066A51">
              <w:rPr>
                <w:lang w:val="en-GB" w:eastAsia="lt-LT"/>
              </w:rPr>
              <w:t>1.</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B24050" w14:textId="77777777" w:rsidR="00521811" w:rsidRPr="00066A51" w:rsidRDefault="00521811" w:rsidP="00342D4A">
            <w:pPr>
              <w:rPr>
                <w:lang w:val="en-GB" w:eastAsia="lt-LT"/>
              </w:rPr>
            </w:pPr>
            <w:proofErr w:type="spellStart"/>
            <w:r w:rsidRPr="00066A51">
              <w:rPr>
                <w:b/>
                <w:bCs/>
                <w:lang w:val="en-GB" w:eastAsia="lt-LT"/>
              </w:rPr>
              <w:t>Kaina</w:t>
            </w:r>
            <w:proofErr w:type="spellEnd"/>
            <w:r w:rsidRPr="00066A51">
              <w:rPr>
                <w:b/>
                <w:bCs/>
                <w:i/>
                <w:iCs/>
                <w:lang w:val="en-GB" w:eastAsia="lt-LT"/>
              </w:rPr>
              <w:t>, </w:t>
            </w:r>
            <w:r w:rsidRPr="00066A51">
              <w:rPr>
                <w:b/>
                <w:bCs/>
                <w:lang w:val="en-GB" w:eastAsia="lt-LT"/>
              </w:rPr>
              <w:t>C</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5A043F" w14:textId="77777777" w:rsidR="00521811" w:rsidRPr="00066A51" w:rsidRDefault="00521811" w:rsidP="00342D4A">
            <w:pPr>
              <w:spacing w:after="200"/>
              <w:jc w:val="both"/>
              <w:rPr>
                <w:lang w:val="en-GB" w:eastAsia="lt-LT"/>
              </w:rPr>
            </w:pPr>
            <w:r w:rsidRPr="00066A51">
              <w:rPr>
                <w:lang w:val="en-GB" w:eastAsia="lt-LT"/>
              </w:rPr>
              <w:t>X=90</w:t>
            </w:r>
          </w:p>
        </w:tc>
      </w:tr>
      <w:tr w:rsidR="00521811" w:rsidRPr="00066A51" w14:paraId="0AFF23A0" w14:textId="77777777" w:rsidTr="00342D4A">
        <w:trPr>
          <w:trHeight w:val="386"/>
        </w:trPr>
        <w:tc>
          <w:tcPr>
            <w:tcW w:w="9361"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551478" w14:textId="77777777" w:rsidR="00521811" w:rsidRPr="00066A51" w:rsidRDefault="00521811" w:rsidP="00342D4A">
            <w:pPr>
              <w:jc w:val="center"/>
              <w:rPr>
                <w:lang w:val="en-GB" w:eastAsia="lt-LT"/>
              </w:rPr>
            </w:pPr>
            <w:proofErr w:type="spellStart"/>
            <w:r w:rsidRPr="00066A51">
              <w:rPr>
                <w:b/>
                <w:bCs/>
                <w:lang w:val="en-GB" w:eastAsia="lt-LT"/>
              </w:rPr>
              <w:t>Kokybiniai</w:t>
            </w:r>
            <w:proofErr w:type="spellEnd"/>
            <w:r w:rsidRPr="00066A51">
              <w:rPr>
                <w:b/>
                <w:bCs/>
                <w:lang w:val="en-GB" w:eastAsia="lt-LT"/>
              </w:rPr>
              <w:t xml:space="preserve"> </w:t>
            </w:r>
            <w:proofErr w:type="spellStart"/>
            <w:r w:rsidRPr="00066A51">
              <w:rPr>
                <w:b/>
                <w:bCs/>
                <w:lang w:val="en-GB" w:eastAsia="lt-LT"/>
              </w:rPr>
              <w:t>kriterijai</w:t>
            </w:r>
            <w:proofErr w:type="spellEnd"/>
          </w:p>
        </w:tc>
      </w:tr>
      <w:tr w:rsidR="00521811" w:rsidRPr="00066A51" w14:paraId="13F83573" w14:textId="77777777" w:rsidTr="00342D4A">
        <w:trPr>
          <w:trHeight w:val="761"/>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6777B" w14:textId="77777777" w:rsidR="00521811" w:rsidRPr="00066A51" w:rsidRDefault="00521811" w:rsidP="00342D4A">
            <w:pPr>
              <w:spacing w:after="200"/>
              <w:rPr>
                <w:lang w:val="en-GB" w:eastAsia="lt-LT"/>
              </w:rPr>
            </w:pPr>
            <w:r w:rsidRPr="00066A51">
              <w:rPr>
                <w:lang w:val="en-GB" w:eastAsia="lt-LT"/>
              </w:rPr>
              <w:t>2.</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229908" w14:textId="6CD5A65F" w:rsidR="00521811" w:rsidRPr="00066A51" w:rsidRDefault="00521811" w:rsidP="00342D4A">
            <w:pPr>
              <w:jc w:val="both"/>
              <w:rPr>
                <w:lang w:val="en-GB" w:eastAsia="lt-LT"/>
              </w:rPr>
            </w:pPr>
            <w:proofErr w:type="spellStart"/>
            <w:r w:rsidRPr="00521811">
              <w:rPr>
                <w:b/>
                <w:bCs/>
                <w:lang w:val="en-GB" w:eastAsia="lt-LT"/>
              </w:rPr>
              <w:t>Garantinių</w:t>
            </w:r>
            <w:proofErr w:type="spellEnd"/>
            <w:r w:rsidRPr="00521811">
              <w:rPr>
                <w:b/>
                <w:bCs/>
                <w:lang w:val="en-GB" w:eastAsia="lt-LT"/>
              </w:rPr>
              <w:t xml:space="preserve"> </w:t>
            </w:r>
            <w:proofErr w:type="spellStart"/>
            <w:r w:rsidRPr="00521811">
              <w:rPr>
                <w:b/>
                <w:bCs/>
                <w:lang w:val="en-GB" w:eastAsia="lt-LT"/>
              </w:rPr>
              <w:t>įsipareigojimų</w:t>
            </w:r>
            <w:proofErr w:type="spellEnd"/>
            <w:r w:rsidRPr="00521811">
              <w:rPr>
                <w:b/>
                <w:bCs/>
                <w:lang w:val="en-GB" w:eastAsia="lt-LT"/>
              </w:rPr>
              <w:t xml:space="preserve"> </w:t>
            </w:r>
            <w:proofErr w:type="spellStart"/>
            <w:r w:rsidRPr="00521811">
              <w:rPr>
                <w:b/>
                <w:bCs/>
                <w:lang w:val="en-GB" w:eastAsia="lt-LT"/>
              </w:rPr>
              <w:t>užtikrinimo</w:t>
            </w:r>
            <w:proofErr w:type="spellEnd"/>
            <w:r w:rsidRPr="00521811">
              <w:rPr>
                <w:b/>
                <w:bCs/>
                <w:lang w:val="en-GB" w:eastAsia="lt-LT"/>
              </w:rPr>
              <w:t xml:space="preserve"> </w:t>
            </w:r>
            <w:proofErr w:type="spellStart"/>
            <w:r w:rsidRPr="00521811">
              <w:rPr>
                <w:b/>
                <w:bCs/>
                <w:lang w:val="en-GB" w:eastAsia="lt-LT"/>
              </w:rPr>
              <w:t>pratęsimas</w:t>
            </w:r>
            <w:proofErr w:type="spellEnd"/>
            <w:r w:rsidRPr="00521811">
              <w:rPr>
                <w:b/>
                <w:bCs/>
                <w:lang w:val="en-GB" w:eastAsia="lt-LT"/>
              </w:rPr>
              <w:t xml:space="preserve"> </w:t>
            </w:r>
            <w:proofErr w:type="spellStart"/>
            <w:r w:rsidRPr="00521811">
              <w:rPr>
                <w:b/>
                <w:bCs/>
                <w:lang w:val="en-GB" w:eastAsia="lt-LT"/>
              </w:rPr>
              <w:t>prekėms</w:t>
            </w:r>
            <w:proofErr w:type="spellEnd"/>
            <w:r w:rsidRPr="00521811">
              <w:rPr>
                <w:b/>
                <w:bCs/>
                <w:lang w:val="en-GB" w:eastAsia="lt-LT"/>
              </w:rPr>
              <w:t xml:space="preserve"> po 24 </w:t>
            </w:r>
            <w:proofErr w:type="spellStart"/>
            <w:r w:rsidRPr="00521811">
              <w:rPr>
                <w:b/>
                <w:bCs/>
                <w:lang w:val="en-GB" w:eastAsia="lt-LT"/>
              </w:rPr>
              <w:t>privalomų</w:t>
            </w:r>
            <w:proofErr w:type="spellEnd"/>
            <w:r w:rsidRPr="00521811">
              <w:rPr>
                <w:b/>
                <w:bCs/>
                <w:lang w:val="en-GB" w:eastAsia="lt-LT"/>
              </w:rPr>
              <w:t xml:space="preserve"> </w:t>
            </w:r>
            <w:proofErr w:type="spellStart"/>
            <w:r w:rsidRPr="00521811">
              <w:rPr>
                <w:b/>
                <w:bCs/>
                <w:lang w:val="en-GB" w:eastAsia="lt-LT"/>
              </w:rPr>
              <w:t>mėnesių</w:t>
            </w:r>
            <w:proofErr w:type="spellEnd"/>
            <w:r w:rsidRPr="00066A51">
              <w:rPr>
                <w:b/>
                <w:bCs/>
                <w:lang w:val="en-GB" w:eastAsia="lt-LT"/>
              </w:rPr>
              <w:t>, T</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557863" w14:textId="77777777" w:rsidR="00521811" w:rsidRPr="00066A51" w:rsidRDefault="00521811" w:rsidP="00342D4A">
            <w:pPr>
              <w:spacing w:after="200"/>
              <w:jc w:val="both"/>
              <w:rPr>
                <w:lang w:val="en-GB" w:eastAsia="lt-LT"/>
              </w:rPr>
            </w:pPr>
            <w:r w:rsidRPr="00066A51">
              <w:rPr>
                <w:lang w:val="en-GB" w:eastAsia="lt-LT"/>
              </w:rPr>
              <w:t>Y=10</w:t>
            </w:r>
          </w:p>
        </w:tc>
      </w:tr>
    </w:tbl>
    <w:p w14:paraId="34273B32" w14:textId="77777777" w:rsidR="00521811" w:rsidRDefault="00521811" w:rsidP="00521811">
      <w:pPr>
        <w:jc w:val="both"/>
        <w:rPr>
          <w:b/>
          <w:sz w:val="22"/>
          <w:szCs w:val="22"/>
          <w:lang w:val="en-GB"/>
        </w:rPr>
      </w:pPr>
      <w:r>
        <w:rPr>
          <w:b/>
          <w:sz w:val="22"/>
          <w:szCs w:val="22"/>
          <w:lang w:val="en-GB"/>
        </w:rPr>
        <w:t xml:space="preserve"> </w:t>
      </w:r>
    </w:p>
    <w:p w14:paraId="6016AC67" w14:textId="77777777" w:rsidR="00521811" w:rsidRPr="00066A51" w:rsidRDefault="00521811" w:rsidP="00521811">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Ekonominis naudingumas (S) apskaičiuojamas sudedant tiekėjo pasiūlymo kainos (C) ir kitų kriterijų (T) balus:</w:t>
      </w:r>
    </w:p>
    <w:p w14:paraId="60E0D0F2" w14:textId="77777777" w:rsidR="00521811" w:rsidRPr="00066A51" w:rsidRDefault="00521811" w:rsidP="00521811">
      <w:pPr>
        <w:jc w:val="both"/>
        <w:rPr>
          <w:bCs/>
          <w:sz w:val="22"/>
          <w:szCs w:val="22"/>
          <w:lang w:val="lt-LT"/>
        </w:rPr>
      </w:pPr>
      <w:r w:rsidRPr="00066A51">
        <w:rPr>
          <w:bCs/>
          <w:sz w:val="22"/>
          <w:szCs w:val="22"/>
          <w:lang w:val="lt-LT"/>
        </w:rPr>
        <w:t>S = C+T</w:t>
      </w:r>
    </w:p>
    <w:p w14:paraId="2BBCB27A" w14:textId="77777777" w:rsidR="00521811" w:rsidRPr="00066A51" w:rsidRDefault="00521811" w:rsidP="00521811">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Pasiūlymo kainos (C) balai apskaičiuojami pagal formulę:</w:t>
      </w:r>
    </w:p>
    <w:p w14:paraId="0117AEA4" w14:textId="056DC55E" w:rsidR="00521811" w:rsidRPr="00066A51" w:rsidRDefault="00521811" w:rsidP="00521811">
      <w:pPr>
        <w:jc w:val="both"/>
        <w:rPr>
          <w:bCs/>
          <w:sz w:val="22"/>
          <w:szCs w:val="22"/>
          <w:lang w:val="lt-LT"/>
        </w:rPr>
      </w:pPr>
      <w:r w:rsidRPr="00066A51">
        <w:rPr>
          <w:bCs/>
          <w:sz w:val="22"/>
          <w:szCs w:val="22"/>
          <w:lang w:val="lt-LT"/>
        </w:rPr>
        <w:t>C = (1 - (X/</w:t>
      </w:r>
      <w:r>
        <w:rPr>
          <w:bCs/>
          <w:sz w:val="22"/>
          <w:szCs w:val="22"/>
          <w:lang w:val="lt-LT"/>
        </w:rPr>
        <w:t>510</w:t>
      </w:r>
      <w:r w:rsidRPr="00066A51">
        <w:rPr>
          <w:bCs/>
          <w:sz w:val="22"/>
          <w:szCs w:val="22"/>
          <w:lang w:val="lt-LT"/>
        </w:rPr>
        <w:t>)) * kriterijaus lyginamasis svoris,</w:t>
      </w:r>
    </w:p>
    <w:p w14:paraId="04938586" w14:textId="77777777" w:rsidR="00521811" w:rsidRPr="00066A51" w:rsidRDefault="00521811" w:rsidP="00521811">
      <w:pPr>
        <w:jc w:val="both"/>
        <w:rPr>
          <w:bCs/>
          <w:sz w:val="22"/>
          <w:szCs w:val="22"/>
          <w:lang w:val="lt-LT"/>
        </w:rPr>
      </w:pPr>
      <w:r w:rsidRPr="00066A51">
        <w:rPr>
          <w:bCs/>
          <w:sz w:val="22"/>
          <w:szCs w:val="22"/>
          <w:lang w:val="lt-LT"/>
        </w:rPr>
        <w:t xml:space="preserve">kur X yra tiekėjo pasiūlyta </w:t>
      </w:r>
      <w:r>
        <w:rPr>
          <w:bCs/>
          <w:sz w:val="22"/>
          <w:szCs w:val="22"/>
          <w:lang w:val="lt-LT"/>
        </w:rPr>
        <w:t>įrangos</w:t>
      </w:r>
      <w:r w:rsidRPr="00066A51">
        <w:rPr>
          <w:bCs/>
          <w:sz w:val="22"/>
          <w:szCs w:val="22"/>
          <w:lang w:val="lt-LT"/>
        </w:rPr>
        <w:t xml:space="preserve"> kaina (su PVM).</w:t>
      </w:r>
    </w:p>
    <w:p w14:paraId="2A762526" w14:textId="77777777" w:rsidR="00521811" w:rsidRPr="00066A51" w:rsidRDefault="00521811" w:rsidP="00521811">
      <w:pPr>
        <w:jc w:val="both"/>
        <w:rPr>
          <w:bCs/>
          <w:sz w:val="22"/>
          <w:szCs w:val="22"/>
          <w:lang w:val="lt-LT"/>
        </w:rPr>
      </w:pPr>
      <w:r w:rsidRPr="00066A51">
        <w:rPr>
          <w:bCs/>
          <w:sz w:val="22"/>
          <w:szCs w:val="22"/>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17BDC03" w14:textId="77777777" w:rsidR="00521811" w:rsidRPr="00066A51" w:rsidRDefault="00521811" w:rsidP="00521811">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Kriterijų (T) balai apskaičiuojami:</w:t>
      </w:r>
    </w:p>
    <w:p w14:paraId="57B411ED" w14:textId="77777777" w:rsidR="00521811" w:rsidRPr="00066A51" w:rsidRDefault="00521811" w:rsidP="00521811">
      <w:pPr>
        <w:jc w:val="both"/>
        <w:rPr>
          <w:bCs/>
          <w:sz w:val="22"/>
          <w:szCs w:val="22"/>
          <w:lang w:val="lt-LT"/>
        </w:rPr>
      </w:pPr>
      <w:r w:rsidRPr="00066A51">
        <w:rPr>
          <w:bCs/>
          <w:sz w:val="22"/>
          <w:szCs w:val="22"/>
          <w:lang w:val="lt-LT"/>
        </w:rPr>
        <w:t xml:space="preserve">T = </w:t>
      </w:r>
      <w:proofErr w:type="spellStart"/>
      <w:r w:rsidRPr="00066A51">
        <w:rPr>
          <w:bCs/>
          <w:sz w:val="22"/>
          <w:szCs w:val="22"/>
          <w:lang w:val="lt-LT"/>
        </w:rPr>
        <w:t>T</w:t>
      </w:r>
      <w:r w:rsidRPr="00066A51">
        <w:rPr>
          <w:bCs/>
          <w:sz w:val="22"/>
          <w:szCs w:val="22"/>
          <w:vertAlign w:val="subscript"/>
          <w:lang w:val="lt-LT"/>
        </w:rPr>
        <w:t>i</w:t>
      </w:r>
      <w:proofErr w:type="spellEnd"/>
    </w:p>
    <w:p w14:paraId="3220A773" w14:textId="77777777" w:rsidR="00521811" w:rsidRPr="00066A51" w:rsidRDefault="00521811" w:rsidP="00521811">
      <w:pPr>
        <w:jc w:val="both"/>
        <w:rPr>
          <w:bCs/>
          <w:sz w:val="22"/>
          <w:szCs w:val="22"/>
          <w:lang w:val="lt-LT"/>
        </w:rPr>
      </w:pPr>
      <w:r w:rsidRPr="00066A51">
        <w:rPr>
          <w:bCs/>
          <w:sz w:val="22"/>
          <w:szCs w:val="22"/>
          <w:lang w:val="lt-LT"/>
        </w:rPr>
        <w:t xml:space="preserve"> Kriterijui „Garantinių įsipareigojimų užtikrinimas (T) skiriami balai, atitinkamai pagal tai, kokią garantinių įsipareigojimų užtikrinimo pratęsimo galimybę siūlo tiekėjas:</w:t>
      </w:r>
    </w:p>
    <w:p w14:paraId="29C4A99D" w14:textId="77777777" w:rsidR="00521811" w:rsidRPr="00066A51" w:rsidRDefault="00521811" w:rsidP="00521811">
      <w:pPr>
        <w:jc w:val="both"/>
        <w:rPr>
          <w:bCs/>
          <w:sz w:val="22"/>
          <w:szCs w:val="22"/>
          <w:lang w:val="lt-LT"/>
        </w:rPr>
      </w:pPr>
      <w:r w:rsidRPr="00066A51">
        <w:rPr>
          <w:bCs/>
          <w:sz w:val="22"/>
          <w:szCs w:val="22"/>
          <w:lang w:val="lt-LT"/>
        </w:rPr>
        <w:t>0 balų. Nepateikta garantinių įsipareigojimų užtikrinimo pratęsimo galimybė po 24 (dvidešimt keturių) privalomų mėn.</w:t>
      </w:r>
    </w:p>
    <w:p w14:paraId="78ABC6C5" w14:textId="77777777" w:rsidR="00521811" w:rsidRPr="00066A51" w:rsidRDefault="00521811" w:rsidP="00521811">
      <w:pPr>
        <w:jc w:val="both"/>
        <w:rPr>
          <w:bCs/>
          <w:sz w:val="22"/>
          <w:szCs w:val="22"/>
          <w:lang w:val="lt-LT"/>
        </w:rPr>
      </w:pPr>
      <w:r w:rsidRPr="00066A51">
        <w:rPr>
          <w:bCs/>
          <w:sz w:val="22"/>
          <w:szCs w:val="22"/>
          <w:lang w:val="lt-LT"/>
        </w:rPr>
        <w:t>2,5 balo. Pateikta 6 mėnesių garantinių įsipareigojimų užtikrinimo pratęsimas po 24 (dvidešimt keturių) privalomų mėn.</w:t>
      </w:r>
    </w:p>
    <w:p w14:paraId="70F5727E" w14:textId="77777777" w:rsidR="00521811" w:rsidRPr="00066A51" w:rsidRDefault="00521811" w:rsidP="00521811">
      <w:pPr>
        <w:jc w:val="both"/>
        <w:rPr>
          <w:bCs/>
          <w:sz w:val="22"/>
          <w:szCs w:val="22"/>
          <w:lang w:val="lt-LT"/>
        </w:rPr>
      </w:pPr>
      <w:r w:rsidRPr="00066A51">
        <w:rPr>
          <w:bCs/>
          <w:sz w:val="22"/>
          <w:szCs w:val="22"/>
          <w:lang w:val="lt-LT"/>
        </w:rPr>
        <w:t>5 balai. Pateikta 12 mėnesių garantinių įsipareigojimų užtikrinimo pratęsimas po 24 (dvidešimt keturių) privalomų mėn.</w:t>
      </w:r>
    </w:p>
    <w:p w14:paraId="13364097" w14:textId="77777777" w:rsidR="00521811" w:rsidRPr="00066A51" w:rsidRDefault="00521811" w:rsidP="00521811">
      <w:pPr>
        <w:jc w:val="both"/>
        <w:rPr>
          <w:bCs/>
          <w:sz w:val="22"/>
          <w:szCs w:val="22"/>
          <w:lang w:val="lt-LT"/>
        </w:rPr>
      </w:pPr>
      <w:r w:rsidRPr="00066A51">
        <w:rPr>
          <w:bCs/>
          <w:sz w:val="22"/>
          <w:szCs w:val="22"/>
          <w:lang w:val="lt-LT"/>
        </w:rPr>
        <w:t>7,5 balai. Pateikta 18 mėnesių garantinių įsipareigojimų užtikrinimo pratęsimas po 24 (dvidešimt keturių) privalomų mėn.</w:t>
      </w:r>
    </w:p>
    <w:p w14:paraId="23589B3A" w14:textId="77777777" w:rsidR="00521811" w:rsidRPr="00066A51" w:rsidRDefault="00521811" w:rsidP="00521811">
      <w:pPr>
        <w:jc w:val="both"/>
        <w:rPr>
          <w:bCs/>
          <w:sz w:val="22"/>
          <w:szCs w:val="22"/>
          <w:lang w:val="lt-LT"/>
        </w:rPr>
      </w:pPr>
      <w:r w:rsidRPr="00066A51">
        <w:rPr>
          <w:bCs/>
          <w:sz w:val="22"/>
          <w:szCs w:val="22"/>
          <w:lang w:val="lt-LT"/>
        </w:rPr>
        <w:t>10 balų. Pateikta 24 mėnesių garantinių įsipareigojimų užtikrinimo pratęsimas po 24 (dvidešimt keturių) privalomų mėn.</w:t>
      </w:r>
    </w:p>
    <w:p w14:paraId="1947C6A8" w14:textId="77777777" w:rsidR="00521811" w:rsidRPr="00066A51" w:rsidRDefault="00521811" w:rsidP="00521811">
      <w:pPr>
        <w:jc w:val="both"/>
        <w:rPr>
          <w:bCs/>
          <w:sz w:val="22"/>
          <w:szCs w:val="22"/>
          <w:lang w:val="lt-LT"/>
        </w:rPr>
      </w:pPr>
      <w:r w:rsidRPr="00066A51">
        <w:rPr>
          <w:bCs/>
          <w:sz w:val="22"/>
          <w:szCs w:val="22"/>
          <w:lang w:val="lt-LT"/>
        </w:rPr>
        <w:lastRenderedPageBreak/>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71B353FB" w14:textId="77777777" w:rsidR="00521811" w:rsidRPr="00526640" w:rsidRDefault="00521811" w:rsidP="00526640">
      <w:pPr>
        <w:ind w:firstLine="720"/>
        <w:jc w:val="center"/>
        <w:rPr>
          <w:rFonts w:eastAsiaTheme="minorHAnsi"/>
          <w:b/>
          <w:sz w:val="20"/>
          <w:szCs w:val="20"/>
          <w:lang w:val="lt-LT"/>
        </w:rPr>
      </w:pPr>
    </w:p>
    <w:sectPr w:rsidR="00521811" w:rsidRPr="00526640"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3B7D" w14:textId="77777777" w:rsidR="00956195" w:rsidRDefault="00956195">
      <w:r>
        <w:separator/>
      </w:r>
    </w:p>
  </w:endnote>
  <w:endnote w:type="continuationSeparator" w:id="0">
    <w:p w14:paraId="07D51C11" w14:textId="77777777" w:rsidR="00956195" w:rsidRDefault="0095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9B32" w14:textId="77777777" w:rsidR="00956195" w:rsidRDefault="00956195">
      <w:r>
        <w:separator/>
      </w:r>
    </w:p>
  </w:footnote>
  <w:footnote w:type="continuationSeparator" w:id="0">
    <w:p w14:paraId="0F5408A8" w14:textId="77777777" w:rsidR="00956195" w:rsidRDefault="0095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E400ED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1"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7"/>
  </w:num>
  <w:num w:numId="2">
    <w:abstractNumId w:val="14"/>
  </w:num>
  <w:num w:numId="3">
    <w:abstractNumId w:val="3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num>
  <w:num w:numId="6">
    <w:abstractNumId w:val="17"/>
  </w:num>
  <w:num w:numId="7">
    <w:abstractNumId w:val="28"/>
  </w:num>
  <w:num w:numId="8">
    <w:abstractNumId w:val="31"/>
  </w:num>
  <w:num w:numId="9">
    <w:abstractNumId w:val="18"/>
  </w:num>
  <w:num w:numId="10">
    <w:abstractNumId w:val="49"/>
  </w:num>
  <w:num w:numId="11">
    <w:abstractNumId w:val="20"/>
  </w:num>
  <w:num w:numId="12">
    <w:abstractNumId w:val="26"/>
  </w:num>
  <w:num w:numId="13">
    <w:abstractNumId w:val="10"/>
  </w:num>
  <w:num w:numId="14">
    <w:abstractNumId w:val="29"/>
  </w:num>
  <w:num w:numId="15">
    <w:abstractNumId w:val="12"/>
  </w:num>
  <w:num w:numId="16">
    <w:abstractNumId w:val="27"/>
  </w:num>
  <w:num w:numId="17">
    <w:abstractNumId w:val="50"/>
  </w:num>
  <w:num w:numId="18">
    <w:abstractNumId w:val="19"/>
  </w:num>
  <w:num w:numId="19">
    <w:abstractNumId w:val="39"/>
  </w:num>
  <w:num w:numId="20">
    <w:abstractNumId w:val="22"/>
  </w:num>
  <w:num w:numId="21">
    <w:abstractNumId w:val="15"/>
  </w:num>
  <w:num w:numId="22">
    <w:abstractNumId w:val="43"/>
  </w:num>
  <w:num w:numId="23">
    <w:abstractNumId w:val="40"/>
  </w:num>
  <w:num w:numId="24">
    <w:abstractNumId w:val="34"/>
  </w:num>
  <w:num w:numId="25">
    <w:abstractNumId w:val="45"/>
  </w:num>
  <w:num w:numId="26">
    <w:abstractNumId w:val="9"/>
  </w:num>
  <w:num w:numId="27">
    <w:abstractNumId w:val="32"/>
  </w:num>
  <w:num w:numId="28">
    <w:abstractNumId w:val="46"/>
  </w:num>
  <w:num w:numId="29">
    <w:abstractNumId w:val="41"/>
  </w:num>
  <w:num w:numId="30">
    <w:abstractNumId w:val="11"/>
  </w:num>
  <w:num w:numId="31">
    <w:abstractNumId w:val="35"/>
  </w:num>
  <w:num w:numId="32">
    <w:abstractNumId w:val="33"/>
  </w:num>
  <w:num w:numId="33">
    <w:abstractNumId w:val="37"/>
  </w:num>
  <w:num w:numId="34">
    <w:abstractNumId w:val="24"/>
  </w:num>
  <w:num w:numId="35">
    <w:abstractNumId w:val="16"/>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6"/>
  </w:num>
  <w:num w:numId="42">
    <w:abstractNumId w:val="25"/>
  </w:num>
  <w:num w:numId="43">
    <w:abstractNumId w:val="13"/>
  </w:num>
  <w:num w:numId="44">
    <w:abstractNumId w:val="30"/>
  </w:num>
  <w:num w:numId="45">
    <w:abstractNumId w:val="21"/>
  </w:num>
  <w:num w:numId="4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1811"/>
    <w:rsid w:val="00523B6D"/>
    <w:rsid w:val="00526070"/>
    <w:rsid w:val="00526640"/>
    <w:rsid w:val="00527E9F"/>
    <w:rsid w:val="005325E9"/>
    <w:rsid w:val="00535C9F"/>
    <w:rsid w:val="0054703A"/>
    <w:rsid w:val="005501FE"/>
    <w:rsid w:val="00553DE9"/>
    <w:rsid w:val="005548E3"/>
    <w:rsid w:val="00561A92"/>
    <w:rsid w:val="0056778C"/>
    <w:rsid w:val="0057056A"/>
    <w:rsid w:val="00570B66"/>
    <w:rsid w:val="00571084"/>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6195"/>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66123"/>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544E4"/>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C4E28"/>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1200289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B419-7DEF-4C24-B477-137BE73E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7499</Words>
  <Characters>4275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Alius Jaskūnas</cp:lastModifiedBy>
  <cp:revision>4</cp:revision>
  <cp:lastPrinted>2022-06-01T10:49:00Z</cp:lastPrinted>
  <dcterms:created xsi:type="dcterms:W3CDTF">2026-02-10T08:01:00Z</dcterms:created>
  <dcterms:modified xsi:type="dcterms:W3CDTF">2026-02-10T08:15:00Z</dcterms:modified>
</cp:coreProperties>
</file>