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3CC3221D" w:rsidR="00D07746" w:rsidRPr="007B5443" w:rsidRDefault="00F11D07" w:rsidP="00F11D07">
                    <w:pPr>
                      <w:pStyle w:val="Betarp"/>
                      <w:spacing w:line="216" w:lineRule="auto"/>
                      <w:rPr>
                        <w:rFonts w:ascii="Times New Roman" w:eastAsiaTheme="majorEastAsia" w:hAnsi="Times New Roman" w:cs="Times New Roman"/>
                        <w:color w:val="4472C4" w:themeColor="accent1"/>
                        <w:sz w:val="24"/>
                        <w:szCs w:val="24"/>
                      </w:rPr>
                    </w:pPr>
                    <w:r w:rsidRPr="00F11D07">
                      <w:rPr>
                        <w:rFonts w:ascii="Times New Roman" w:eastAsiaTheme="majorEastAsia" w:hAnsi="Times New Roman" w:cs="Times New Roman"/>
                        <w:b/>
                        <w:bCs/>
                        <w:sz w:val="24"/>
                        <w:szCs w:val="24"/>
                      </w:rPr>
                      <w:t>PRIVAŽIAVIMO KELIO PRIE JŪŽINTŲ G. NR. 3C, 3D IR 3E, ROKIŠKYJE, STATYBOS TECHNINIO DARBO</w:t>
                    </w:r>
                    <w:r>
                      <w:rPr>
                        <w:rFonts w:ascii="Times New Roman" w:eastAsiaTheme="majorEastAsia" w:hAnsi="Times New Roman" w:cs="Times New Roman"/>
                        <w:b/>
                        <w:bCs/>
                        <w:sz w:val="24"/>
                        <w:szCs w:val="24"/>
                      </w:rPr>
                      <w:t xml:space="preserve"> </w:t>
                    </w:r>
                    <w:r w:rsidRPr="00F11D07">
                      <w:rPr>
                        <w:rFonts w:ascii="Times New Roman" w:eastAsiaTheme="majorEastAsia" w:hAnsi="Times New Roman" w:cs="Times New Roman"/>
                        <w:b/>
                        <w:bCs/>
                        <w:sz w:val="24"/>
                        <w:szCs w:val="24"/>
                      </w:rPr>
                      <w:t>PROJEKTO PARENGIMO IR PROJEKTO VYKDYMO PRIEŽIŪROS PASLAUGOS</w:t>
                    </w:r>
                    <w:r w:rsidRPr="00F11D07">
                      <w:rPr>
                        <w:rFonts w:ascii="Times New Roman" w:eastAsiaTheme="majorEastAsia" w:hAnsi="Times New Roman" w:cs="Times New Roman"/>
                        <w:b/>
                        <w:bC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lastRenderedPageBreak/>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w:t>
      </w:r>
      <w:r w:rsidRPr="007B5443">
        <w:rPr>
          <w:rFonts w:ascii="Times New Roman" w:hAnsi="Times New Roman" w:cs="Times New Roman"/>
          <w:sz w:val="24"/>
          <w:szCs w:val="24"/>
        </w:rPr>
        <w:lastRenderedPageBreak/>
        <w:t xml:space="preserve">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7B544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739B" w14:textId="77777777" w:rsidR="00071E21" w:rsidRDefault="00071E21" w:rsidP="00D05666">
      <w:r>
        <w:separator/>
      </w:r>
    </w:p>
  </w:endnote>
  <w:endnote w:type="continuationSeparator" w:id="0">
    <w:p w14:paraId="5628AE01" w14:textId="77777777" w:rsidR="00071E21" w:rsidRDefault="00071E21" w:rsidP="00D05666">
      <w:r>
        <w:continuationSeparator/>
      </w:r>
    </w:p>
  </w:endnote>
  <w:endnote w:type="continuationNotice" w:id="1">
    <w:p w14:paraId="61338C85" w14:textId="77777777" w:rsidR="00071E21" w:rsidRDefault="00071E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D2B6" w14:textId="77777777" w:rsidR="00071E21" w:rsidRDefault="00071E21" w:rsidP="00D05666">
      <w:r>
        <w:separator/>
      </w:r>
    </w:p>
  </w:footnote>
  <w:footnote w:type="continuationSeparator" w:id="0">
    <w:p w14:paraId="2E907180" w14:textId="77777777" w:rsidR="00071E21" w:rsidRDefault="00071E21" w:rsidP="00D05666">
      <w:r>
        <w:continuationSeparator/>
      </w:r>
    </w:p>
  </w:footnote>
  <w:footnote w:type="continuationNotice" w:id="1">
    <w:p w14:paraId="3749ED38" w14:textId="77777777" w:rsidR="00071E21" w:rsidRDefault="00071E2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D6DEBEE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E21"/>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06"/>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6F"/>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467"/>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105"/>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1F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26"/>
    <w:rsid w:val="004C29F1"/>
    <w:rsid w:val="004C2BA0"/>
    <w:rsid w:val="004C2EAD"/>
    <w:rsid w:val="004C3894"/>
    <w:rsid w:val="004C3CAB"/>
    <w:rsid w:val="004C3DF6"/>
    <w:rsid w:val="004C40E5"/>
    <w:rsid w:val="004C4178"/>
    <w:rsid w:val="004C42C8"/>
    <w:rsid w:val="004C4413"/>
    <w:rsid w:val="004C4B0D"/>
    <w:rsid w:val="004C4E7F"/>
    <w:rsid w:val="004C533D"/>
    <w:rsid w:val="004C54E0"/>
    <w:rsid w:val="004C70A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5D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81E"/>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0BA"/>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5EB9"/>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07"/>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9AD"/>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0F"/>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07"/>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364"/>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82467"/>
    <w:rsid w:val="002A3887"/>
    <w:rsid w:val="002F626E"/>
    <w:rsid w:val="00395C7C"/>
    <w:rsid w:val="003A1E59"/>
    <w:rsid w:val="00400390"/>
    <w:rsid w:val="004674D2"/>
    <w:rsid w:val="00475F4D"/>
    <w:rsid w:val="00485E2C"/>
    <w:rsid w:val="004C2926"/>
    <w:rsid w:val="004C2BA0"/>
    <w:rsid w:val="005625D8"/>
    <w:rsid w:val="00574E40"/>
    <w:rsid w:val="00594ABB"/>
    <w:rsid w:val="005F2398"/>
    <w:rsid w:val="006252C2"/>
    <w:rsid w:val="006A23CE"/>
    <w:rsid w:val="006A760E"/>
    <w:rsid w:val="006B5500"/>
    <w:rsid w:val="006C1995"/>
    <w:rsid w:val="007B3F53"/>
    <w:rsid w:val="008641DC"/>
    <w:rsid w:val="00902E29"/>
    <w:rsid w:val="00951837"/>
    <w:rsid w:val="009E59CD"/>
    <w:rsid w:val="00A04660"/>
    <w:rsid w:val="00A7767E"/>
    <w:rsid w:val="00A8439B"/>
    <w:rsid w:val="00A900C1"/>
    <w:rsid w:val="00AC5AA8"/>
    <w:rsid w:val="00B643E0"/>
    <w:rsid w:val="00BF2A58"/>
    <w:rsid w:val="00C05394"/>
    <w:rsid w:val="00CA42B0"/>
    <w:rsid w:val="00CF63A1"/>
    <w:rsid w:val="00D413D5"/>
    <w:rsid w:val="00D62AFB"/>
    <w:rsid w:val="00EF169C"/>
    <w:rsid w:val="00F56364"/>
    <w:rsid w:val="00F67B5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33347</Words>
  <Characters>19009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PRIVAŽIAVIMO KELIO PRIE JŪŽINTŲ G. NR. 3C, 3D IR 3E, ROKIŠKYJE, STATYBOS TECHNINIO DARBO PROJEKTO PARENGIMO IR PROJEKTO VYKDYMO PRIEŽIŪROS PASLAUGOS“ SKELBIAMOS APKLAUSOS BENDROSIOS SĄLYGOS</dc:title>
  <dc:subject>2024-12 versija, skelbiama https://vpt.lrv.lt/</dc:subject>
  <dc:creator>Asta Šimkuvienė</dc:creator>
  <cp:keywords/>
  <dc:description/>
  <cp:lastModifiedBy>Dalia Bulovienė</cp:lastModifiedBy>
  <cp:revision>2</cp:revision>
  <dcterms:created xsi:type="dcterms:W3CDTF">2026-01-20T12:37:00Z</dcterms:created>
  <dcterms:modified xsi:type="dcterms:W3CDTF">2026-01-20T12:37:00Z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