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14268AC" w14:textId="77777777" w:rsidR="00966A38" w:rsidRPr="00C81A2C" w:rsidRDefault="00966A38" w:rsidP="00966A38">
          <w:pPr>
            <w:spacing w:after="120" w:line="240" w:lineRule="auto"/>
            <w:ind w:left="567" w:firstLine="0"/>
            <w:contextualSpacing/>
            <w:jc w:val="center"/>
            <w:rPr>
              <w:rFonts w:cstheme="minorHAnsi"/>
              <w:b/>
              <w:bCs/>
              <w:sz w:val="28"/>
              <w:szCs w:val="28"/>
            </w:rPr>
          </w:pPr>
          <w:r>
            <w:rPr>
              <w:rFonts w:cstheme="minorHAnsi"/>
              <w:b/>
              <w:bCs/>
              <w:sz w:val="28"/>
              <w:szCs w:val="28"/>
            </w:rPr>
            <w:t>B</w:t>
          </w:r>
          <w:r w:rsidRPr="00C81A2C">
            <w:rPr>
              <w:rFonts w:cstheme="minorHAnsi"/>
              <w:b/>
              <w:bCs/>
              <w:sz w:val="28"/>
              <w:szCs w:val="28"/>
            </w:rPr>
            <w:t xml:space="preserve">Į „KLAIPĖDOS </w:t>
          </w:r>
          <w:r>
            <w:rPr>
              <w:rFonts w:cstheme="minorHAnsi"/>
              <w:b/>
              <w:bCs/>
              <w:sz w:val="28"/>
              <w:szCs w:val="28"/>
            </w:rPr>
            <w:t>PAPLŪDIMIAI</w:t>
          </w:r>
          <w:r w:rsidRPr="00C81A2C">
            <w:rPr>
              <w:rFonts w:cstheme="minorHAnsi"/>
              <w:b/>
              <w:bCs/>
              <w:sz w:val="28"/>
              <w:szCs w:val="28"/>
            </w:rPr>
            <w:t xml:space="preserve">“ </w:t>
          </w:r>
        </w:p>
        <w:p w14:paraId="69D6E17A" w14:textId="77777777" w:rsidR="00133CA7" w:rsidRPr="00041762" w:rsidRDefault="00133CA7" w:rsidP="001912E2">
          <w:pPr>
            <w:spacing w:after="120" w:line="240" w:lineRule="auto"/>
            <w:ind w:left="567" w:firstLine="0"/>
            <w:contextualSpacing/>
            <w:jc w:val="center"/>
            <w:rPr>
              <w:rFonts w:cstheme="minorHAnsi"/>
              <w:sz w:val="28"/>
              <w:szCs w:val="28"/>
            </w:rPr>
          </w:pP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5FDE0577"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DF7A4F" w:rsidRPr="007D55B8">
            <w:rPr>
              <w:rFonts w:cstheme="minorHAnsi"/>
              <w:b/>
              <w:bCs/>
              <w:sz w:val="28"/>
              <w:szCs w:val="28"/>
            </w:rPr>
            <w:t>ATLIEKŲ RŪŠIAVIMO KONTEINERIAI</w:t>
          </w:r>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4BFC9890"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731C7277" w14:textId="6B5B5F40" w:rsidR="00EB6CD6" w:rsidRDefault="00BB1BE5">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256025CF" w14:textId="698754F6" w:rsidR="00EB6CD6" w:rsidRDefault="00BB1BE5">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7497434C" w14:textId="4F22BFF3" w:rsidR="00EB6CD6" w:rsidRDefault="00BB1BE5">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69FDB74A" w14:textId="16AD57D3" w:rsidR="00EB6CD6" w:rsidRDefault="00BB1BE5">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456D7550" w14:textId="3DF11C12" w:rsidR="00EB6CD6" w:rsidRDefault="00BB1BE5">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133A5954" w14:textId="44FD4480" w:rsidR="00EB6CD6" w:rsidRDefault="00BB1BE5">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4081A822" w14:textId="16AB01EC" w:rsidR="00EB6CD6" w:rsidRDefault="00BB1BE5">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491BF82B" w14:textId="69BE5787" w:rsidR="00EB6CD6" w:rsidRDefault="00BB1BE5">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41003">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42092E0F" w:rsidR="00F969AB" w:rsidRPr="00041762" w:rsidRDefault="00F969AB" w:rsidP="00AF6E59">
          <w:pPr>
            <w:rPr>
              <w:rFonts w:cstheme="minorHAnsi"/>
              <w:color w:val="4472C4" w:themeColor="accent1"/>
            </w:rPr>
          </w:pPr>
          <w:r>
            <w:rPr>
              <w:rFonts w:cstheme="minorHAnsi"/>
            </w:rPr>
            <w:t>6</w:t>
          </w:r>
          <w:r w:rsidRPr="00AA05AD">
            <w:rPr>
              <w:rFonts w:cstheme="minorHAnsi"/>
            </w:rPr>
            <w:t xml:space="preserve"> priedas </w:t>
          </w:r>
          <w:r>
            <w:rPr>
              <w:rFonts w:cstheme="minorHAnsi"/>
            </w:rPr>
            <w:t xml:space="preserve">- </w:t>
          </w:r>
          <w:r w:rsidRPr="00AA05AD">
            <w:rPr>
              <w:rFonts w:cstheme="minorHAnsi"/>
            </w:rPr>
            <w:t>Tiekėjų kvalifikacijos reikalavimai ir reikalaujami kokybės bei aplinkos apsaugos vadybos sistemų standartai</w:t>
          </w:r>
          <w:r>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BB1BE5"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1F53EC1" w:rsidR="00FB3C75" w:rsidRPr="00141003" w:rsidRDefault="0048754A" w:rsidP="00137E8D">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bookmarkStart w:id="9" w:name="_Hlk199407014"/>
      <w:r w:rsidR="00137E8D" w:rsidRPr="00141003">
        <w:rPr>
          <w:rFonts w:cstheme="minorHAnsi"/>
          <w:b/>
          <w:bCs/>
        </w:rPr>
        <w:t>BĮ „</w:t>
      </w:r>
      <w:r w:rsidR="00FC63B8" w:rsidRPr="00141003">
        <w:rPr>
          <w:rFonts w:cstheme="minorHAnsi"/>
          <w:b/>
          <w:bCs/>
        </w:rPr>
        <w:t xml:space="preserve">Klaipėdos </w:t>
      </w:r>
      <w:bookmarkEnd w:id="9"/>
      <w:r w:rsidR="00137E8D" w:rsidRPr="00141003">
        <w:rPr>
          <w:rFonts w:cstheme="minorHAnsi"/>
          <w:b/>
          <w:bCs/>
        </w:rPr>
        <w:t>paplūdimiai“</w:t>
      </w:r>
      <w:r w:rsidR="00FB3C75" w:rsidRPr="00141003">
        <w:rPr>
          <w:rFonts w:cstheme="minorHAnsi"/>
          <w:b/>
          <w:bCs/>
        </w:rPr>
        <w:t>,</w:t>
      </w:r>
      <w:r w:rsidR="00FB3C75" w:rsidRPr="00141003">
        <w:rPr>
          <w:rFonts w:cstheme="minorHAnsi"/>
        </w:rPr>
        <w:t xml:space="preserve"> juridinio asmens kodas </w:t>
      </w:r>
      <w:r w:rsidR="00BB1BE5" w:rsidRPr="00BB1BE5">
        <w:rPr>
          <w:rFonts w:cstheme="minorHAnsi"/>
        </w:rPr>
        <w:t>141892739</w:t>
      </w:r>
      <w:r w:rsidR="00FB3C75" w:rsidRPr="00141003">
        <w:rPr>
          <w:rFonts w:cstheme="minorHAnsi"/>
        </w:rPr>
        <w:t xml:space="preserve">, adresas </w:t>
      </w:r>
      <w:r w:rsidR="00137E8D" w:rsidRPr="00141003">
        <w:rPr>
          <w:rFonts w:cstheme="minorHAnsi"/>
        </w:rPr>
        <w:t xml:space="preserve">Garažų g. 6, LT-92101 Klaipėda, tel. </w:t>
      </w:r>
      <w:r w:rsidR="00BB1BE5" w:rsidRPr="005376AC">
        <w:rPr>
          <w:szCs w:val="24"/>
        </w:rPr>
        <w:t>+370</w:t>
      </w:r>
      <w:r w:rsidR="00BB1BE5">
        <w:rPr>
          <w:szCs w:val="24"/>
        </w:rPr>
        <w:t xml:space="preserve"> </w:t>
      </w:r>
      <w:r w:rsidR="00BB1BE5" w:rsidRPr="005376AC">
        <w:rPr>
          <w:szCs w:val="24"/>
        </w:rPr>
        <w:t>46</w:t>
      </w:r>
      <w:r w:rsidR="00BB1BE5">
        <w:rPr>
          <w:szCs w:val="24"/>
        </w:rPr>
        <w:t> </w:t>
      </w:r>
      <w:r w:rsidR="00BB1BE5" w:rsidRPr="005376AC">
        <w:rPr>
          <w:szCs w:val="24"/>
        </w:rPr>
        <w:t>402</w:t>
      </w:r>
      <w:r w:rsidR="00BB1BE5">
        <w:rPr>
          <w:szCs w:val="24"/>
        </w:rPr>
        <w:t xml:space="preserve"> </w:t>
      </w:r>
      <w:r w:rsidR="00BB1BE5" w:rsidRPr="005376AC">
        <w:rPr>
          <w:szCs w:val="24"/>
        </w:rPr>
        <w:t>728</w:t>
      </w:r>
      <w:r w:rsidR="00137E8D" w:rsidRPr="00141003">
        <w:rPr>
          <w:rFonts w:cstheme="minorHAnsi"/>
        </w:rPr>
        <w:t>,</w:t>
      </w:r>
      <w:r w:rsidR="00BB1BE5">
        <w:rPr>
          <w:rFonts w:cstheme="minorHAnsi"/>
        </w:rPr>
        <w:t xml:space="preserve"> </w:t>
      </w:r>
      <w:r w:rsidR="00137E8D" w:rsidRPr="00141003">
        <w:rPr>
          <w:rFonts w:cstheme="minorHAnsi"/>
        </w:rPr>
        <w:t xml:space="preserve">Klaipėda, el. p. </w:t>
      </w:r>
      <w:proofErr w:type="spellStart"/>
      <w:r w:rsidR="00137E8D" w:rsidRPr="00141003">
        <w:rPr>
          <w:rFonts w:cstheme="minorHAnsi"/>
        </w:rPr>
        <w:t>info@klpp.lt</w:t>
      </w:r>
      <w:proofErr w:type="spellEnd"/>
      <w:r w:rsidR="00137E8D" w:rsidRPr="00141003">
        <w:rPr>
          <w:rFonts w:cstheme="minorHAnsi"/>
        </w:rPr>
        <w:t>,</w:t>
      </w:r>
      <w:r w:rsidR="00FB3C75" w:rsidRPr="00141003">
        <w:rPr>
          <w:rFonts w:cstheme="minorHAnsi"/>
        </w:rPr>
        <w:t xml:space="preserve"> </w:t>
      </w:r>
      <w:r w:rsidR="4A61FFE7" w:rsidRPr="00141003">
        <w:rPr>
          <w:rFonts w:cstheme="minorHAnsi"/>
        </w:rPr>
        <w:t>P</w:t>
      </w:r>
      <w:r w:rsidR="00020176" w:rsidRPr="00141003">
        <w:rPr>
          <w:rFonts w:cstheme="minorHAnsi"/>
        </w:rPr>
        <w:t>erkančioji organizacija</w:t>
      </w:r>
      <w:r w:rsidR="00FB3C75" w:rsidRPr="00141003">
        <w:rPr>
          <w:rFonts w:cstheme="minorHAnsi"/>
        </w:rPr>
        <w:t xml:space="preserve"> </w:t>
      </w:r>
      <w:r w:rsidR="00E17109" w:rsidRPr="00141003">
        <w:rPr>
          <w:rFonts w:cstheme="minorHAnsi"/>
        </w:rPr>
        <w:t xml:space="preserve">nėra </w:t>
      </w:r>
      <w:r w:rsidR="00FB3C75" w:rsidRPr="00141003">
        <w:rPr>
          <w:rFonts w:cstheme="minorHAnsi"/>
        </w:rPr>
        <w:t>PVM mokėtoja.</w:t>
      </w:r>
    </w:p>
    <w:p w14:paraId="267D0699" w14:textId="77777777" w:rsidR="00AE3FA7" w:rsidRPr="00AE3FA7" w:rsidRDefault="00FB3C75" w:rsidP="00833A0E">
      <w:pPr>
        <w:pStyle w:val="Sraopastraipa"/>
        <w:numPr>
          <w:ilvl w:val="1"/>
          <w:numId w:val="8"/>
        </w:numPr>
        <w:spacing w:line="240" w:lineRule="auto"/>
        <w:ind w:left="0" w:firstLine="710"/>
        <w:rPr>
          <w:rFonts w:cstheme="minorHAnsi"/>
        </w:rPr>
      </w:pPr>
      <w:bookmarkStart w:id="10" w:name="_Hlk199407057"/>
      <w:r w:rsidRPr="00141003">
        <w:rPr>
          <w:rFonts w:eastAsia="Calibri" w:cstheme="minorHAnsi"/>
        </w:rPr>
        <w:t xml:space="preserve">Pirkimą </w:t>
      </w:r>
      <w:r w:rsidR="00E02035" w:rsidRPr="00141003">
        <w:rPr>
          <w:rFonts w:cstheme="minorHAnsi"/>
        </w:rPr>
        <w:t xml:space="preserve">perkančiosios organizacijos </w:t>
      </w:r>
      <w:r w:rsidRPr="00141003">
        <w:rPr>
          <w:rFonts w:eastAsia="Calibri" w:cstheme="minorHAnsi"/>
        </w:rPr>
        <w:t>vardu atlieka</w:t>
      </w:r>
      <w:r w:rsidR="007034D1" w:rsidRPr="00141003">
        <w:rPr>
          <w:rFonts w:eastAsia="Calibri" w:cstheme="minorHAnsi"/>
        </w:rPr>
        <w:t xml:space="preserve"> centrinė perkančioji organizacija: </w:t>
      </w:r>
      <w:r w:rsidR="00E17109" w:rsidRPr="00141003">
        <w:rPr>
          <w:rFonts w:eastAsia="Calibri" w:cstheme="minorHAnsi"/>
        </w:rPr>
        <w:t>Klaipėdos miesto savivaldybės administracija</w:t>
      </w:r>
      <w:bookmarkEnd w:id="10"/>
      <w:r w:rsidRPr="00141003">
        <w:rPr>
          <w:rFonts w:eastAsia="Calibri" w:cstheme="minorHAnsi"/>
        </w:rPr>
        <w:t xml:space="preserve">, juridinio asmens kodas </w:t>
      </w:r>
      <w:r w:rsidR="00E17109" w:rsidRPr="00141003">
        <w:rPr>
          <w:rFonts w:eastAsia="Calibri" w:cstheme="minorHAnsi"/>
        </w:rPr>
        <w:t>188710823</w:t>
      </w:r>
      <w:r w:rsidRPr="00141003">
        <w:rPr>
          <w:rFonts w:eastAsia="Calibri" w:cstheme="minorHAnsi"/>
        </w:rPr>
        <w:t xml:space="preserve">, adresas </w:t>
      </w:r>
      <w:r w:rsidR="00E17109" w:rsidRPr="00141003">
        <w:rPr>
          <w:rFonts w:eastAsia="Calibri" w:cstheme="minorHAnsi"/>
        </w:rPr>
        <w:t>Liepų g. 11, 91502 Klaipėda</w:t>
      </w:r>
      <w:r w:rsidRPr="00141003">
        <w:rPr>
          <w:rFonts w:eastAsia="Calibri" w:cstheme="minorHAns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p>
    <w:p w14:paraId="43304316" w14:textId="7F7A83E1" w:rsidR="00020DD7" w:rsidRPr="00905F9E" w:rsidRDefault="0022704F" w:rsidP="00833A0E">
      <w:pPr>
        <w:pStyle w:val="Sraopastraipa"/>
        <w:numPr>
          <w:ilvl w:val="1"/>
          <w:numId w:val="8"/>
        </w:numPr>
        <w:spacing w:line="240" w:lineRule="auto"/>
        <w:ind w:left="0" w:firstLine="710"/>
        <w:rPr>
          <w:rFonts w:cstheme="minorHAnsi"/>
        </w:rPr>
      </w:pPr>
      <w:r w:rsidRPr="0022704F">
        <w:rPr>
          <w:rFonts w:eastAsia="Calibri" w:cstheme="minorHAnsi"/>
          <w:iCs/>
        </w:rPr>
        <w:t xml:space="preserve">Perkančiosios organizacijos ir CPO kontaktiniai asmenys: </w:t>
      </w:r>
      <w:r w:rsidRPr="0022704F">
        <w:rPr>
          <w:rFonts w:eastAsia="Calibri" w:cstheme="minorHAnsi"/>
          <w:b/>
        </w:rPr>
        <w:t>dėl klausimų, susijusių su pirkimo objektu</w:t>
      </w:r>
      <w:r w:rsidR="00017B4C">
        <w:rPr>
          <w:rFonts w:eastAsia="Calibri" w:cstheme="minorHAnsi"/>
          <w:b/>
        </w:rPr>
        <w:t xml:space="preserve"> ir</w:t>
      </w:r>
      <w:r w:rsidRPr="0022704F">
        <w:rPr>
          <w:rFonts w:eastAsia="Calibri" w:cstheme="minorHAnsi"/>
        </w:rPr>
        <w:t xml:space="preserve"> </w:t>
      </w:r>
      <w:r w:rsidRPr="0022704F">
        <w:rPr>
          <w:rFonts w:eastAsia="Calibri" w:cstheme="minorHAnsi"/>
          <w:b/>
          <w:bCs/>
        </w:rPr>
        <w:t xml:space="preserve">dėl klausimų, susijusių su viešojo pirkimo procedūromis – </w:t>
      </w:r>
      <w:r w:rsidRPr="0022704F">
        <w:rPr>
          <w:rFonts w:eastAsia="Calibri" w:cstheme="minorHAnsi"/>
        </w:rPr>
        <w:t xml:space="preserve">Klaipėdos miesto savivaldybės administracijos </w:t>
      </w:r>
      <w:r w:rsidRPr="0022704F">
        <w:rPr>
          <w:rFonts w:eastAsia="Calibri" w:cstheme="minorHAnsi"/>
          <w:bCs/>
        </w:rPr>
        <w:t xml:space="preserve">Viešųjų pirkimų skyriaus vyriausioji specialistė </w:t>
      </w:r>
      <w:r>
        <w:rPr>
          <w:rFonts w:eastAsia="Calibri" w:cstheme="minorHAnsi"/>
          <w:bCs/>
        </w:rPr>
        <w:t>Sonata Gylienė</w:t>
      </w:r>
      <w:r w:rsidRPr="0022704F">
        <w:rPr>
          <w:rFonts w:eastAsia="Calibri" w:cstheme="minorHAnsi"/>
          <w:bCs/>
        </w:rPr>
        <w:t xml:space="preserve"> </w:t>
      </w:r>
      <w:r w:rsidRPr="0022704F">
        <w:rPr>
          <w:rFonts w:eastAsia="Calibri" w:cstheme="minorHAnsi"/>
        </w:rPr>
        <w:t xml:space="preserve">tel. (0 46) </w:t>
      </w:r>
      <w:r>
        <w:rPr>
          <w:rFonts w:eastAsia="Calibri" w:cstheme="minorHAnsi"/>
        </w:rPr>
        <w:t>3</w:t>
      </w:r>
      <w:r w:rsidRPr="0022704F">
        <w:rPr>
          <w:rFonts w:eastAsia="Calibri" w:cstheme="minorHAnsi"/>
        </w:rPr>
        <w:t xml:space="preserve">4 </w:t>
      </w:r>
      <w:r>
        <w:rPr>
          <w:rFonts w:eastAsia="Calibri" w:cstheme="minorHAnsi"/>
        </w:rPr>
        <w:t>22</w:t>
      </w:r>
      <w:r w:rsidRPr="0022704F">
        <w:rPr>
          <w:rFonts w:eastAsia="Calibri" w:cstheme="minorHAnsi"/>
        </w:rPr>
        <w:t xml:space="preserve"> 5</w:t>
      </w:r>
      <w:r>
        <w:rPr>
          <w:rFonts w:eastAsia="Calibri" w:cstheme="minorHAnsi"/>
        </w:rPr>
        <w:t>2</w:t>
      </w:r>
      <w:r w:rsidRPr="0022704F">
        <w:rPr>
          <w:rFonts w:eastAsia="Calibri" w:cstheme="minorHAnsi"/>
        </w:rPr>
        <w:t xml:space="preserve">, el. p. </w:t>
      </w:r>
      <w:proofErr w:type="spellStart"/>
      <w:r>
        <w:rPr>
          <w:rFonts w:eastAsia="Calibri" w:cstheme="minorHAnsi"/>
        </w:rPr>
        <w:t>sonata.gyliene</w:t>
      </w:r>
      <w:proofErr w:type="spellEnd"/>
      <w:r>
        <w:rPr>
          <w:rFonts w:eastAsia="Calibri" w:cstheme="minorHAnsi"/>
          <w:lang w:val="en-US"/>
        </w:rPr>
        <w:t>@klaipeda.lt</w:t>
      </w:r>
      <w:r>
        <w:rPr>
          <w:rFonts w:eastAsia="Calibri" w:cstheme="minorHAnsi"/>
        </w:rPr>
        <w:t>.</w:t>
      </w:r>
    </w:p>
    <w:p w14:paraId="5E2D2E8C" w14:textId="2D225FB8" w:rsidR="00133CA7" w:rsidRPr="004939D6"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AE3FA7">
        <w:rPr>
          <w:rFonts w:cstheme="minorHAnsi"/>
          <w:color w:val="000000" w:themeColor="text1"/>
        </w:rPr>
        <w:t xml:space="preserve"> </w:t>
      </w:r>
      <w:r w:rsidR="00AE3FA7" w:rsidRPr="00AE3FA7">
        <w:rPr>
          <w:rFonts w:cstheme="minorHAnsi"/>
          <w:color w:val="000000" w:themeColor="text1"/>
        </w:rPr>
        <w:t>(toliau – CPO LT),</w:t>
      </w:r>
      <w:r w:rsidRPr="004939D6">
        <w:rPr>
          <w:rFonts w:cstheme="minorHAnsi"/>
          <w:color w:val="000000" w:themeColor="text1"/>
        </w:rPr>
        <w:t xml:space="preserve"> nes </w:t>
      </w:r>
      <w:r w:rsidR="00AE3FA7" w:rsidRPr="00AE3FA7">
        <w:rPr>
          <w:rFonts w:cstheme="minorHAnsi"/>
          <w:color w:val="000000" w:themeColor="text1"/>
        </w:rPr>
        <w:t>CPO LT kataloge nėra perkamo objekto.</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1047F85F" w:rsidR="0048754A" w:rsidRPr="00141003" w:rsidRDefault="00D459E3" w:rsidP="00CD4C47">
      <w:pPr>
        <w:pStyle w:val="Sraopastraipa"/>
        <w:numPr>
          <w:ilvl w:val="1"/>
          <w:numId w:val="8"/>
        </w:numPr>
        <w:tabs>
          <w:tab w:val="left" w:pos="710"/>
        </w:tabs>
        <w:spacing w:line="240" w:lineRule="auto"/>
        <w:ind w:left="0" w:firstLine="710"/>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D4C47">
        <w:rPr>
          <w:rFonts w:cstheme="minorHAnsi"/>
        </w:rPr>
        <w:t xml:space="preserve">4.4.1.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w:t>
      </w:r>
      <w:r w:rsidRPr="00141003">
        <w:t>nustatyti</w:t>
      </w:r>
      <w:r w:rsidR="00CD4C47" w:rsidRPr="00141003">
        <w:t>, 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1" w:name="_Hlk163547301"/>
      <w:r w:rsidR="0048754A" w:rsidRPr="0048754A">
        <w:t>netaikomi.</w:t>
      </w:r>
    </w:p>
    <w:bookmarkEnd w:id="11"/>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53A20554"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70EC5" w:rsidRPr="00870EC5">
        <w:rPr>
          <w:rFonts w:eastAsia="Calibri" w:cstheme="minorHAnsi"/>
          <w:b/>
          <w:bCs/>
          <w:color w:val="000000" w:themeColor="text1"/>
        </w:rPr>
        <w:t>atliekų rūšiavimo konteinerius</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49117D58" w14:textId="49A70E7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į dalis </w:t>
      </w:r>
      <w:r w:rsidR="00FB3C75" w:rsidRPr="00861213">
        <w:rPr>
          <w:rFonts w:cstheme="minorHAnsi"/>
          <w:b/>
          <w:bCs/>
        </w:rPr>
        <w:t>neskaidomas</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p>
    <w:p w14:paraId="2B9FCCA2" w14:textId="1964153D"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w:t>
      </w:r>
      <w:r w:rsidR="00AC40E5" w:rsidRPr="00AC40E5">
        <w:rPr>
          <w:rFonts w:cstheme="minorHAnsi"/>
        </w:rPr>
        <w:t>ar kituose pirkimo dokumentuose</w:t>
      </w:r>
      <w:r w:rsidR="00AC40E5">
        <w:rPr>
          <w:rFonts w:cstheme="minorHAnsi"/>
        </w:rPr>
        <w:t xml:space="preserve"> </w:t>
      </w:r>
      <w:r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0099E5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C40E5" w:rsidRPr="00AC40E5">
        <w:t xml:space="preserve"> </w:t>
      </w:r>
      <w:r w:rsidR="00AC40E5" w:rsidRPr="00AC40E5">
        <w:rPr>
          <w:rFonts w:cstheme="minorHAnsi"/>
        </w:rPr>
        <w:t>ar kituose 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5274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8D6C5C">
      <w:pPr>
        <w:pStyle w:val="Sraopastraipa"/>
        <w:numPr>
          <w:ilvl w:val="1"/>
          <w:numId w:val="7"/>
        </w:numPr>
        <w:spacing w:line="240" w:lineRule="auto"/>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31B8F6B0"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61213">
        <w:rPr>
          <w:rFonts w:cstheme="minorHAnsi"/>
        </w:rPr>
        <w:t>3</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jo priedai</w:t>
      </w:r>
      <w:r w:rsidR="00EB055F">
        <w:rPr>
          <w:rFonts w:cstheme="minorHAnsi"/>
        </w:rPr>
        <w:t>;</w:t>
      </w:r>
    </w:p>
    <w:p w14:paraId="09B8C61D" w14:textId="713AEE8D" w:rsidR="00DA7529" w:rsidRPr="00FF7DBC" w:rsidRDefault="00141003" w:rsidP="00141003">
      <w:pPr>
        <w:pStyle w:val="Sraopastraipa"/>
        <w:numPr>
          <w:ilvl w:val="2"/>
          <w:numId w:val="7"/>
        </w:numPr>
        <w:tabs>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141003">
      <w:pPr>
        <w:pStyle w:val="Sraopastraipa"/>
        <w:numPr>
          <w:ilvl w:val="2"/>
          <w:numId w:val="7"/>
        </w:numPr>
        <w:tabs>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25D9F15F" w:rsidR="00521A8B" w:rsidRDefault="00CF190A" w:rsidP="00962A36">
      <w:pPr>
        <w:pStyle w:val="Sraopastraipa"/>
        <w:numPr>
          <w:ilvl w:val="2"/>
          <w:numId w:val="7"/>
        </w:numPr>
        <w:spacing w:line="240" w:lineRule="auto"/>
        <w:rPr>
          <w:rFonts w:cstheme="minorHAnsi"/>
        </w:rPr>
      </w:pPr>
      <w:r w:rsidRPr="00962A36">
        <w:rPr>
          <w:rFonts w:cstheme="minorHAnsi"/>
        </w:rPr>
        <w:t>užpildyta Techninė specifikacija pagal pirkimo sąlygų 1 priedą.</w:t>
      </w:r>
    </w:p>
    <w:p w14:paraId="3A5389E6" w14:textId="65C14FA5" w:rsidR="00962A36" w:rsidRPr="00141003" w:rsidRDefault="00962A36" w:rsidP="00141003">
      <w:pPr>
        <w:pStyle w:val="Sraopastraipa"/>
        <w:numPr>
          <w:ilvl w:val="2"/>
          <w:numId w:val="7"/>
        </w:numPr>
        <w:tabs>
          <w:tab w:val="left" w:pos="1418"/>
        </w:tabs>
        <w:spacing w:line="240" w:lineRule="auto"/>
        <w:ind w:left="0" w:firstLine="709"/>
        <w:rPr>
          <w:rFonts w:cstheme="minorHAnsi"/>
        </w:rPr>
      </w:pPr>
      <w:r w:rsidRPr="00141003">
        <w:rPr>
          <w:rFonts w:cstheme="minorHAnsi"/>
          <w:b/>
          <w:bCs/>
        </w:rPr>
        <w:t>prekės atitikimą patvirtinantys dokumentai, techninė dokumentacija (katalogai, brošiūros) ir/ar prekės gamintojo deklaracijos (jei gamintojo techninėje dokumentacijoje neišsamiai atsispindi siūlomos prekės atitikimas techninės specifikacijos reikalavimams</w:t>
      </w:r>
      <w:r w:rsidRPr="00141003">
        <w:rPr>
          <w:rFonts w:cstheme="minorHAnsi"/>
        </w:rPr>
        <w:t>)</w:t>
      </w:r>
      <w:r w:rsidR="00B75D23" w:rsidRPr="00141003">
        <w:rPr>
          <w:rFonts w:cstheme="minorHAnsi"/>
        </w:rPr>
        <w:t>.</w:t>
      </w:r>
      <w:r w:rsidRPr="00141003">
        <w:rPr>
          <w:rFonts w:cstheme="minorHAnsi"/>
        </w:rPr>
        <w:t xml:space="preserve"> </w:t>
      </w:r>
      <w:r w:rsidR="00D3218E" w:rsidRPr="00141003">
        <w:rPr>
          <w:rStyle w:val="normaltextrun"/>
          <w:rFonts w:ascii="Calibri" w:hAnsi="Calibri" w:cs="Calibri"/>
          <w:b/>
          <w:bCs/>
          <w:i/>
          <w:iCs/>
          <w:color w:val="2F5496" w:themeColor="accent1" w:themeShade="BF"/>
          <w:shd w:val="clear" w:color="auto" w:fill="FFFFFF"/>
        </w:rPr>
        <w:t>Gamintojo dokumente privalo būti atžyma*, kuri patvirtina siūlomos prekės atitikimą reikalaujamoms charakteristikoms</w:t>
      </w:r>
      <w:r w:rsidR="00141003" w:rsidRPr="00141003">
        <w:rPr>
          <w:rStyle w:val="normaltextrun"/>
          <w:rFonts w:ascii="Calibri" w:hAnsi="Calibri" w:cs="Calibri"/>
          <w:b/>
          <w:bCs/>
          <w:i/>
          <w:iCs/>
          <w:color w:val="2F5496" w:themeColor="accent1" w:themeShade="BF"/>
          <w:shd w:val="clear" w:color="auto" w:fill="FFFFFF"/>
        </w:rPr>
        <w:t xml:space="preserve"> </w:t>
      </w:r>
      <w:r w:rsidR="00D3218E" w:rsidRPr="00141003">
        <w:rPr>
          <w:rStyle w:val="normaltextrun"/>
          <w:rFonts w:ascii="Calibri" w:hAnsi="Calibri" w:cs="Calibri"/>
          <w:b/>
          <w:bCs/>
          <w:i/>
          <w:iCs/>
          <w:color w:val="2F5496" w:themeColor="accent1" w:themeShade="BF"/>
          <w:shd w:val="clear" w:color="auto" w:fill="FFFFFF"/>
        </w:rPr>
        <w:t>(*spalvotai ženklinti, ir/ar nurodyti rodyklėmis, ir/ar pabraukti) konkrečias vietas, kur aprašomos/apibūdintos reikalaujamų techninių charakteristikų reikšmės bei nurodyti, kurį reikalaujamos charakteristikos parametrą (techninės specifikacijos (konkurso sąlygų 1 priedo) lentelės eil. Nr.) pažymėta vieta patvirtina).</w:t>
      </w:r>
      <w:r w:rsidR="00D3218E" w:rsidRPr="00141003">
        <w:rPr>
          <w:rStyle w:val="normaltextrun"/>
          <w:rFonts w:ascii="Calibri" w:hAnsi="Calibri" w:cs="Calibri"/>
          <w:b/>
          <w:bCs/>
          <w:color w:val="2F5496" w:themeColor="accent1" w:themeShade="BF"/>
          <w:shd w:val="clear" w:color="auto" w:fill="FFFFFF"/>
        </w:rPr>
        <w:t> </w:t>
      </w:r>
      <w:r w:rsidRPr="00141003">
        <w:rPr>
          <w:rFonts w:cstheme="minorHAnsi"/>
          <w:b/>
          <w:bCs/>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CPO laikys, kad tiekėjas pateikė tik deklaratyvią informaciją, kuri nėra pagrindžiama objektyviais duomenimis.</w:t>
      </w:r>
      <w:r w:rsidRPr="00141003">
        <w:rPr>
          <w:rFonts w:cstheme="minorHAnsi"/>
        </w:rPr>
        <w:t xml:space="preserve"> </w:t>
      </w:r>
    </w:p>
    <w:p w14:paraId="1FCCA6B2" w14:textId="6B626F45" w:rsidR="00962A36" w:rsidRPr="00F31D62" w:rsidRDefault="00962A36" w:rsidP="00962A36">
      <w:pPr>
        <w:pStyle w:val="Sraopastraipa"/>
        <w:spacing w:line="240" w:lineRule="auto"/>
        <w:ind w:left="0" w:firstLine="1429"/>
        <w:rPr>
          <w:rFonts w:cstheme="minorHAnsi"/>
          <w:b/>
          <w:bCs/>
        </w:rPr>
      </w:pPr>
      <w:r w:rsidRPr="00F31D62">
        <w:rPr>
          <w:rFonts w:cstheme="minorHAnsi"/>
          <w:b/>
          <w:bCs/>
        </w:rPr>
        <w:t xml:space="preserve">Jeigu tiekėjo siūlomos prekės </w:t>
      </w:r>
      <w:r w:rsidRPr="00F31D62">
        <w:rPr>
          <w:rFonts w:cstheme="minorHAnsi"/>
          <w:b/>
          <w:bCs/>
          <w:u w:val="single"/>
        </w:rPr>
        <w:t>nėra pagamintos (sukurtos</w:t>
      </w:r>
      <w:r w:rsidRPr="00F31D62">
        <w:rPr>
          <w:rFonts w:cstheme="minorHAnsi"/>
          <w:b/>
          <w:bCs/>
        </w:rPr>
        <w:t xml:space="preserve">) ir tiekėjas </w:t>
      </w:r>
      <w:r w:rsidRPr="00F31D62">
        <w:rPr>
          <w:rFonts w:cstheme="minorHAnsi"/>
          <w:b/>
          <w:bCs/>
          <w:u w:val="single"/>
        </w:rPr>
        <w:t>pats bus siūlomų prekių gamintojas</w:t>
      </w:r>
      <w:r w:rsidRPr="00F31D62">
        <w:rPr>
          <w:rFonts w:cstheme="minorHAnsi"/>
          <w:b/>
          <w:bCs/>
        </w:rPr>
        <w:t xml:space="preserve">, papildomų atitiktį reikalavimams patvirtinančių dokumentų pateikti nereikalaujama. Tiekėjas techninėje specifikacijoje nurodo, kad yra siūlomų prekių gamintojas. </w:t>
      </w:r>
    </w:p>
    <w:p w14:paraId="0923CFB6" w14:textId="77777777" w:rsidR="00962A36" w:rsidRPr="00F31D62" w:rsidRDefault="00962A36" w:rsidP="00962A36">
      <w:pPr>
        <w:pStyle w:val="Sraopastraipa"/>
        <w:spacing w:line="240" w:lineRule="auto"/>
        <w:ind w:left="1429" w:firstLine="0"/>
        <w:rPr>
          <w:rFonts w:cstheme="minorHAnsi"/>
          <w:b/>
          <w:bCs/>
        </w:rPr>
      </w:pPr>
    </w:p>
    <w:p w14:paraId="3DE432D0" w14:textId="03B75BDE" w:rsidR="00962A36" w:rsidRPr="00F31D62" w:rsidRDefault="00962A36" w:rsidP="00962A36">
      <w:pPr>
        <w:pStyle w:val="Sraopastraipa"/>
        <w:spacing w:line="240" w:lineRule="auto"/>
        <w:ind w:left="0" w:firstLine="1429"/>
        <w:rPr>
          <w:rFonts w:cstheme="minorHAnsi"/>
          <w:b/>
          <w:bCs/>
        </w:rPr>
      </w:pPr>
      <w:r w:rsidRPr="00F31D62">
        <w:rPr>
          <w:rFonts w:cstheme="minorHAnsi"/>
          <w:b/>
          <w:bCs/>
        </w:rPr>
        <w:lastRenderedPageBreak/>
        <w:t xml:space="preserve">Jeigu tiekėjo siūlomos prekės </w:t>
      </w:r>
      <w:r w:rsidRPr="00F31D62">
        <w:rPr>
          <w:rFonts w:cstheme="minorHAnsi"/>
          <w:b/>
          <w:bCs/>
          <w:u w:val="single"/>
        </w:rPr>
        <w:t>nėra pagamintos (sukurtos) ir tiekėjas pats jų negamins</w:t>
      </w:r>
      <w:r w:rsidRPr="00F31D62">
        <w:rPr>
          <w:rFonts w:cstheme="minorHAnsi"/>
          <w:b/>
          <w:bCs/>
        </w:rPr>
        <w:t xml:space="preserve">, jis turi pateikti siūlomų prekių gamintojo (-ų) raštiškus patvirtinimus dėl prekių atitikties reikalavimams (atitikties deklaracijas). </w:t>
      </w:r>
    </w:p>
    <w:p w14:paraId="767E2A27" w14:textId="77777777" w:rsidR="00962A36" w:rsidRPr="00F31D62" w:rsidRDefault="00962A36" w:rsidP="00962A36">
      <w:pPr>
        <w:pStyle w:val="Sraopastraipa"/>
        <w:spacing w:line="240" w:lineRule="auto"/>
        <w:ind w:left="1429" w:firstLine="0"/>
        <w:rPr>
          <w:rFonts w:cstheme="minorHAnsi"/>
          <w:b/>
          <w:bCs/>
        </w:rPr>
      </w:pPr>
    </w:p>
    <w:p w14:paraId="350D8CCC" w14:textId="61241D24" w:rsidR="00962A36" w:rsidRPr="00F969AB" w:rsidRDefault="00962A36" w:rsidP="00962A36">
      <w:pPr>
        <w:pStyle w:val="Sraopastraipa"/>
        <w:spacing w:line="240" w:lineRule="auto"/>
        <w:ind w:left="0" w:firstLine="1418"/>
        <w:rPr>
          <w:rFonts w:cstheme="minorHAnsi"/>
          <w:i/>
          <w:iCs/>
        </w:rPr>
      </w:pPr>
      <w:r w:rsidRPr="00F969AB">
        <w:rPr>
          <w:rFonts w:cstheme="minorHAnsi"/>
          <w:i/>
          <w:iCs/>
        </w:rPr>
        <w:t>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4C901C3" w14:textId="1245F5CA" w:rsidR="00CF190A" w:rsidRDefault="00CF190A" w:rsidP="00962A36">
      <w:pPr>
        <w:pStyle w:val="Sraopastraipa"/>
        <w:spacing w:line="240" w:lineRule="auto"/>
        <w:ind w:left="0" w:firstLine="1418"/>
        <w:rPr>
          <w:rFonts w:eastAsia="Arial" w:cstheme="minorHAnsi"/>
        </w:rPr>
      </w:pPr>
    </w:p>
    <w:p w14:paraId="25741C16" w14:textId="541C632E"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kalbą</w:t>
      </w:r>
      <w:r w:rsidR="00F31D62">
        <w:rPr>
          <w:rFonts w:eastAsia="Arial"/>
        </w:rPr>
        <w:t xml:space="preserve">, </w:t>
      </w:r>
      <w:r w:rsidR="00F31D62" w:rsidRPr="00F31D62">
        <w:rPr>
          <w:rFonts w:eastAsia="Arial"/>
        </w:rPr>
        <w:t xml:space="preserve">išskyrus 5.1.5 p., kur nurodyti dokumentai gali būti pateikti lietuvių </w:t>
      </w:r>
      <w:r w:rsidR="00F31D62">
        <w:rPr>
          <w:rFonts w:eastAsia="Arial"/>
        </w:rPr>
        <w:t>ir/</w:t>
      </w:r>
      <w:r w:rsidR="00F31D62" w:rsidRPr="00F31D62">
        <w:rPr>
          <w:rFonts w:eastAsia="Arial"/>
        </w:rPr>
        <w:t>arba anglų kalba).</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5BF00031" w14:textId="33D199DA" w:rsidR="00D85BC7" w:rsidRPr="004802BB" w:rsidRDefault="00D85BC7" w:rsidP="004802BB">
      <w:pPr>
        <w:pStyle w:val="Sraopastraipa"/>
        <w:spacing w:line="240" w:lineRule="auto"/>
        <w:ind w:left="0" w:firstLine="567"/>
        <w:rPr>
          <w:rFonts w:eastAsia="Calibr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B870A5" w:rsidRPr="00A738FD">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4236641E"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kurios </w:t>
      </w:r>
      <w:r w:rsidR="00C4291B" w:rsidRPr="00F33582">
        <w:rPr>
          <w:rFonts w:eastAsia="Calibri" w:cstheme="minorHAnsi"/>
          <w:b/>
          <w:bCs/>
        </w:rPr>
        <w:t>kaina mažiausia</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BF492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 ir/arba konkurso sąlygų 1 priedas „Techninė specifikacija“ kartu su konkurso sąlygų 5.1.5.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892829" w:rsidRPr="00861213">
        <w:rPr>
          <w:rFonts w:cstheme="minorHAnsi"/>
        </w:rPr>
        <w:t>4</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148CE227" w:rsidR="00892829" w:rsidRDefault="00892829" w:rsidP="00112F92">
      <w:pPr>
        <w:spacing w:line="240" w:lineRule="auto"/>
        <w:ind w:left="7314" w:firstLine="0"/>
        <w:rPr>
          <w:rFonts w:cstheme="minorHAnsi"/>
        </w:rPr>
      </w:pPr>
    </w:p>
    <w:p w14:paraId="7BCCAEA2" w14:textId="76546D17" w:rsidR="001417EE" w:rsidRDefault="001417EE" w:rsidP="00112F92">
      <w:pPr>
        <w:spacing w:line="240" w:lineRule="auto"/>
        <w:ind w:left="7314" w:firstLine="0"/>
        <w:rPr>
          <w:rFonts w:cstheme="minorHAnsi"/>
        </w:rPr>
      </w:pPr>
    </w:p>
    <w:p w14:paraId="1FEA0F75" w14:textId="715FB7F8" w:rsidR="001417EE" w:rsidRDefault="001417EE" w:rsidP="00112F92">
      <w:pPr>
        <w:spacing w:line="240" w:lineRule="auto"/>
        <w:ind w:left="7314" w:firstLine="0"/>
        <w:rPr>
          <w:rFonts w:cstheme="minorHAnsi"/>
        </w:rPr>
      </w:pPr>
    </w:p>
    <w:p w14:paraId="00219557" w14:textId="77777777" w:rsidR="001417EE" w:rsidRDefault="001417EE" w:rsidP="00112F92">
      <w:pPr>
        <w:spacing w:line="240" w:lineRule="auto"/>
        <w:ind w:left="7314" w:firstLine="0"/>
        <w:rPr>
          <w:rFonts w:cstheme="minorHAnsi"/>
        </w:rPr>
      </w:pPr>
    </w:p>
    <w:p w14:paraId="1A79E3B2" w14:textId="05B894E0" w:rsidR="00892829" w:rsidRDefault="00892829" w:rsidP="00112F92">
      <w:pPr>
        <w:spacing w:line="240" w:lineRule="auto"/>
        <w:ind w:left="7314" w:firstLine="0"/>
        <w:rPr>
          <w:rFonts w:cstheme="minorHAnsi"/>
        </w:rPr>
      </w:pPr>
    </w:p>
    <w:p w14:paraId="1533F7D8" w14:textId="05B7E23A" w:rsidR="00A738FD" w:rsidRDefault="00A738FD" w:rsidP="00112F92">
      <w:pPr>
        <w:spacing w:line="240" w:lineRule="auto"/>
        <w:ind w:left="7314" w:firstLine="0"/>
        <w:rPr>
          <w:rFonts w:cstheme="minorHAnsi"/>
        </w:rPr>
      </w:pPr>
    </w:p>
    <w:p w14:paraId="7A6E8CDB" w14:textId="7E1E99D4" w:rsidR="00A738FD" w:rsidRDefault="00A738FD" w:rsidP="00112F92">
      <w:pPr>
        <w:spacing w:line="240" w:lineRule="auto"/>
        <w:ind w:left="7314" w:firstLine="0"/>
        <w:rPr>
          <w:rFonts w:cstheme="minorHAnsi"/>
        </w:rPr>
      </w:pPr>
    </w:p>
    <w:p w14:paraId="770045FC" w14:textId="6089CB02" w:rsidR="00A738FD" w:rsidRDefault="00A738FD" w:rsidP="00112F92">
      <w:pPr>
        <w:spacing w:line="240" w:lineRule="auto"/>
        <w:ind w:left="7314" w:firstLine="0"/>
        <w:rPr>
          <w:rFonts w:cstheme="minorHAnsi"/>
        </w:rPr>
      </w:pPr>
    </w:p>
    <w:p w14:paraId="213DEC50" w14:textId="5F9F71B5" w:rsidR="00A738FD" w:rsidRDefault="00A738FD" w:rsidP="00112F92">
      <w:pPr>
        <w:spacing w:line="240" w:lineRule="auto"/>
        <w:ind w:left="7314" w:firstLine="0"/>
        <w:rPr>
          <w:rFonts w:cstheme="minorHAnsi"/>
        </w:rPr>
      </w:pPr>
    </w:p>
    <w:p w14:paraId="02DA12E3" w14:textId="031331AF" w:rsidR="00A738FD" w:rsidRDefault="00A738FD" w:rsidP="00112F92">
      <w:pPr>
        <w:spacing w:line="240" w:lineRule="auto"/>
        <w:ind w:left="7314" w:firstLine="0"/>
        <w:rPr>
          <w:rFonts w:cstheme="minorHAnsi"/>
        </w:rPr>
      </w:pPr>
    </w:p>
    <w:p w14:paraId="1265C84B" w14:textId="65C194D2" w:rsidR="00A738FD" w:rsidRDefault="00A738FD" w:rsidP="00112F92">
      <w:pPr>
        <w:spacing w:line="240" w:lineRule="auto"/>
        <w:ind w:left="7314" w:firstLine="0"/>
        <w:rPr>
          <w:rFonts w:cstheme="minorHAnsi"/>
        </w:rPr>
      </w:pPr>
    </w:p>
    <w:p w14:paraId="4E771B9E" w14:textId="4A6B502B" w:rsidR="00A738FD" w:rsidRDefault="00A738FD" w:rsidP="00112F92">
      <w:pPr>
        <w:spacing w:line="240" w:lineRule="auto"/>
        <w:ind w:left="7314" w:firstLine="0"/>
        <w:rPr>
          <w:rFonts w:cstheme="minorHAnsi"/>
        </w:rPr>
      </w:pPr>
    </w:p>
    <w:p w14:paraId="11EF5E4F" w14:textId="2701CAA0" w:rsidR="00A738FD" w:rsidRDefault="00A738FD" w:rsidP="00112F92">
      <w:pPr>
        <w:spacing w:line="240" w:lineRule="auto"/>
        <w:ind w:left="7314" w:firstLine="0"/>
        <w:rPr>
          <w:rFonts w:cstheme="minorHAnsi"/>
        </w:rPr>
      </w:pPr>
    </w:p>
    <w:p w14:paraId="0AC7325F" w14:textId="16E41C9D" w:rsidR="00A738FD" w:rsidRDefault="00A738FD" w:rsidP="00112F92">
      <w:pPr>
        <w:spacing w:line="240" w:lineRule="auto"/>
        <w:ind w:left="7314" w:firstLine="0"/>
        <w:rPr>
          <w:rFonts w:cstheme="minorHAnsi"/>
        </w:rPr>
      </w:pPr>
    </w:p>
    <w:p w14:paraId="482A6C0E" w14:textId="1E8037B2" w:rsidR="00A738FD" w:rsidRDefault="00A738FD" w:rsidP="00112F92">
      <w:pPr>
        <w:spacing w:line="240" w:lineRule="auto"/>
        <w:ind w:left="7314" w:firstLine="0"/>
        <w:rPr>
          <w:rFonts w:cstheme="minorHAnsi"/>
        </w:rPr>
      </w:pPr>
    </w:p>
    <w:p w14:paraId="37E55CA4" w14:textId="751FC329" w:rsidR="00A738FD" w:rsidRDefault="00A738FD" w:rsidP="00112F92">
      <w:pPr>
        <w:spacing w:line="240" w:lineRule="auto"/>
        <w:ind w:left="7314" w:firstLine="0"/>
        <w:rPr>
          <w:rFonts w:cstheme="minorHAnsi"/>
        </w:rPr>
      </w:pPr>
    </w:p>
    <w:p w14:paraId="5E8EF5F4" w14:textId="2D7E676F" w:rsidR="00A738FD" w:rsidRDefault="00A738FD" w:rsidP="00112F92">
      <w:pPr>
        <w:spacing w:line="240" w:lineRule="auto"/>
        <w:ind w:left="7314" w:firstLine="0"/>
        <w:rPr>
          <w:rFonts w:cstheme="minorHAnsi"/>
        </w:rPr>
      </w:pPr>
    </w:p>
    <w:p w14:paraId="6552E656" w14:textId="385B695A" w:rsidR="00A738FD" w:rsidRDefault="00A738FD" w:rsidP="00112F92">
      <w:pPr>
        <w:spacing w:line="240" w:lineRule="auto"/>
        <w:ind w:left="7314" w:firstLine="0"/>
        <w:rPr>
          <w:rFonts w:cstheme="minorHAnsi"/>
        </w:rPr>
      </w:pPr>
    </w:p>
    <w:p w14:paraId="25E5820E" w14:textId="70BB1D30" w:rsidR="00A738FD" w:rsidRDefault="00A738FD" w:rsidP="00112F92">
      <w:pPr>
        <w:spacing w:line="240" w:lineRule="auto"/>
        <w:ind w:left="7314" w:firstLine="0"/>
        <w:rPr>
          <w:rFonts w:cstheme="minorHAnsi"/>
        </w:rPr>
      </w:pPr>
    </w:p>
    <w:p w14:paraId="555BACED" w14:textId="3905EEEB" w:rsidR="00A738FD" w:rsidRDefault="00A738FD" w:rsidP="00112F92">
      <w:pPr>
        <w:spacing w:line="240" w:lineRule="auto"/>
        <w:ind w:left="7314" w:firstLine="0"/>
        <w:rPr>
          <w:rFonts w:cstheme="minorHAnsi"/>
        </w:rPr>
      </w:pPr>
    </w:p>
    <w:p w14:paraId="33AB79A6" w14:textId="5466ABB2" w:rsidR="00A738FD" w:rsidRDefault="00A738FD" w:rsidP="00112F92">
      <w:pPr>
        <w:spacing w:line="240" w:lineRule="auto"/>
        <w:ind w:left="7314" w:firstLine="0"/>
        <w:rPr>
          <w:rFonts w:cstheme="minorHAnsi"/>
        </w:rPr>
      </w:pPr>
    </w:p>
    <w:p w14:paraId="01D5B611" w14:textId="7EB65AF3" w:rsidR="00A738FD" w:rsidRDefault="00A738FD" w:rsidP="00112F92">
      <w:pPr>
        <w:spacing w:line="240" w:lineRule="auto"/>
        <w:ind w:left="7314" w:firstLine="0"/>
        <w:rPr>
          <w:rFonts w:cstheme="minorHAnsi"/>
        </w:rPr>
      </w:pPr>
    </w:p>
    <w:p w14:paraId="34CC2600" w14:textId="16DA9303" w:rsidR="00A738FD" w:rsidRDefault="00A738FD" w:rsidP="00112F92">
      <w:pPr>
        <w:spacing w:line="240" w:lineRule="auto"/>
        <w:ind w:left="7314" w:firstLine="0"/>
        <w:rPr>
          <w:rFonts w:cstheme="minorHAnsi"/>
        </w:rPr>
      </w:pPr>
    </w:p>
    <w:p w14:paraId="5A4698BB" w14:textId="615E1214" w:rsidR="00A738FD" w:rsidRDefault="00A738FD" w:rsidP="00112F92">
      <w:pPr>
        <w:spacing w:line="240" w:lineRule="auto"/>
        <w:ind w:left="7314" w:firstLine="0"/>
        <w:rPr>
          <w:rFonts w:cstheme="minorHAnsi"/>
        </w:rPr>
      </w:pPr>
    </w:p>
    <w:p w14:paraId="70E8626D" w14:textId="1E14F5A6" w:rsidR="00A738FD" w:rsidRDefault="00A738FD" w:rsidP="00112F92">
      <w:pPr>
        <w:spacing w:line="240" w:lineRule="auto"/>
        <w:ind w:left="7314" w:firstLine="0"/>
        <w:rPr>
          <w:rFonts w:cstheme="minorHAnsi"/>
        </w:rPr>
      </w:pPr>
    </w:p>
    <w:p w14:paraId="25209322" w14:textId="6DB9512C" w:rsidR="00A738FD" w:rsidRDefault="00A738FD" w:rsidP="00112F92">
      <w:pPr>
        <w:spacing w:line="240" w:lineRule="auto"/>
        <w:ind w:left="7314" w:firstLine="0"/>
        <w:rPr>
          <w:rFonts w:cstheme="minorHAnsi"/>
        </w:rPr>
      </w:pPr>
    </w:p>
    <w:p w14:paraId="796BEC4F" w14:textId="77777777" w:rsidR="00A738FD" w:rsidRDefault="00A738FD" w:rsidP="00112F92">
      <w:pPr>
        <w:spacing w:line="240" w:lineRule="auto"/>
        <w:ind w:left="7314"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04390A35" w:rsidR="00561DBB" w:rsidRPr="00BF1724" w:rsidRDefault="00561DBB" w:rsidP="007F3648">
      <w:pPr>
        <w:pStyle w:val="Betarp"/>
      </w:pPr>
      <w:r w:rsidRPr="00BF1724">
        <w:t xml:space="preserve">Perkančioji organizacija, pašalins tiekėją iš pirkimo procedūros, jei tiekėjas ir (arba) ūkio subjektai, kurių pajėgumais </w:t>
      </w:r>
      <w:r w:rsidRPr="00BF1724">
        <w:rPr>
          <w:shd w:val="clear" w:color="auto" w:fill="FFFFFF" w:themeFill="background1"/>
        </w:rPr>
        <w:t>remiasi,</w:t>
      </w:r>
      <w:r w:rsidRPr="00BF1724">
        <w:t xml:space="preserve"> turi VPĮ 46 straipsnio 2</w:t>
      </w:r>
      <w:r w:rsidRPr="00BF1724">
        <w:rPr>
          <w:vertAlign w:val="superscript"/>
        </w:rPr>
        <w:t>1</w:t>
      </w:r>
      <w:r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6F575F6F" w:rsidR="00586C8C" w:rsidRDefault="00586C8C" w:rsidP="00586C8C">
      <w:pPr>
        <w:spacing w:line="200" w:lineRule="auto"/>
        <w:ind w:firstLine="0"/>
        <w:rPr>
          <w:rFonts w:ascii="Arial" w:eastAsia="Arial" w:hAnsi="Arial" w:cs="Arial"/>
        </w:rPr>
      </w:pPr>
    </w:p>
    <w:p w14:paraId="05F51605" w14:textId="265A787D" w:rsidR="00D70759" w:rsidRDefault="00D70759" w:rsidP="00586C8C">
      <w:pPr>
        <w:spacing w:line="200" w:lineRule="auto"/>
        <w:ind w:firstLine="0"/>
        <w:rPr>
          <w:rFonts w:ascii="Arial" w:eastAsia="Arial" w:hAnsi="Arial" w:cs="Arial"/>
        </w:rPr>
      </w:pPr>
    </w:p>
    <w:p w14:paraId="77CD0F80" w14:textId="77777777" w:rsidR="00D70759" w:rsidRDefault="00D70759"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bookmarkStart w:id="24" w:name="_Hlk220339080"/>
      <w:r w:rsidR="005F30AD">
        <w:rPr>
          <w:rFonts w:cstheme="minorHAnsi"/>
        </w:rPr>
        <w:t>6</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142E59" w14:textId="77777777" w:rsidR="0056079B" w:rsidRDefault="00BB1BE5"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w:t>
      </w:r>
      <w:r w:rsidR="0056079B">
        <w:rPr>
          <w:rFonts w:eastAsia="Arial" w:cstheme="minorHAnsi"/>
        </w:rPr>
        <w:t>os reikalavimai šiame pirkime netaikomi.</w:t>
      </w:r>
    </w:p>
    <w:p w14:paraId="51256D83" w14:textId="23E71508"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p w14:paraId="708DD0AE" w14:textId="13BE112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6" w:name="_heading=h.3rdcrjn" w:colFirst="0" w:colLast="0"/>
      <w:bookmarkEnd w:id="26"/>
    </w:p>
    <w:p w14:paraId="0E8BDFBC" w14:textId="23154BD4" w:rsidR="00112F92" w:rsidRPr="00B042FA"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B042FA">
        <w:rPr>
          <w:rFonts w:eastAsia="Arial" w:cstheme="minorHAnsi"/>
        </w:rPr>
        <w:t>kokybės vadybos sistemos ir (arba) aplinkos apsaugos vadybos sistemos standartų.</w:t>
      </w:r>
    </w:p>
    <w:p w14:paraId="1D167AA3" w14:textId="0DBEF616" w:rsidR="00112F92" w:rsidRPr="00D75609" w:rsidRDefault="00E71E41" w:rsidP="007E59A6">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7" w:name="_heading=h.26in1rg" w:colFirst="0" w:colLast="0"/>
      <w:bookmarkStart w:id="28" w:name="ketvpriedas"/>
      <w:bookmarkStart w:id="29" w:name="_Toc85439812"/>
      <w:bookmarkEnd w:id="27"/>
    </w:p>
    <w:p w14:paraId="5F2B74ED" w14:textId="77777777" w:rsidR="00A040B5" w:rsidRDefault="00A040B5" w:rsidP="00A040B5"/>
    <w:p w14:paraId="0028E1BB" w14:textId="77777777" w:rsidR="00A040B5" w:rsidRDefault="00A040B5" w:rsidP="00A040B5"/>
    <w:p w14:paraId="2C7E9D26" w14:textId="77777777" w:rsidR="0003519B" w:rsidRDefault="0003519B" w:rsidP="00A040B5"/>
    <w:p w14:paraId="5A8C994B" w14:textId="5EE1C03D" w:rsidR="0076510C" w:rsidRDefault="0076510C" w:rsidP="00041762">
      <w:pPr>
        <w:ind w:firstLine="0"/>
      </w:pPr>
    </w:p>
    <w:p w14:paraId="1598D6E1" w14:textId="77777777" w:rsidR="0076510C" w:rsidRDefault="0076510C" w:rsidP="00A040B5"/>
    <w:p w14:paraId="5A285091" w14:textId="77777777" w:rsidR="00A040B5" w:rsidRDefault="00A040B5" w:rsidP="00A040B5"/>
    <w:p w14:paraId="6EF20A02" w14:textId="70695263" w:rsidR="00A040B5" w:rsidRDefault="00A040B5" w:rsidP="00A040B5"/>
    <w:p w14:paraId="138A80ED" w14:textId="77777777" w:rsidR="0003519B" w:rsidRDefault="0003519B" w:rsidP="00A040B5"/>
    <w:p w14:paraId="4B815F12" w14:textId="77777777" w:rsidR="00A040B5" w:rsidRPr="00A040B5" w:rsidRDefault="00A040B5"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Start w:id="37" w:name="_Toc147739116"/>
      <w:bookmarkEnd w:id="28"/>
      <w:bookmarkEnd w:id="29"/>
    </w:p>
    <w:p w14:paraId="1E7DCE7E" w14:textId="77777777" w:rsidR="00E078A0" w:rsidRDefault="00E078A0" w:rsidP="00041762">
      <w:pPr>
        <w:spacing w:line="240" w:lineRule="auto"/>
        <w:ind w:firstLine="0"/>
        <w:rPr>
          <w:rFonts w:ascii="Arial" w:hAnsi="Arial" w:cs="Arial"/>
        </w:rPr>
      </w:pPr>
      <w:bookmarkStart w:id="38" w:name="_Pirkimo_sąlygų_2"/>
      <w:bookmarkStart w:id="39" w:name="_Pirkimo_sąlygų_3"/>
      <w:bookmarkEnd w:id="30"/>
      <w:bookmarkEnd w:id="31"/>
      <w:bookmarkEnd w:id="32"/>
      <w:bookmarkEnd w:id="33"/>
      <w:bookmarkEnd w:id="34"/>
      <w:bookmarkEnd w:id="35"/>
      <w:bookmarkEnd w:id="36"/>
      <w:bookmarkEnd w:id="38"/>
      <w:bookmarkEnd w:id="39"/>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bookmarkEnd w:id="37"/>
    <w:sectPr w:rsidR="00E078A0" w:rsidRPr="00A54EAE"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10"/>
  </w:num>
  <w:num w:numId="5">
    <w:abstractNumId w:val="2"/>
  </w:num>
  <w:num w:numId="6">
    <w:abstractNumId w:val="0"/>
  </w:num>
  <w:num w:numId="7">
    <w:abstractNumId w:val="4"/>
  </w:num>
  <w:num w:numId="8">
    <w:abstractNumId w:val="9"/>
  </w:num>
  <w:num w:numId="9">
    <w:abstractNumId w:val="8"/>
  </w:num>
  <w:num w:numId="10">
    <w:abstractNumId w:val="6"/>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11073</Words>
  <Characters>6313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17352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2</cp:revision>
  <cp:lastPrinted>2021-11-03T05:49:00Z</cp:lastPrinted>
  <dcterms:created xsi:type="dcterms:W3CDTF">2026-02-04T08:43:00Z</dcterms:created>
  <dcterms:modified xsi:type="dcterms:W3CDTF">2026-02-04T08:43:00Z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