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3EB3" w14:textId="77777777" w:rsidR="00713DF6" w:rsidRDefault="00713DF6" w:rsidP="0055624F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7EDC750" w14:textId="16E4195F" w:rsidR="00F374E8" w:rsidRPr="00AC6C42" w:rsidRDefault="00AC6C42" w:rsidP="00AC6C4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b/>
          <w:sz w:val="24"/>
          <w:szCs w:val="24"/>
          <w:lang w:val="lt-LT"/>
        </w:rPr>
        <w:t>Pažintinių funkcijų lavinimo program</w:t>
      </w:r>
      <w:r w:rsidR="00506083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  <w:r w:rsidRPr="00AC6C4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 įranga</w:t>
      </w:r>
      <w:r w:rsidR="007518E6" w:rsidRPr="00AC6C4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C6C42">
        <w:rPr>
          <w:rFonts w:ascii="Times New Roman" w:hAnsi="Times New Roman" w:cs="Times New Roman"/>
          <w:b/>
          <w:sz w:val="24"/>
          <w:szCs w:val="24"/>
          <w:lang w:val="lt-LT"/>
        </w:rPr>
        <w:t>pirkimo techninė specifikacija</w:t>
      </w:r>
    </w:p>
    <w:p w14:paraId="0804262D" w14:textId="77777777" w:rsidR="007518E6" w:rsidRDefault="00AC6C42" w:rsidP="00AC6C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sz w:val="24"/>
          <w:szCs w:val="24"/>
          <w:lang w:val="lt-LT"/>
        </w:rPr>
        <w:t>Pirkimo objektas</w:t>
      </w:r>
      <w:r w:rsidRPr="00713DF6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AC6C42">
        <w:rPr>
          <w:rFonts w:ascii="Times New Roman" w:hAnsi="Times New Roman" w:cs="Times New Roman"/>
          <w:sz w:val="24"/>
          <w:szCs w:val="24"/>
          <w:lang w:val="lt-LT"/>
        </w:rPr>
        <w:t>pažintinių funkcijų lavinimo programos su įranga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Prekė).</w:t>
      </w:r>
    </w:p>
    <w:p w14:paraId="22394538" w14:textId="045B4147" w:rsidR="00AC6C42" w:rsidRPr="00AC6C42" w:rsidRDefault="00AC6C42" w:rsidP="00AC6C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sz w:val="24"/>
          <w:szCs w:val="24"/>
          <w:lang w:val="lt-LT"/>
        </w:rPr>
        <w:t xml:space="preserve">Techniniai reikalavimai </w:t>
      </w:r>
      <w:r w:rsidR="00497871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AC6C42">
        <w:rPr>
          <w:rFonts w:ascii="Times New Roman" w:hAnsi="Times New Roman" w:cs="Times New Roman"/>
          <w:sz w:val="24"/>
          <w:szCs w:val="24"/>
          <w:lang w:val="lt-LT"/>
        </w:rPr>
        <w:t>rekei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W w:w="98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070"/>
        <w:gridCol w:w="3963"/>
        <w:gridCol w:w="3111"/>
      </w:tblGrid>
      <w:tr w:rsidR="00A976E3" w:rsidRPr="007518E6" w14:paraId="6867D09B" w14:textId="214D6AE6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4A04" w14:textId="77777777" w:rsidR="00A976E3" w:rsidRPr="007518E6" w:rsidRDefault="00A976E3" w:rsidP="00751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3A2138AC" w14:textId="77777777" w:rsidR="00A976E3" w:rsidRPr="007518E6" w:rsidRDefault="00A976E3" w:rsidP="00751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E152" w14:textId="77777777" w:rsidR="00A976E3" w:rsidRPr="007518E6" w:rsidRDefault="00A976E3" w:rsidP="00E6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E188" w14:textId="77777777" w:rsidR="00A976E3" w:rsidRPr="007518E6" w:rsidRDefault="00A976E3" w:rsidP="00E6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3111" w:type="dxa"/>
          </w:tcPr>
          <w:p w14:paraId="2A845DBF" w14:textId="77777777" w:rsidR="00D94C2F" w:rsidRPr="00B54BCA" w:rsidRDefault="00D94C2F" w:rsidP="00D94C2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proofErr w:type="spellStart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>Siūlomo</w:t>
            </w:r>
            <w:proofErr w:type="spellEnd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>parametro</w:t>
            </w:r>
            <w:proofErr w:type="spellEnd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>reikšmė</w:t>
            </w:r>
            <w:proofErr w:type="spellEnd"/>
            <w:r w:rsidRPr="00B54BCA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nurodyti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konkrečią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skaitinę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reikšmę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arba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aiškų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atitikimo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patvirtinimą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žodžiais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ir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pateikti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j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as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pagrindžiančią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informaciją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pvz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.,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gamintojo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dokumentacija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internetinės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nuorodos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aprašai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ar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kiti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54BCA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įrodymai</w:t>
            </w:r>
            <w:proofErr w:type="spellEnd"/>
            <w:r w:rsidRPr="00B54BCA">
              <w:rPr>
                <w:rFonts w:cstheme="minorHAnsi"/>
                <w:bCs/>
                <w:i/>
                <w:iCs/>
                <w:sz w:val="20"/>
                <w:szCs w:val="20"/>
              </w:rPr>
              <w:t>))*</w:t>
            </w:r>
          </w:p>
          <w:p w14:paraId="320AAB75" w14:textId="304056E0" w:rsidR="00623154" w:rsidRPr="00F92EB6" w:rsidRDefault="00623154" w:rsidP="0062315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92EB6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lt-LT"/>
              </w:rPr>
              <w:t xml:space="preserve">(pildo </w:t>
            </w:r>
            <w:r w:rsidR="00D94C2F" w:rsidRPr="00F92EB6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lt-LT"/>
              </w:rPr>
              <w:t>T</w:t>
            </w:r>
            <w:r w:rsidRPr="00F92EB6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lt-LT"/>
              </w:rPr>
              <w:t>iekėjas)</w:t>
            </w:r>
          </w:p>
        </w:tc>
      </w:tr>
      <w:tr w:rsidR="003259FC" w:rsidRPr="007518E6" w14:paraId="7F8DE4B8" w14:textId="77777777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00AA" w14:textId="010DABBC" w:rsidR="003259FC" w:rsidRPr="009C6603" w:rsidRDefault="009C6603" w:rsidP="003A17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C66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418A" w14:textId="3963151B" w:rsidR="003259FC" w:rsidRPr="009C6603" w:rsidRDefault="00655319" w:rsidP="009C660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C66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Siūloma prekė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256D" w14:textId="12F70A47" w:rsidR="003259FC" w:rsidRPr="009C6603" w:rsidRDefault="00655319" w:rsidP="009C6603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C66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Nurodyti siūlomos prekės pavadinimą ir gamintoją</w:t>
            </w:r>
          </w:p>
        </w:tc>
        <w:tc>
          <w:tcPr>
            <w:tcW w:w="3111" w:type="dxa"/>
          </w:tcPr>
          <w:p w14:paraId="39E7755B" w14:textId="429D6F59" w:rsidR="003259FC" w:rsidRDefault="00655319" w:rsidP="00623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A976E3" w:rsidRPr="005F3BF9" w14:paraId="0F1A48F0" w14:textId="5FE6487F" w:rsidTr="00C11628">
        <w:trPr>
          <w:trHeight w:val="310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BEF8" w14:textId="03D7C71E" w:rsidR="00A976E3" w:rsidRPr="007518E6" w:rsidRDefault="009C6603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292E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9191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Pažinimo funkcijoms vertinti ir lavinti.</w:t>
            </w:r>
          </w:p>
        </w:tc>
        <w:tc>
          <w:tcPr>
            <w:tcW w:w="3111" w:type="dxa"/>
          </w:tcPr>
          <w:p w14:paraId="20781F7B" w14:textId="188993D7" w:rsidR="00A976E3" w:rsidRPr="007518E6" w:rsidRDefault="00743566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A976E3" w:rsidRPr="005F3BF9" w14:paraId="67D330FE" w14:textId="63ECA7AD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C9D1" w14:textId="24F83EA9" w:rsidR="00A976E3" w:rsidRPr="007518E6" w:rsidRDefault="009C6603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64B1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Konstrukcija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A741" w14:textId="77777777" w:rsidR="00A976E3" w:rsidRPr="007518E6" w:rsidRDefault="00A976E3" w:rsidP="00C11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Naujausia sistemos versija. Sistema sudaryta iš pažinimo funkcijų patikrinimo testų (ne mažiau nei 9) ir lavinimo programų (ne mažiau nei 28) įrangos paketo, specialių klaviatūrų (2 vnt.).</w:t>
            </w:r>
          </w:p>
        </w:tc>
        <w:tc>
          <w:tcPr>
            <w:tcW w:w="3111" w:type="dxa"/>
          </w:tcPr>
          <w:p w14:paraId="08E97CB4" w14:textId="0413D29A" w:rsidR="00A976E3" w:rsidRPr="007518E6" w:rsidRDefault="00743566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A976E3" w:rsidRPr="005F3BF9" w14:paraId="32A98C8C" w14:textId="3C7001D9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6BF2" w14:textId="3BBA6648" w:rsidR="00A976E3" w:rsidRPr="007518E6" w:rsidRDefault="009C6603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FD6D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28A0" w14:textId="36D7C496" w:rsidR="00A976E3" w:rsidRPr="007518E6" w:rsidRDefault="00A976E3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Programinė įranga užtikrinanti daugiakalbę vartotojo sąsają</w:t>
            </w:r>
            <w:r w:rsidR="00D7789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Būtinos pasirenkamos kalbos: </w:t>
            </w: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anglų, lietuvių, rusų ir lenkų</w:t>
            </w:r>
            <w:r w:rsidR="000B548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;  </w:t>
            </w: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galimybė kiekvieno paciento elektroninėje kortelėje nustatyti kalbinės programos aplinką.</w:t>
            </w:r>
          </w:p>
          <w:p w14:paraId="43A6366D" w14:textId="77777777" w:rsidR="00A976E3" w:rsidRPr="007518E6" w:rsidRDefault="00A976E3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Automatinis </w:t>
            </w: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pratimų sunkumo lygio keitimas pagal paciento sugebėjimus.</w:t>
            </w:r>
          </w:p>
          <w:p w14:paraId="5A82C531" w14:textId="77777777" w:rsidR="00A976E3" w:rsidRPr="007518E6" w:rsidRDefault="00A976E3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Patikrinimo modulis sudarytas iš 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9 testų skirtingoms pažintinėms funkcijoms vertinti (būtini testai regos suvokimo sutrikimų ir </w:t>
            </w:r>
            <w:proofErr w:type="spellStart"/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psichomotorinių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reakcijų greičio įvertinimams).</w:t>
            </w:r>
          </w:p>
          <w:p w14:paraId="65D3E195" w14:textId="77777777" w:rsidR="00A976E3" w:rsidRPr="007518E6" w:rsidRDefault="00A976E3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Paciento patikrinimo rezultatai automatiškai palyginami su normomis pagal lytį, amžių, </w:t>
            </w: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atvaizduoja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mi grafine ir skaitine išraiška.</w:t>
            </w:r>
          </w:p>
          <w:p w14:paraId="0C8209D8" w14:textId="77777777" w:rsidR="00A976E3" w:rsidRPr="0016211B" w:rsidRDefault="00A976E3" w:rsidP="00162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Pratimų moduliai: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1621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ne mažiau kaip 26 skirtingus pažint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inių funkcijų lavinimo modulius.</w:t>
            </w:r>
          </w:p>
          <w:p w14:paraId="73C0487B" w14:textId="77777777" w:rsidR="00A976E3" w:rsidRPr="007518E6" w:rsidRDefault="00A976E3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Skirtingose darbo vietose testavimo ir pratimų moduliais vienu metu gali dirbti nuo 1 iki 5 pacientų.  </w:t>
            </w:r>
          </w:p>
        </w:tc>
        <w:tc>
          <w:tcPr>
            <w:tcW w:w="3111" w:type="dxa"/>
          </w:tcPr>
          <w:p w14:paraId="3003A904" w14:textId="4C8CE0D9" w:rsidR="00A976E3" w:rsidRPr="007518E6" w:rsidRDefault="00743566" w:rsidP="00C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956FF">
              <w:lastRenderedPageBreak/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A976E3" w:rsidRPr="005F3BF9" w14:paraId="7FF61F95" w14:textId="3A684379" w:rsidTr="00C11628">
        <w:trPr>
          <w:trHeight w:val="1073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A60F" w14:textId="43F8CB7B" w:rsidR="00A976E3" w:rsidRPr="007518E6" w:rsidRDefault="009C6603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6710" w14:textId="4AAFB1E3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Serverio 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licencij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galiojimas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B3F0" w14:textId="0B26539C" w:rsidR="00A976E3" w:rsidRPr="00C1780F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1780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Programa su neribota serverio licencija ne mažiau kaip 7 metams.</w:t>
            </w:r>
          </w:p>
          <w:p w14:paraId="3EF60A4E" w14:textId="65D8CB29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1" w:type="dxa"/>
          </w:tcPr>
          <w:p w14:paraId="4CF13F3D" w14:textId="0A83931C" w:rsidR="00A976E3" w:rsidRPr="00C1780F" w:rsidRDefault="00743566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A976E3" w:rsidRPr="005F3BF9" w14:paraId="7B33F839" w14:textId="50E974A9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A1C0" w14:textId="18DACE95" w:rsidR="00A976E3" w:rsidRPr="007518E6" w:rsidRDefault="009C660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976E3"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F7BA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Klaviatūra 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5E29" w14:textId="77777777" w:rsidR="00A976E3" w:rsidRPr="007518E6" w:rsidRDefault="00A976E3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4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Specializuota paciento kompiuterio klaviatūra – 2 vnt.: klaviatūroje ne daugiau kaip 10 mygtukų pratimų užduotims atlikti ir ne mažiau kaip 10 mygtukų specialioms užduotims arba lygiaverčiai.</w:t>
            </w:r>
          </w:p>
        </w:tc>
        <w:tc>
          <w:tcPr>
            <w:tcW w:w="3111" w:type="dxa"/>
          </w:tcPr>
          <w:p w14:paraId="0EE15BAD" w14:textId="77777777" w:rsidR="00A976E3" w:rsidRDefault="00A976E3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2D67F0" w14:textId="7686C7D2" w:rsidR="00743566" w:rsidRPr="00743566" w:rsidRDefault="00743566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065B40" w:rsidRPr="005F3BF9" w14:paraId="12ABFF03" w14:textId="77777777" w:rsidTr="00C11628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2023" w14:textId="4ADB0ED1" w:rsidR="00065B40" w:rsidRDefault="00065B40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8DD8" w14:textId="75BB3E7C" w:rsidR="00065B40" w:rsidRPr="007518E6" w:rsidRDefault="00065B40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Garantinis laikotarpis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5C70" w14:textId="77777777" w:rsidR="00065B40" w:rsidRPr="007518E6" w:rsidRDefault="00065B40" w:rsidP="00065B4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trumpesnis nei 24 mėn.</w:t>
            </w:r>
          </w:p>
          <w:p w14:paraId="189B7AFA" w14:textId="77777777" w:rsidR="00065B40" w:rsidRPr="0030746B" w:rsidRDefault="00065B40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1" w:type="dxa"/>
          </w:tcPr>
          <w:p w14:paraId="1FC99028" w14:textId="4EE2081F" w:rsidR="00065B40" w:rsidRDefault="00065B40" w:rsidP="00CD5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56FF">
              <w:t>(</w:t>
            </w:r>
            <w:proofErr w:type="spellStart"/>
            <w:r w:rsidRPr="00C956FF">
              <w:t>pildo</w:t>
            </w:r>
            <w:proofErr w:type="spellEnd"/>
            <w:r w:rsidRPr="00C956FF">
              <w:t xml:space="preserve"> </w:t>
            </w:r>
            <w:proofErr w:type="spellStart"/>
            <w:r w:rsidRPr="00C956FF">
              <w:t>Tiekėjas</w:t>
            </w:r>
            <w:proofErr w:type="spellEnd"/>
            <w:r w:rsidRPr="00C956FF">
              <w:t>)</w:t>
            </w:r>
          </w:p>
        </w:tc>
      </w:tr>
      <w:tr w:rsidR="00743566" w:rsidRPr="005F3BF9" w14:paraId="64FA36FF" w14:textId="2D4D9F36" w:rsidTr="00A766AF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9ECB" w14:textId="7878E3DA" w:rsidR="00743566" w:rsidRPr="007518E6" w:rsidRDefault="00065B40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743566"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7D6E" w14:textId="24D5E17F" w:rsidR="00743566" w:rsidRPr="007518E6" w:rsidRDefault="00743566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paruo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imas darbui</w:t>
            </w:r>
          </w:p>
        </w:tc>
        <w:tc>
          <w:tcPr>
            <w:tcW w:w="7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E1AD7E" w14:textId="0E9829A5" w:rsidR="00743566" w:rsidRDefault="00743566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arbo vietų paruošimas, programinės įrangos įdiegimas.</w:t>
            </w:r>
          </w:p>
        </w:tc>
      </w:tr>
      <w:tr w:rsidR="00743566" w:rsidRPr="005F3BF9" w14:paraId="6DEF9AF3" w14:textId="1E470708" w:rsidTr="008B6DCC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C8B3" w14:textId="75F270A9" w:rsidR="00743566" w:rsidRPr="007518E6" w:rsidRDefault="00065B40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7435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62BA" w14:textId="77777777" w:rsidR="00743566" w:rsidRPr="007518E6" w:rsidRDefault="00743566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Personalo apmokymas</w:t>
            </w:r>
          </w:p>
        </w:tc>
        <w:tc>
          <w:tcPr>
            <w:tcW w:w="7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577E8" w14:textId="517F9978" w:rsidR="00743566" w:rsidRDefault="00743566" w:rsidP="00570C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613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pmokyti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9613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irkėjo personalą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(3 asmenis)</w:t>
            </w:r>
            <w:r w:rsidRPr="009613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dirbti su </w:t>
            </w:r>
            <w:r w:rsidRPr="00AC6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inių funkcijų lavinimo programa ir įranga. </w:t>
            </w:r>
          </w:p>
        </w:tc>
      </w:tr>
    </w:tbl>
    <w:p w14:paraId="3E1732E9" w14:textId="1B08EBA4" w:rsidR="00F92EB6" w:rsidRDefault="00F92EB6" w:rsidP="00F92E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4D71">
        <w:t xml:space="preserve">*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Pateikiamos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konkrečios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siūlomos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programinės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įrangos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parametrų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reikšmės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nenurodant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Techninėje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specifikacijoje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vartojamų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formuluočių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(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pvz</w:t>
      </w:r>
      <w:proofErr w:type="spellEnd"/>
      <w:r w:rsidRPr="00B34D71">
        <w:rPr>
          <w:rFonts w:cstheme="minorHAnsi"/>
          <w:i/>
          <w:iCs/>
          <w:sz w:val="20"/>
          <w:szCs w:val="20"/>
        </w:rPr>
        <w:t>., „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turi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būti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“, „ne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mažiau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“, „ne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daugiau</w:t>
      </w:r>
      <w:proofErr w:type="spellEnd"/>
      <w:r w:rsidRPr="00B34D71">
        <w:rPr>
          <w:rFonts w:cstheme="minorHAnsi"/>
          <w:i/>
          <w:iCs/>
          <w:sz w:val="20"/>
          <w:szCs w:val="20"/>
        </w:rPr>
        <w:t>“, „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arba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lygiavertis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“). Kai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parametras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nėra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išreiškiamas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konkrečia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skaitine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reikšme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pateikiamas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aiškus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atitikties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nustatytam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reikalavimui</w:t>
      </w:r>
      <w:proofErr w:type="spellEnd"/>
      <w:r w:rsidRPr="00B34D71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B34D71">
        <w:rPr>
          <w:rFonts w:cstheme="minorHAnsi"/>
          <w:i/>
          <w:iCs/>
          <w:sz w:val="20"/>
          <w:szCs w:val="20"/>
        </w:rPr>
        <w:t>patvirtinimas</w:t>
      </w:r>
      <w:proofErr w:type="spellEnd"/>
    </w:p>
    <w:p w14:paraId="5BBB93CA" w14:textId="77777777" w:rsidR="00F92EB6" w:rsidRDefault="00F92EB6" w:rsidP="00F92E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33D1996" w14:textId="6562AC22" w:rsidR="00682B8F" w:rsidRPr="00F92EB6" w:rsidRDefault="00F92EB6" w:rsidP="00F92E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>Prekės pristatymo vieta - VšĮ Respublikinės Klaipėdos ligoninės Palangos reabilitacijos filialas „Pušynas“, Žvejų g. 1, Palanga.</w:t>
      </w:r>
    </w:p>
    <w:p w14:paraId="5A0B2FA3" w14:textId="33832514" w:rsidR="00682B8F" w:rsidRPr="00F92EB6" w:rsidRDefault="00F92EB6" w:rsidP="00F92E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Pirkimo objektas turi būti pristatytas ir paruoštas darbui per </w:t>
      </w:r>
      <w:r w:rsidR="00652BCA" w:rsidRPr="00F92EB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652BCA" w:rsidRPr="00F92EB6">
        <w:rPr>
          <w:rFonts w:ascii="Times New Roman" w:hAnsi="Times New Roman" w:cs="Times New Roman"/>
          <w:sz w:val="24"/>
          <w:szCs w:val="24"/>
          <w:lang w:val="lt-LT"/>
        </w:rPr>
        <w:t>du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>) mėnes</w:t>
      </w:r>
      <w:r w:rsidR="00652BCA" w:rsidRPr="00F92EB6">
        <w:rPr>
          <w:rFonts w:ascii="Times New Roman" w:hAnsi="Times New Roman" w:cs="Times New Roman"/>
          <w:sz w:val="24"/>
          <w:szCs w:val="24"/>
          <w:lang w:val="lt-LT"/>
        </w:rPr>
        <w:t>ius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 nuo sutarties įsigaliojimo dienos, į šį terminą įeina ir personalo apmokymas.</w:t>
      </w:r>
    </w:p>
    <w:p w14:paraId="7A2F5721" w14:textId="5D2FB5EB" w:rsidR="00682B8F" w:rsidRPr="00F92EB6" w:rsidRDefault="00F92EB6" w:rsidP="00F92E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Pažintinių funkcijų lavinimo programos su įrangos įsigijimas </w:t>
      </w:r>
      <w:r w:rsidR="00682B8F" w:rsidRPr="00F92EB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finansuojamas iš VšĮ Respublikinės Klaipėdos ligoninės įgyvendinamo tarptautinio </w:t>
      </w:r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projekto „Skaitmeninės sveikatos technologijos greitesnei pažeidžiamų grupių reabilitacijai ir socialinei </w:t>
      </w:r>
      <w:proofErr w:type="spellStart"/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>įtraukčiai</w:t>
      </w:r>
      <w:proofErr w:type="spellEnd"/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“ (SPEED UP, Nr. LL-00270), finansuojamo iš 2021-2027 m. </w:t>
      </w:r>
      <w:proofErr w:type="spellStart"/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>Interreg</w:t>
      </w:r>
      <w:proofErr w:type="spellEnd"/>
      <w:r w:rsidR="00682B8F" w:rsidRPr="00F92EB6">
        <w:rPr>
          <w:rFonts w:ascii="Times New Roman" w:hAnsi="Times New Roman" w:cs="Times New Roman"/>
          <w:sz w:val="24"/>
          <w:szCs w:val="24"/>
          <w:lang w:val="lt-LT"/>
        </w:rPr>
        <w:t xml:space="preserve"> VI-A Latvijos ir Lietuvos bendradarbiavimo per sieną programos.</w:t>
      </w:r>
    </w:p>
    <w:p w14:paraId="19C069A7" w14:textId="052E98CF" w:rsidR="00570CAF" w:rsidRPr="009C4C26" w:rsidRDefault="00570CAF" w:rsidP="00570CA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</w:t>
      </w:r>
    </w:p>
    <w:sectPr w:rsidR="00570CAF" w:rsidRPr="009C4C26" w:rsidSect="00AC6C42">
      <w:headerReference w:type="default" r:id="rId7"/>
      <w:pgSz w:w="12240" w:h="15840"/>
      <w:pgMar w:top="1170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18FA" w14:textId="77777777" w:rsidR="00753557" w:rsidRDefault="00753557" w:rsidP="0055624F">
      <w:pPr>
        <w:spacing w:after="0" w:line="240" w:lineRule="auto"/>
      </w:pPr>
      <w:r>
        <w:separator/>
      </w:r>
    </w:p>
  </w:endnote>
  <w:endnote w:type="continuationSeparator" w:id="0">
    <w:p w14:paraId="3E1C54A0" w14:textId="77777777" w:rsidR="00753557" w:rsidRDefault="00753557" w:rsidP="0055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9AE7" w14:textId="77777777" w:rsidR="00753557" w:rsidRDefault="00753557" w:rsidP="0055624F">
      <w:pPr>
        <w:spacing w:after="0" w:line="240" w:lineRule="auto"/>
      </w:pPr>
      <w:r>
        <w:separator/>
      </w:r>
    </w:p>
  </w:footnote>
  <w:footnote w:type="continuationSeparator" w:id="0">
    <w:p w14:paraId="27FC472C" w14:textId="77777777" w:rsidR="00753557" w:rsidRDefault="00753557" w:rsidP="0055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0EF1" w14:textId="77777777" w:rsidR="0055624F" w:rsidRPr="005C070B" w:rsidRDefault="0055624F" w:rsidP="0055624F">
    <w:pPr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 xml:space="preserve">   </w:t>
    </w:r>
    <w:proofErr w:type="spellStart"/>
    <w:r w:rsidRPr="00E30D68">
      <w:rPr>
        <w:rFonts w:ascii="Times New Roman" w:hAnsi="Times New Roman" w:cs="Times New Roman"/>
        <w:i/>
        <w:iCs/>
      </w:rPr>
      <w:t>Specialiųjų</w:t>
    </w:r>
    <w:proofErr w:type="spellEnd"/>
    <w:r w:rsidRPr="00E30D68"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p</w:t>
    </w:r>
    <w:r w:rsidRPr="00E30D68">
      <w:rPr>
        <w:rFonts w:ascii="Times New Roman" w:hAnsi="Times New Roman" w:cs="Times New Roman"/>
        <w:i/>
        <w:iCs/>
      </w:rPr>
      <w:t>irkimo</w:t>
    </w:r>
    <w:proofErr w:type="spellEnd"/>
    <w:r w:rsidRPr="005C070B">
      <w:rPr>
        <w:rFonts w:ascii="Times New Roman" w:hAnsi="Times New Roman" w:cs="Times New Roman"/>
        <w:i/>
        <w:iCs/>
      </w:rPr>
      <w:t xml:space="preserve"> </w:t>
    </w:r>
    <w:proofErr w:type="spellStart"/>
    <w:r w:rsidRPr="005C070B">
      <w:rPr>
        <w:rFonts w:ascii="Times New Roman" w:hAnsi="Times New Roman" w:cs="Times New Roman"/>
        <w:i/>
        <w:iCs/>
      </w:rPr>
      <w:t>sąlygų</w:t>
    </w:r>
    <w:proofErr w:type="spellEnd"/>
    <w:r w:rsidRPr="005C070B">
      <w:rPr>
        <w:rFonts w:ascii="Times New Roman" w:hAnsi="Times New Roman" w:cs="Times New Roman"/>
        <w:i/>
        <w:iCs/>
      </w:rPr>
      <w:t xml:space="preserve"> 2 </w:t>
    </w:r>
    <w:proofErr w:type="spellStart"/>
    <w:r w:rsidRPr="005C070B">
      <w:rPr>
        <w:rFonts w:ascii="Times New Roman" w:hAnsi="Times New Roman" w:cs="Times New Roman"/>
        <w:i/>
        <w:iCs/>
      </w:rPr>
      <w:t>priedas</w:t>
    </w:r>
    <w:proofErr w:type="spellEnd"/>
    <w:r w:rsidRPr="005C070B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</w:rPr>
      <w:t>„</w:t>
    </w:r>
    <w:proofErr w:type="spellStart"/>
    <w:r w:rsidRPr="005C070B">
      <w:rPr>
        <w:rFonts w:ascii="Times New Roman" w:hAnsi="Times New Roman" w:cs="Times New Roman"/>
        <w:i/>
        <w:iCs/>
      </w:rPr>
      <w:t>Techninė</w:t>
    </w:r>
    <w:proofErr w:type="spellEnd"/>
    <w:r w:rsidRPr="005C070B">
      <w:rPr>
        <w:rFonts w:ascii="Times New Roman" w:hAnsi="Times New Roman" w:cs="Times New Roman"/>
        <w:i/>
        <w:iCs/>
      </w:rPr>
      <w:t xml:space="preserve"> </w:t>
    </w:r>
    <w:proofErr w:type="spellStart"/>
    <w:r w:rsidRPr="005C070B">
      <w:rPr>
        <w:rFonts w:ascii="Times New Roman" w:hAnsi="Times New Roman" w:cs="Times New Roman"/>
        <w:i/>
        <w:iCs/>
      </w:rPr>
      <w:t>specifikacija</w:t>
    </w:r>
    <w:proofErr w:type="spellEnd"/>
    <w:r>
      <w:rPr>
        <w:rFonts w:ascii="Times New Roman" w:hAnsi="Times New Roman" w:cs="Times New Roman"/>
        <w:i/>
        <w:iCs/>
      </w:rPr>
      <w:t>“</w:t>
    </w:r>
  </w:p>
  <w:p w14:paraId="2D044CF9" w14:textId="77777777" w:rsidR="0055624F" w:rsidRPr="0055624F" w:rsidRDefault="0055624F" w:rsidP="00556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0BBE"/>
    <w:multiLevelType w:val="hybridMultilevel"/>
    <w:tmpl w:val="4606C276"/>
    <w:lvl w:ilvl="0" w:tplc="DE8C5284">
      <w:start w:val="1"/>
      <w:numFmt w:val="decimal"/>
      <w:lvlText w:val="%1."/>
      <w:lvlJc w:val="left"/>
      <w:pPr>
        <w:ind w:left="720" w:hanging="360"/>
      </w:pPr>
    </w:lvl>
    <w:lvl w:ilvl="1" w:tplc="EAF2EC30">
      <w:start w:val="1"/>
      <w:numFmt w:val="decimal"/>
      <w:lvlText w:val="%2."/>
      <w:lvlJc w:val="left"/>
      <w:pPr>
        <w:ind w:left="720" w:hanging="360"/>
      </w:pPr>
    </w:lvl>
    <w:lvl w:ilvl="2" w:tplc="9A02E684">
      <w:start w:val="1"/>
      <w:numFmt w:val="decimal"/>
      <w:lvlText w:val="%3."/>
      <w:lvlJc w:val="left"/>
      <w:pPr>
        <w:ind w:left="720" w:hanging="360"/>
      </w:pPr>
    </w:lvl>
    <w:lvl w:ilvl="3" w:tplc="03F0561A">
      <w:start w:val="1"/>
      <w:numFmt w:val="decimal"/>
      <w:lvlText w:val="%4."/>
      <w:lvlJc w:val="left"/>
      <w:pPr>
        <w:ind w:left="720" w:hanging="360"/>
      </w:pPr>
    </w:lvl>
    <w:lvl w:ilvl="4" w:tplc="7B44690A">
      <w:start w:val="1"/>
      <w:numFmt w:val="decimal"/>
      <w:lvlText w:val="%5."/>
      <w:lvlJc w:val="left"/>
      <w:pPr>
        <w:ind w:left="720" w:hanging="360"/>
      </w:pPr>
    </w:lvl>
    <w:lvl w:ilvl="5" w:tplc="05A86F10">
      <w:start w:val="1"/>
      <w:numFmt w:val="decimal"/>
      <w:lvlText w:val="%6."/>
      <w:lvlJc w:val="left"/>
      <w:pPr>
        <w:ind w:left="720" w:hanging="360"/>
      </w:pPr>
    </w:lvl>
    <w:lvl w:ilvl="6" w:tplc="223A8648">
      <w:start w:val="1"/>
      <w:numFmt w:val="decimal"/>
      <w:lvlText w:val="%7."/>
      <w:lvlJc w:val="left"/>
      <w:pPr>
        <w:ind w:left="720" w:hanging="360"/>
      </w:pPr>
    </w:lvl>
    <w:lvl w:ilvl="7" w:tplc="D946FAE0">
      <w:start w:val="1"/>
      <w:numFmt w:val="decimal"/>
      <w:lvlText w:val="%8."/>
      <w:lvlJc w:val="left"/>
      <w:pPr>
        <w:ind w:left="720" w:hanging="360"/>
      </w:pPr>
    </w:lvl>
    <w:lvl w:ilvl="8" w:tplc="FFEA54D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5F70138"/>
    <w:multiLevelType w:val="multilevel"/>
    <w:tmpl w:val="E5266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B3000"/>
    <w:multiLevelType w:val="hybridMultilevel"/>
    <w:tmpl w:val="6362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C2341"/>
    <w:multiLevelType w:val="hybridMultilevel"/>
    <w:tmpl w:val="645204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44071522">
    <w:abstractNumId w:val="1"/>
  </w:num>
  <w:num w:numId="2" w16cid:durableId="301085197">
    <w:abstractNumId w:val="2"/>
  </w:num>
  <w:num w:numId="3" w16cid:durableId="1492454108">
    <w:abstractNumId w:val="3"/>
  </w:num>
  <w:num w:numId="4" w16cid:durableId="411314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2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13"/>
    <w:rsid w:val="00017518"/>
    <w:rsid w:val="00032981"/>
    <w:rsid w:val="0004181E"/>
    <w:rsid w:val="00065B40"/>
    <w:rsid w:val="00085348"/>
    <w:rsid w:val="00096599"/>
    <w:rsid w:val="000B5482"/>
    <w:rsid w:val="0012055D"/>
    <w:rsid w:val="0016211B"/>
    <w:rsid w:val="00172753"/>
    <w:rsid w:val="001B78F0"/>
    <w:rsid w:val="002235D9"/>
    <w:rsid w:val="00225736"/>
    <w:rsid w:val="00237E53"/>
    <w:rsid w:val="0026459C"/>
    <w:rsid w:val="002F62DA"/>
    <w:rsid w:val="0030746B"/>
    <w:rsid w:val="003259FC"/>
    <w:rsid w:val="00336068"/>
    <w:rsid w:val="003A172D"/>
    <w:rsid w:val="003E0623"/>
    <w:rsid w:val="004520BB"/>
    <w:rsid w:val="00497871"/>
    <w:rsid w:val="004B04E6"/>
    <w:rsid w:val="00506083"/>
    <w:rsid w:val="0055624F"/>
    <w:rsid w:val="00570CAF"/>
    <w:rsid w:val="00571091"/>
    <w:rsid w:val="005A435C"/>
    <w:rsid w:val="005D706B"/>
    <w:rsid w:val="005E4EC4"/>
    <w:rsid w:val="005F3BF9"/>
    <w:rsid w:val="00600A39"/>
    <w:rsid w:val="006140AF"/>
    <w:rsid w:val="00623154"/>
    <w:rsid w:val="00633009"/>
    <w:rsid w:val="00647EAB"/>
    <w:rsid w:val="00652BCA"/>
    <w:rsid w:val="00655319"/>
    <w:rsid w:val="00664510"/>
    <w:rsid w:val="00682B8F"/>
    <w:rsid w:val="00697B1A"/>
    <w:rsid w:val="006A42A2"/>
    <w:rsid w:val="006A6B35"/>
    <w:rsid w:val="006B1CDC"/>
    <w:rsid w:val="006E6361"/>
    <w:rsid w:val="00713DF6"/>
    <w:rsid w:val="007335E1"/>
    <w:rsid w:val="007369C5"/>
    <w:rsid w:val="00743566"/>
    <w:rsid w:val="007518E6"/>
    <w:rsid w:val="00753557"/>
    <w:rsid w:val="0075518D"/>
    <w:rsid w:val="00851242"/>
    <w:rsid w:val="009051A2"/>
    <w:rsid w:val="00914A41"/>
    <w:rsid w:val="00925980"/>
    <w:rsid w:val="0096131A"/>
    <w:rsid w:val="009A6C4B"/>
    <w:rsid w:val="009C4C26"/>
    <w:rsid w:val="009C6603"/>
    <w:rsid w:val="00A87A11"/>
    <w:rsid w:val="00A95413"/>
    <w:rsid w:val="00A976E3"/>
    <w:rsid w:val="00AB2FAF"/>
    <w:rsid w:val="00AC6C42"/>
    <w:rsid w:val="00AD284B"/>
    <w:rsid w:val="00AF11CD"/>
    <w:rsid w:val="00B804D7"/>
    <w:rsid w:val="00BD4603"/>
    <w:rsid w:val="00BF0AE6"/>
    <w:rsid w:val="00BF6D2E"/>
    <w:rsid w:val="00C0792D"/>
    <w:rsid w:val="00C11628"/>
    <w:rsid w:val="00C1780F"/>
    <w:rsid w:val="00CC760F"/>
    <w:rsid w:val="00CD5619"/>
    <w:rsid w:val="00CD578C"/>
    <w:rsid w:val="00D26694"/>
    <w:rsid w:val="00D3532F"/>
    <w:rsid w:val="00D7789F"/>
    <w:rsid w:val="00D94C2F"/>
    <w:rsid w:val="00DC506C"/>
    <w:rsid w:val="00DE608B"/>
    <w:rsid w:val="00EB15C5"/>
    <w:rsid w:val="00EB4D9B"/>
    <w:rsid w:val="00EC6470"/>
    <w:rsid w:val="00F33D29"/>
    <w:rsid w:val="00F374E8"/>
    <w:rsid w:val="00F4431F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A498"/>
  <w15:docId w15:val="{EBBB2ED0-27AF-4BE7-B28E-358DD20B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4F"/>
  </w:style>
  <w:style w:type="paragraph" w:styleId="Footer">
    <w:name w:val="footer"/>
    <w:basedOn w:val="Normal"/>
    <w:link w:val="FooterChar"/>
    <w:uiPriority w:val="99"/>
    <w:unhideWhenUsed/>
    <w:rsid w:val="0055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Donata Stankūnienė</cp:lastModifiedBy>
  <cp:revision>37</cp:revision>
  <dcterms:created xsi:type="dcterms:W3CDTF">2026-01-26T13:34:00Z</dcterms:created>
  <dcterms:modified xsi:type="dcterms:W3CDTF">2026-02-10T07:43:00Z</dcterms:modified>
</cp:coreProperties>
</file>