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049"/>
        <w:gridCol w:w="7307"/>
      </w:tblGrid>
      <w:tr w:rsidR="0002664A" w:rsidRPr="00DC51B7" w14:paraId="3D782D7F" w14:textId="77777777" w:rsidTr="00071BC8">
        <w:tc>
          <w:tcPr>
            <w:tcW w:w="1095" w:type="pct"/>
            <w:shd w:val="clear" w:color="auto" w:fill="FFFFCC"/>
            <w:vAlign w:val="center"/>
          </w:tcPr>
          <w:p w14:paraId="142B7684" w14:textId="77777777" w:rsidR="0002664A" w:rsidRPr="00DC51B7" w:rsidRDefault="0002664A" w:rsidP="00071BC8">
            <w:pPr>
              <w:spacing w:after="0" w:line="240" w:lineRule="auto"/>
              <w:rPr>
                <w:rFonts w:cstheme="minorHAnsi"/>
                <w:b/>
                <w:i w:val="0"/>
                <w:sz w:val="20"/>
                <w:szCs w:val="20"/>
              </w:rPr>
            </w:pPr>
            <w:r w:rsidRPr="00DC51B7">
              <w:rPr>
                <w:rFonts w:cstheme="minorHAnsi"/>
                <w:b/>
                <w:i w:val="0"/>
                <w:color w:val="548DD4"/>
                <w:sz w:val="20"/>
                <w:szCs w:val="20"/>
              </w:rPr>
              <w:t>RINKOS DALYVIŲ KONSULTACIJA</w:t>
            </w:r>
          </w:p>
        </w:tc>
        <w:tc>
          <w:tcPr>
            <w:tcW w:w="3905" w:type="pct"/>
            <w:vAlign w:val="center"/>
          </w:tcPr>
          <w:p w14:paraId="626E5322" w14:textId="7EDB6C09" w:rsidR="0002664A" w:rsidRPr="00DC51B7" w:rsidRDefault="00BC43F7" w:rsidP="00071BC8">
            <w:pPr>
              <w:spacing w:after="0" w:line="240" w:lineRule="auto"/>
              <w:jc w:val="both"/>
              <w:rPr>
                <w:rFonts w:cstheme="minorHAnsi"/>
                <w:b/>
                <w:i w:val="0"/>
                <w:sz w:val="20"/>
                <w:szCs w:val="20"/>
                <w:lang w:eastAsia="lt-LT"/>
              </w:rPr>
            </w:pPr>
            <w:r>
              <w:rPr>
                <w:rFonts w:cstheme="minorHAnsi"/>
                <w:b/>
                <w:i w:val="0"/>
                <w:sz w:val="20"/>
                <w:szCs w:val="20"/>
                <w:lang w:eastAsia="lt-LT"/>
              </w:rPr>
              <w:t>Rinkos konsultacija dėl p</w:t>
            </w:r>
            <w:r w:rsidR="0002664A" w:rsidRPr="00DC51B7">
              <w:rPr>
                <w:rFonts w:cstheme="minorHAnsi"/>
                <w:b/>
                <w:i w:val="0"/>
                <w:sz w:val="20"/>
                <w:szCs w:val="20"/>
                <w:lang w:eastAsia="lt-LT"/>
              </w:rPr>
              <w:t>retendentų į įstaigos vadovo pareigas kompetencijų vertinimo metodikos parengimo paslaug</w:t>
            </w:r>
            <w:r>
              <w:rPr>
                <w:rFonts w:cstheme="minorHAnsi"/>
                <w:b/>
                <w:i w:val="0"/>
                <w:sz w:val="20"/>
                <w:szCs w:val="20"/>
                <w:lang w:eastAsia="lt-LT"/>
              </w:rPr>
              <w:t>ų pirkimo</w:t>
            </w:r>
          </w:p>
        </w:tc>
      </w:tr>
    </w:tbl>
    <w:p w14:paraId="46763B6D" w14:textId="77777777" w:rsidR="0002664A" w:rsidRPr="00DC51B7" w:rsidRDefault="0002664A" w:rsidP="0002664A">
      <w:pPr>
        <w:spacing w:after="0" w:line="240" w:lineRule="auto"/>
        <w:jc w:val="both"/>
        <w:rPr>
          <w:rFonts w:eastAsia="Times New Roman" w:cstheme="minorHAnsi"/>
          <w:b/>
          <w:i w:val="0"/>
          <w:sz w:val="20"/>
          <w:szCs w:val="20"/>
        </w:rPr>
      </w:pPr>
    </w:p>
    <w:tbl>
      <w:tblPr>
        <w:tblW w:w="500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356"/>
      </w:tblGrid>
      <w:tr w:rsidR="0002664A" w:rsidRPr="00DC51B7" w14:paraId="6A5FE881" w14:textId="77777777" w:rsidTr="00071BC8">
        <w:tc>
          <w:tcPr>
            <w:tcW w:w="5000" w:type="pct"/>
            <w:shd w:val="clear" w:color="auto" w:fill="FFFFCC"/>
            <w:vAlign w:val="center"/>
          </w:tcPr>
          <w:p w14:paraId="40D299B7" w14:textId="77777777" w:rsidR="0002664A" w:rsidRPr="00DC51B7" w:rsidRDefault="0002664A" w:rsidP="00071BC8">
            <w:pPr>
              <w:spacing w:after="0" w:line="240" w:lineRule="auto"/>
              <w:rPr>
                <w:rFonts w:cstheme="minorHAnsi"/>
                <w:b/>
                <w:i w:val="0"/>
                <w:sz w:val="20"/>
                <w:szCs w:val="20"/>
              </w:rPr>
            </w:pPr>
            <w:r w:rsidRPr="00DC51B7">
              <w:rPr>
                <w:rFonts w:cstheme="minorHAnsi"/>
                <w:b/>
                <w:i w:val="0"/>
                <w:color w:val="548DD4"/>
                <w:sz w:val="20"/>
                <w:szCs w:val="20"/>
              </w:rPr>
              <w:t>PIRKIMO UŽDUOTIS</w:t>
            </w:r>
          </w:p>
        </w:tc>
      </w:tr>
    </w:tbl>
    <w:p w14:paraId="7C6793B2" w14:textId="77777777" w:rsidR="0002664A" w:rsidRPr="00DC51B7" w:rsidRDefault="0002664A" w:rsidP="0002664A">
      <w:pPr>
        <w:spacing w:after="0" w:line="240" w:lineRule="auto"/>
        <w:jc w:val="both"/>
        <w:rPr>
          <w:rFonts w:cstheme="minorHAnsi"/>
          <w:i w:val="0"/>
          <w:iCs/>
          <w:sz w:val="20"/>
          <w:szCs w:val="20"/>
        </w:rPr>
      </w:pPr>
      <w:r w:rsidRPr="00DC51B7">
        <w:rPr>
          <w:rFonts w:cstheme="minorHAnsi"/>
          <w:iCs/>
          <w:sz w:val="20"/>
          <w:szCs w:val="20"/>
        </w:rPr>
        <w:t>Ši informacija pateikiama supažindinimo tikslais, siekiant, kad potencialūs tiekėjai galėtų pateikti pastabas ar pasiūlymus dėl planuojamo pirkimo.</w:t>
      </w:r>
    </w:p>
    <w:p w14:paraId="2C9A1704" w14:textId="77777777" w:rsidR="0002664A" w:rsidRPr="00DC51B7" w:rsidRDefault="0002664A" w:rsidP="0002664A">
      <w:pPr>
        <w:spacing w:after="0" w:line="240" w:lineRule="auto"/>
        <w:jc w:val="both"/>
        <w:rPr>
          <w:rFonts w:cstheme="minorHAnsi"/>
          <w:b/>
          <w:bCs/>
          <w:i w:val="0"/>
          <w:iCs/>
          <w:sz w:val="20"/>
          <w:szCs w:val="20"/>
        </w:rPr>
      </w:pPr>
    </w:p>
    <w:p w14:paraId="2E71B7F7"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b/>
          <w:bCs/>
          <w:i w:val="0"/>
          <w:iCs/>
          <w:sz w:val="20"/>
          <w:szCs w:val="20"/>
        </w:rPr>
        <w:t>Įvadinė informacija.</w:t>
      </w:r>
    </w:p>
    <w:p w14:paraId="5BAB4B75"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i w:val="0"/>
          <w:iCs/>
          <w:sz w:val="20"/>
          <w:szCs w:val="20"/>
        </w:rPr>
        <w:t>Viešojo valdymo agentūra (toliau – VVA) centralizuotai organizuoja konkursus į valstybės ir savivaldybių institucijų ir įstaigų vadovų pareigas. Vienas iš privalomų konkursų etapų yra pretendentų bendrųjų, vadybinių ir lyderystės kompetencijų vertinimas, kuris atliekamas prieš pretendentų vertinimą konkurso komisijoje. Šio vertinimo tikslas – įvertinti pretendentų kompetencijas ir jų raišką, taikant skirtingus vertinimo metodus ir standartizuotas vertinimo procedūras.</w:t>
      </w:r>
    </w:p>
    <w:p w14:paraId="557AA158"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i w:val="0"/>
          <w:iCs/>
          <w:sz w:val="20"/>
          <w:szCs w:val="20"/>
        </w:rPr>
        <w:t xml:space="preserve">Kompetencijų vertinimo rezultatai naudojami privalomam pirminiam pretendentų vertinimui. Į vertinimą konkurso komisijoje atrenkami tik tie pretendentai, </w:t>
      </w:r>
      <w:r w:rsidRPr="00DC51B7">
        <w:rPr>
          <w:rFonts w:cstheme="minorHAnsi"/>
          <w:i w:val="0"/>
          <w:sz w:val="20"/>
          <w:szCs w:val="20"/>
        </w:rPr>
        <w:t>kurių kompetencijų vertinimo rezultatai atitinka konkurso komisijos nustatytą kompetencijų raiškos kriterijų.</w:t>
      </w:r>
    </w:p>
    <w:p w14:paraId="5C8C7EA4" w14:textId="593134E5"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i w:val="0"/>
          <w:iCs/>
          <w:sz w:val="20"/>
          <w:szCs w:val="20"/>
        </w:rPr>
        <w:t>Šiuo metu, taikant galiojančią kompetencijų vertinimo metodiką, vertinamos 6 kompetencijos: 3 bendrosios kompetencijos (analizė ir pagrindimas, organizuotumas, komunikacija) ir 3 vadybinės ir lyderystės kompetencijos (strateginis požiūris, veiklos valdymas, lyderystė). Vertinimui taikomas pusiau struktūruotas kompetencijomis grįstas interviu ir dvi praktinės užduotys („Dokumentų krepšelis“, „Atvejo pristatymas“). Vertinimą vykdo du ekspertai. Kompetencijų vertinimo rezultatai (išvada) galioja 3 metus. Pakartotinai vertinimas gali būti atliekamas ne anksčiau kaip po 6 mėnesių. Per metus VVA įvykdo apie 200 pretendentų vertinimų.</w:t>
      </w:r>
    </w:p>
    <w:p w14:paraId="14E332F8" w14:textId="3EC1DEBF" w:rsidR="0002664A" w:rsidRDefault="0002664A" w:rsidP="0002664A">
      <w:pPr>
        <w:pBdr>
          <w:top w:val="nil"/>
          <w:left w:val="nil"/>
          <w:bottom w:val="nil"/>
          <w:right w:val="nil"/>
          <w:between w:val="nil"/>
          <w:bar w:val="nil"/>
        </w:pBdr>
        <w:suppressAutoHyphens/>
        <w:spacing w:after="0" w:line="240" w:lineRule="auto"/>
        <w:ind w:firstLine="720"/>
        <w:jc w:val="both"/>
        <w:rPr>
          <w:rFonts w:cstheme="minorHAnsi"/>
          <w:i w:val="0"/>
          <w:iCs/>
          <w:sz w:val="20"/>
          <w:szCs w:val="20"/>
        </w:rPr>
      </w:pPr>
      <w:r w:rsidRPr="00DC51B7">
        <w:rPr>
          <w:rFonts w:cstheme="minorHAnsi"/>
          <w:i w:val="0"/>
          <w:iCs/>
          <w:sz w:val="20"/>
          <w:szCs w:val="20"/>
        </w:rPr>
        <w:t>VVA atlieka Lietuvos valstybės tarnautojų kompetencijų modelio peržiūrą ir atnaujinimą, įskaitant kompetencijų apibrėžimus, elgesio indikatorius ir jų struktūrą. 1 priede pateikiamas rengiamo kompetencijų modelio projektas.</w:t>
      </w:r>
      <w:r w:rsidRPr="00DC51B7">
        <w:rPr>
          <w:rFonts w:cstheme="minorHAnsi"/>
          <w:i w:val="0"/>
          <w:sz w:val="20"/>
          <w:szCs w:val="20"/>
        </w:rPr>
        <w:t xml:space="preserve"> Įgyvendinus kompetencijų modelio pakeitimus, taikoma kompetencijų vertinimo metodika nebeatitiks atnaujinto kompetencijų modelio.</w:t>
      </w:r>
      <w:r w:rsidRPr="00DC51B7">
        <w:rPr>
          <w:rFonts w:cstheme="minorHAnsi"/>
          <w:sz w:val="20"/>
          <w:szCs w:val="20"/>
        </w:rPr>
        <w:t xml:space="preserve"> </w:t>
      </w:r>
      <w:r w:rsidRPr="00DC51B7">
        <w:rPr>
          <w:rFonts w:cstheme="minorHAnsi"/>
          <w:i w:val="0"/>
          <w:iCs/>
          <w:sz w:val="20"/>
          <w:szCs w:val="20"/>
        </w:rPr>
        <w:t xml:space="preserve">Dėl šios priežasties bus reikalinga nauja, pagal vertinimo instrumentų kūrimo principus parengta ir </w:t>
      </w:r>
      <w:proofErr w:type="spellStart"/>
      <w:r w:rsidRPr="00DC51B7">
        <w:rPr>
          <w:rFonts w:cstheme="minorHAnsi"/>
          <w:i w:val="0"/>
          <w:iCs/>
          <w:sz w:val="20"/>
          <w:szCs w:val="20"/>
        </w:rPr>
        <w:t>psichometriškai</w:t>
      </w:r>
      <w:proofErr w:type="spellEnd"/>
      <w:r w:rsidRPr="00DC51B7">
        <w:rPr>
          <w:rFonts w:cstheme="minorHAnsi"/>
          <w:i w:val="0"/>
          <w:iCs/>
          <w:sz w:val="20"/>
          <w:szCs w:val="20"/>
        </w:rPr>
        <w:t xml:space="preserve"> pagrįsta pretendentų į įstaigos vadovo pareigas kompetencijų vertinimo metodika. </w:t>
      </w:r>
    </w:p>
    <w:p w14:paraId="6630BF13" w14:textId="09C03D3E" w:rsidR="0098243D" w:rsidRPr="0098243D" w:rsidRDefault="0098243D"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98243D">
        <w:rPr>
          <w:rFonts w:cstheme="minorHAnsi"/>
          <w:b/>
          <w:bCs/>
          <w:i w:val="0"/>
          <w:iCs/>
          <w:sz w:val="20"/>
          <w:szCs w:val="20"/>
        </w:rPr>
        <w:t>Pastaba:</w:t>
      </w:r>
      <w:r>
        <w:rPr>
          <w:rFonts w:cstheme="minorHAnsi"/>
          <w:i w:val="0"/>
          <w:iCs/>
          <w:sz w:val="20"/>
          <w:szCs w:val="20"/>
        </w:rPr>
        <w:t xml:space="preserve"> išsamesnė </w:t>
      </w:r>
      <w:r w:rsidRPr="0098243D">
        <w:rPr>
          <w:rFonts w:cstheme="minorHAnsi"/>
          <w:i w:val="0"/>
          <w:sz w:val="20"/>
          <w:szCs w:val="20"/>
        </w:rPr>
        <w:t xml:space="preserve">informacija apie konkursų į įstaigų vadovų pareigas procesą ir </w:t>
      </w:r>
      <w:r>
        <w:rPr>
          <w:rFonts w:cstheme="minorHAnsi"/>
          <w:i w:val="0"/>
          <w:sz w:val="20"/>
          <w:szCs w:val="20"/>
        </w:rPr>
        <w:t xml:space="preserve">vykdomą </w:t>
      </w:r>
      <w:r w:rsidRPr="0098243D">
        <w:rPr>
          <w:rFonts w:cstheme="minorHAnsi"/>
          <w:i w:val="0"/>
          <w:sz w:val="20"/>
          <w:szCs w:val="20"/>
        </w:rPr>
        <w:t xml:space="preserve">kompetencijų vertinimą skelbiama </w:t>
      </w:r>
      <w:hyperlink r:id="rId5" w:history="1">
        <w:r w:rsidRPr="0098243D">
          <w:rPr>
            <w:rStyle w:val="Hipersaitas"/>
            <w:rFonts w:cstheme="minorHAnsi"/>
            <w:i w:val="0"/>
            <w:sz w:val="20"/>
            <w:szCs w:val="20"/>
          </w:rPr>
          <w:t>VVA interneto svetainėje</w:t>
        </w:r>
      </w:hyperlink>
      <w:r w:rsidRPr="0098243D">
        <w:rPr>
          <w:rFonts w:cstheme="minorHAnsi"/>
          <w:i w:val="0"/>
          <w:sz w:val="20"/>
          <w:szCs w:val="20"/>
        </w:rPr>
        <w:t>.</w:t>
      </w:r>
    </w:p>
    <w:p w14:paraId="6B272251"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p>
    <w:p w14:paraId="575C6F8A"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b/>
          <w:bCs/>
          <w:i w:val="0"/>
          <w:iCs/>
          <w:sz w:val="20"/>
          <w:szCs w:val="20"/>
        </w:rPr>
        <w:t>Pirkimo užduoties aprašymas.</w:t>
      </w:r>
    </w:p>
    <w:p w14:paraId="102FF38D"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i w:val="0"/>
          <w:sz w:val="20"/>
          <w:szCs w:val="20"/>
        </w:rPr>
        <w:t>VVA planuoja įsigyti pretendentų į įstaigų vadovo pareigas kompetencijų vertinimo metodikos sukūrimo paslaugas, kurios apima:</w:t>
      </w:r>
    </w:p>
    <w:p w14:paraId="1A9F29B6" w14:textId="77777777" w:rsidR="0002664A" w:rsidRPr="00DC51B7" w:rsidRDefault="0002664A" w:rsidP="0002664A">
      <w:pPr>
        <w:pStyle w:val="Sraopastraipa"/>
        <w:numPr>
          <w:ilvl w:val="0"/>
          <w:numId w:val="1"/>
        </w:numPr>
        <w:pBdr>
          <w:top w:val="nil"/>
          <w:left w:val="nil"/>
          <w:bottom w:val="nil"/>
          <w:right w:val="nil"/>
          <w:between w:val="nil"/>
          <w:bar w:val="nil"/>
        </w:pBdr>
        <w:suppressAutoHyphens/>
        <w:spacing w:after="0" w:line="240" w:lineRule="auto"/>
        <w:jc w:val="both"/>
        <w:rPr>
          <w:rFonts w:eastAsia="Arial" w:cstheme="minorHAnsi"/>
          <w:i w:val="0"/>
          <w:color w:val="000000" w:themeColor="text1"/>
          <w:sz w:val="20"/>
          <w:szCs w:val="20"/>
          <w:lang w:eastAsia="ja-JP"/>
        </w:rPr>
      </w:pPr>
      <w:r w:rsidRPr="00DC51B7">
        <w:rPr>
          <w:rFonts w:cstheme="minorHAnsi"/>
          <w:i w:val="0"/>
          <w:sz w:val="20"/>
          <w:szCs w:val="20"/>
        </w:rPr>
        <w:t xml:space="preserve">metodikos koncepcijos (konstravimo projekto) parengimą, </w:t>
      </w:r>
    </w:p>
    <w:p w14:paraId="670FFB83" w14:textId="77777777" w:rsidR="0002664A" w:rsidRPr="00DC51B7" w:rsidRDefault="0002664A" w:rsidP="0002664A">
      <w:pPr>
        <w:pStyle w:val="Sraopastraipa"/>
        <w:numPr>
          <w:ilvl w:val="0"/>
          <w:numId w:val="1"/>
        </w:numPr>
        <w:spacing w:after="0" w:line="240" w:lineRule="auto"/>
        <w:jc w:val="both"/>
        <w:rPr>
          <w:rFonts w:cstheme="minorHAnsi"/>
          <w:i w:val="0"/>
          <w:sz w:val="20"/>
          <w:szCs w:val="20"/>
        </w:rPr>
      </w:pPr>
      <w:r w:rsidRPr="00DC51B7">
        <w:rPr>
          <w:rFonts w:cstheme="minorHAnsi"/>
          <w:i w:val="0"/>
          <w:sz w:val="20"/>
          <w:szCs w:val="20"/>
        </w:rPr>
        <w:t xml:space="preserve">vertinimo instrumentų sukūrimą ar adaptavimą, </w:t>
      </w:r>
    </w:p>
    <w:p w14:paraId="6B30CCF8" w14:textId="77777777" w:rsidR="0002664A" w:rsidRPr="00DC51B7" w:rsidRDefault="0002664A" w:rsidP="0002664A">
      <w:pPr>
        <w:pStyle w:val="Sraopastraipa"/>
        <w:numPr>
          <w:ilvl w:val="0"/>
          <w:numId w:val="1"/>
        </w:numPr>
        <w:spacing w:after="0" w:line="240" w:lineRule="auto"/>
        <w:jc w:val="both"/>
        <w:rPr>
          <w:rFonts w:cstheme="minorHAnsi"/>
          <w:i w:val="0"/>
          <w:sz w:val="20"/>
          <w:szCs w:val="20"/>
        </w:rPr>
      </w:pPr>
      <w:r w:rsidRPr="00DC51B7">
        <w:rPr>
          <w:rFonts w:cstheme="minorHAnsi"/>
          <w:i w:val="0"/>
          <w:sz w:val="20"/>
          <w:szCs w:val="20"/>
        </w:rPr>
        <w:t xml:space="preserve">pilotinį metodikos taikymą ir pirminį jos veikimo (validumo ir patikimumo) patikrinimą, </w:t>
      </w:r>
    </w:p>
    <w:p w14:paraId="4A343403" w14:textId="77777777" w:rsidR="0002664A" w:rsidRPr="00DC51B7" w:rsidRDefault="0002664A" w:rsidP="0002664A">
      <w:pPr>
        <w:pStyle w:val="Sraopastraipa"/>
        <w:numPr>
          <w:ilvl w:val="0"/>
          <w:numId w:val="1"/>
        </w:numPr>
        <w:spacing w:after="0" w:line="240" w:lineRule="auto"/>
        <w:jc w:val="both"/>
        <w:rPr>
          <w:rFonts w:cstheme="minorHAnsi"/>
          <w:i w:val="0"/>
          <w:sz w:val="20"/>
          <w:szCs w:val="20"/>
        </w:rPr>
      </w:pPr>
      <w:r w:rsidRPr="00DC51B7">
        <w:rPr>
          <w:rFonts w:cstheme="minorHAnsi"/>
          <w:i w:val="0"/>
          <w:sz w:val="20"/>
          <w:szCs w:val="20"/>
        </w:rPr>
        <w:t>galutinės metodikos parengimą,</w:t>
      </w:r>
    </w:p>
    <w:p w14:paraId="4FBC42E9" w14:textId="77777777" w:rsidR="0002664A" w:rsidRPr="00DC51B7" w:rsidRDefault="0002664A" w:rsidP="0002664A">
      <w:pPr>
        <w:pStyle w:val="Sraopastraipa"/>
        <w:numPr>
          <w:ilvl w:val="0"/>
          <w:numId w:val="1"/>
        </w:numPr>
        <w:spacing w:after="0" w:line="240" w:lineRule="auto"/>
        <w:jc w:val="both"/>
        <w:rPr>
          <w:rFonts w:cstheme="minorHAnsi"/>
          <w:i w:val="0"/>
          <w:sz w:val="20"/>
          <w:szCs w:val="20"/>
        </w:rPr>
      </w:pPr>
      <w:r w:rsidRPr="00DC51B7">
        <w:rPr>
          <w:rFonts w:cstheme="minorHAnsi"/>
          <w:i w:val="0"/>
          <w:sz w:val="20"/>
          <w:szCs w:val="20"/>
        </w:rPr>
        <w:t>2 užduočių rinkinių sukūrimą.</w:t>
      </w:r>
    </w:p>
    <w:p w14:paraId="045FCD19" w14:textId="77777777" w:rsidR="0002664A" w:rsidRPr="00DC51B7" w:rsidRDefault="0002664A" w:rsidP="0002664A">
      <w:pPr>
        <w:spacing w:after="0" w:line="240" w:lineRule="auto"/>
        <w:jc w:val="both"/>
        <w:rPr>
          <w:rFonts w:cstheme="minorHAnsi"/>
          <w:i w:val="0"/>
          <w:sz w:val="20"/>
          <w:szCs w:val="20"/>
        </w:rPr>
      </w:pPr>
    </w:p>
    <w:p w14:paraId="6A4BF37F"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b/>
          <w:bCs/>
          <w:sz w:val="20"/>
          <w:szCs w:val="20"/>
        </w:rPr>
        <w:t>Numatomi reikalavimai kompetencijų vertinimo metodikai</w:t>
      </w:r>
      <w:r w:rsidRPr="00DC51B7">
        <w:rPr>
          <w:rFonts w:cstheme="minorHAnsi"/>
          <w:sz w:val="20"/>
          <w:szCs w:val="20"/>
        </w:rPr>
        <w:t>.</w:t>
      </w:r>
      <w:r w:rsidRPr="00DC51B7">
        <w:rPr>
          <w:rFonts w:cstheme="minorHAnsi"/>
          <w:i w:val="0"/>
          <w:iCs/>
          <w:sz w:val="20"/>
          <w:szCs w:val="20"/>
        </w:rPr>
        <w:t xml:space="preserve"> Metodika turėtų:</w:t>
      </w:r>
    </w:p>
    <w:p w14:paraId="7EC950E9" w14:textId="77777777" w:rsidR="0002664A" w:rsidRPr="00DC51B7" w:rsidRDefault="0002664A" w:rsidP="0002664A">
      <w:pPr>
        <w:numPr>
          <w:ilvl w:val="0"/>
          <w:numId w:val="2"/>
        </w:numPr>
        <w:spacing w:after="0" w:line="240" w:lineRule="auto"/>
        <w:jc w:val="both"/>
        <w:rPr>
          <w:rFonts w:cstheme="minorHAnsi"/>
          <w:i w:val="0"/>
          <w:iCs/>
          <w:sz w:val="20"/>
          <w:szCs w:val="20"/>
        </w:rPr>
      </w:pPr>
      <w:r w:rsidRPr="00DC51B7">
        <w:rPr>
          <w:rFonts w:cstheme="minorHAnsi"/>
          <w:i w:val="0"/>
          <w:iCs/>
          <w:sz w:val="20"/>
          <w:szCs w:val="20"/>
        </w:rPr>
        <w:t>atitikti atnaujintą Lietuvos valstybės tarnautojų kompetencijų modelį;</w:t>
      </w:r>
    </w:p>
    <w:p w14:paraId="0C31EB91" w14:textId="77777777" w:rsidR="0002664A" w:rsidRPr="00DC51B7" w:rsidRDefault="0002664A" w:rsidP="0002664A">
      <w:pPr>
        <w:numPr>
          <w:ilvl w:val="0"/>
          <w:numId w:val="2"/>
        </w:numPr>
        <w:spacing w:after="0" w:line="240" w:lineRule="auto"/>
        <w:jc w:val="both"/>
        <w:rPr>
          <w:rFonts w:cstheme="minorHAnsi"/>
          <w:i w:val="0"/>
          <w:sz w:val="20"/>
          <w:szCs w:val="20"/>
        </w:rPr>
      </w:pPr>
      <w:r w:rsidRPr="00DC51B7">
        <w:rPr>
          <w:rFonts w:cstheme="minorHAnsi"/>
          <w:i w:val="0"/>
          <w:sz w:val="20"/>
          <w:szCs w:val="20"/>
        </w:rPr>
        <w:t xml:space="preserve">įtraukti vertinimo instrumentus ar jų derinius (pvz., praktines užduotis, kompetencijomis grįstą interviu ar kitus instrumentus, imituojančius realias įstaigų vadovams būdingas situacijas), kurie leistų stebėti pretendento elgesį, priimamus sprendimus ir fiksuoti kompetencijų raišką; </w:t>
      </w:r>
    </w:p>
    <w:p w14:paraId="7226C2F5" w14:textId="77777777" w:rsidR="0002664A" w:rsidRPr="00DC51B7" w:rsidRDefault="0002664A" w:rsidP="0002664A">
      <w:pPr>
        <w:numPr>
          <w:ilvl w:val="0"/>
          <w:numId w:val="2"/>
        </w:numPr>
        <w:spacing w:after="0" w:line="240" w:lineRule="auto"/>
        <w:jc w:val="both"/>
        <w:rPr>
          <w:rFonts w:cstheme="minorHAnsi"/>
          <w:i w:val="0"/>
          <w:sz w:val="20"/>
          <w:szCs w:val="20"/>
        </w:rPr>
      </w:pPr>
      <w:r w:rsidRPr="00DC51B7">
        <w:rPr>
          <w:rFonts w:cstheme="minorHAnsi"/>
          <w:i w:val="0"/>
          <w:iCs/>
          <w:sz w:val="20"/>
          <w:szCs w:val="20"/>
        </w:rPr>
        <w:t>papildomai gali būti naudojami klausimynai, testai, kiti instrumentai ar jų deriniai, integruoti į vertinimo logiką kaip papildomi informacijos šaltiniai</w:t>
      </w:r>
      <w:r w:rsidRPr="00DC51B7">
        <w:rPr>
          <w:rFonts w:cstheme="minorHAnsi"/>
          <w:i w:val="0"/>
          <w:sz w:val="20"/>
          <w:szCs w:val="20"/>
        </w:rPr>
        <w:t>;</w:t>
      </w:r>
    </w:p>
    <w:p w14:paraId="59722A83" w14:textId="77777777" w:rsidR="0002664A" w:rsidRPr="00DC51B7" w:rsidRDefault="0002664A" w:rsidP="0002664A">
      <w:pPr>
        <w:numPr>
          <w:ilvl w:val="0"/>
          <w:numId w:val="2"/>
        </w:numPr>
        <w:spacing w:after="0" w:line="240" w:lineRule="auto"/>
        <w:jc w:val="both"/>
        <w:rPr>
          <w:rFonts w:cstheme="minorHAnsi"/>
          <w:i w:val="0"/>
          <w:iCs/>
          <w:sz w:val="20"/>
          <w:szCs w:val="20"/>
        </w:rPr>
      </w:pPr>
      <w:r w:rsidRPr="00DC51B7">
        <w:rPr>
          <w:rFonts w:cstheme="minorHAnsi"/>
          <w:i w:val="0"/>
          <w:iCs/>
          <w:sz w:val="20"/>
          <w:szCs w:val="20"/>
        </w:rPr>
        <w:t>vertinti visas ar dauguma kompetencijų bent dviem skirtingais vertinimo instrumentais, iš kurių bent vienas būtų grįstas elgesio stebėjimu;</w:t>
      </w:r>
    </w:p>
    <w:p w14:paraId="17CDD454" w14:textId="62DDBB82" w:rsidR="00953977" w:rsidRPr="00953977" w:rsidRDefault="00953977" w:rsidP="00953977">
      <w:pPr>
        <w:numPr>
          <w:ilvl w:val="0"/>
          <w:numId w:val="2"/>
        </w:numPr>
        <w:spacing w:after="0" w:line="240" w:lineRule="auto"/>
        <w:jc w:val="both"/>
        <w:rPr>
          <w:rFonts w:cstheme="minorHAnsi"/>
          <w:i w:val="0"/>
          <w:sz w:val="20"/>
          <w:szCs w:val="20"/>
        </w:rPr>
      </w:pPr>
      <w:r w:rsidRPr="00953977">
        <w:rPr>
          <w:rFonts w:cstheme="minorHAnsi"/>
          <w:i w:val="0"/>
          <w:iCs/>
          <w:sz w:val="20"/>
          <w:szCs w:val="20"/>
        </w:rPr>
        <w:t>turėti aiškią rezultatų skaičiavimo ir apibendrinimo logiką bei praktinį jos įgyvendinimą, leidžiantį sistemingai apdoroti vertinimo duomenis ir generuoti aiškią bei objektyvią pretendento kompetencijų raiškos išvadą (pvz., silpnas / vidutinis / aukštas);</w:t>
      </w:r>
    </w:p>
    <w:p w14:paraId="68A597CF" w14:textId="18FE007D" w:rsidR="00E40216" w:rsidRPr="00E40216" w:rsidRDefault="00E40216" w:rsidP="0002664A">
      <w:pPr>
        <w:numPr>
          <w:ilvl w:val="0"/>
          <w:numId w:val="2"/>
        </w:numPr>
        <w:spacing w:after="0" w:line="240" w:lineRule="auto"/>
        <w:jc w:val="both"/>
        <w:rPr>
          <w:rFonts w:cstheme="minorHAnsi"/>
          <w:i w:val="0"/>
          <w:iCs/>
          <w:sz w:val="20"/>
          <w:szCs w:val="20"/>
        </w:rPr>
      </w:pPr>
      <w:r w:rsidRPr="00E40216">
        <w:rPr>
          <w:rFonts w:cstheme="minorHAnsi"/>
          <w:i w:val="0"/>
          <w:sz w:val="20"/>
          <w:szCs w:val="20"/>
        </w:rPr>
        <w:lastRenderedPageBreak/>
        <w:t>numatyti, kad kiekvieno pretendento kompetencijų vertinime dalyvautų du vertintojai, kurių stebėjimai ir įvertinimai būtų sistemingai apibendrinami taikant struktūruotą rezultatų integravimo procedūrą</w:t>
      </w:r>
      <w:r>
        <w:rPr>
          <w:rFonts w:cstheme="minorHAnsi"/>
          <w:i w:val="0"/>
          <w:sz w:val="20"/>
          <w:szCs w:val="20"/>
        </w:rPr>
        <w:t>;</w:t>
      </w:r>
    </w:p>
    <w:p w14:paraId="2606E623" w14:textId="4DF5C579" w:rsidR="0002664A" w:rsidRPr="00DC51B7" w:rsidRDefault="0002664A" w:rsidP="0002664A">
      <w:pPr>
        <w:numPr>
          <w:ilvl w:val="0"/>
          <w:numId w:val="2"/>
        </w:numPr>
        <w:spacing w:after="0" w:line="240" w:lineRule="auto"/>
        <w:jc w:val="both"/>
        <w:rPr>
          <w:rFonts w:cstheme="minorHAnsi"/>
          <w:i w:val="0"/>
          <w:iCs/>
          <w:sz w:val="20"/>
          <w:szCs w:val="20"/>
        </w:rPr>
      </w:pPr>
      <w:r w:rsidRPr="00DC51B7">
        <w:rPr>
          <w:rFonts w:cstheme="minorHAnsi"/>
          <w:i w:val="0"/>
          <w:iCs/>
          <w:sz w:val="20"/>
          <w:szCs w:val="20"/>
        </w:rPr>
        <w:t>būti standartizuota, lengvai administruojama, ekonomiška (laiko, finansų prasme);</w:t>
      </w:r>
    </w:p>
    <w:p w14:paraId="71B79B3D" w14:textId="77777777" w:rsidR="0002664A" w:rsidRPr="00DC51B7" w:rsidRDefault="0002664A" w:rsidP="0002664A">
      <w:pPr>
        <w:numPr>
          <w:ilvl w:val="0"/>
          <w:numId w:val="2"/>
        </w:numPr>
        <w:spacing w:after="0" w:line="240" w:lineRule="auto"/>
        <w:jc w:val="both"/>
        <w:rPr>
          <w:rFonts w:cstheme="minorHAnsi"/>
          <w:i w:val="0"/>
          <w:iCs/>
          <w:sz w:val="20"/>
          <w:szCs w:val="20"/>
        </w:rPr>
      </w:pPr>
      <w:r w:rsidRPr="00DC51B7">
        <w:rPr>
          <w:rFonts w:cstheme="minorHAnsi"/>
          <w:i w:val="0"/>
          <w:iCs/>
          <w:sz w:val="20"/>
          <w:szCs w:val="20"/>
        </w:rPr>
        <w:t>būti praktiškai įgyvendinama, atsižvelgiant į planuojamą apie 200 pretendentų per metus vertinimo srautą;</w:t>
      </w:r>
    </w:p>
    <w:p w14:paraId="2BCB5ACA" w14:textId="77777777" w:rsidR="0002664A" w:rsidRPr="00DC51B7" w:rsidRDefault="0002664A" w:rsidP="0002664A">
      <w:pPr>
        <w:numPr>
          <w:ilvl w:val="0"/>
          <w:numId w:val="2"/>
        </w:numPr>
        <w:spacing w:after="0" w:line="240" w:lineRule="auto"/>
        <w:jc w:val="both"/>
        <w:rPr>
          <w:rFonts w:cstheme="minorHAnsi"/>
          <w:i w:val="0"/>
          <w:iCs/>
          <w:sz w:val="20"/>
          <w:szCs w:val="20"/>
        </w:rPr>
      </w:pPr>
      <w:r w:rsidRPr="00DC51B7">
        <w:rPr>
          <w:rFonts w:cstheme="minorHAnsi"/>
          <w:i w:val="0"/>
          <w:iCs/>
          <w:sz w:val="20"/>
          <w:szCs w:val="20"/>
        </w:rPr>
        <w:t>remtis pagrindiniais vertinimo centro (</w:t>
      </w:r>
      <w:proofErr w:type="spellStart"/>
      <w:r w:rsidRPr="00DC51B7">
        <w:rPr>
          <w:rFonts w:cstheme="minorHAnsi"/>
          <w:i w:val="0"/>
          <w:iCs/>
          <w:sz w:val="20"/>
          <w:szCs w:val="20"/>
        </w:rPr>
        <w:t>assessment</w:t>
      </w:r>
      <w:proofErr w:type="spellEnd"/>
      <w:r w:rsidRPr="00DC51B7">
        <w:rPr>
          <w:rFonts w:cstheme="minorHAnsi"/>
          <w:i w:val="0"/>
          <w:iCs/>
          <w:sz w:val="20"/>
          <w:szCs w:val="20"/>
        </w:rPr>
        <w:t xml:space="preserve"> </w:t>
      </w:r>
      <w:proofErr w:type="spellStart"/>
      <w:r w:rsidRPr="00DC51B7">
        <w:rPr>
          <w:rFonts w:cstheme="minorHAnsi"/>
          <w:i w:val="0"/>
          <w:iCs/>
          <w:sz w:val="20"/>
          <w:szCs w:val="20"/>
        </w:rPr>
        <w:t>center</w:t>
      </w:r>
      <w:proofErr w:type="spellEnd"/>
      <w:r w:rsidRPr="00DC51B7">
        <w:rPr>
          <w:rFonts w:cstheme="minorHAnsi"/>
          <w:i w:val="0"/>
          <w:iCs/>
          <w:sz w:val="20"/>
          <w:szCs w:val="20"/>
        </w:rPr>
        <w:t>) principais, taikomais kompetencijų vertinimui (</w:t>
      </w:r>
      <w:proofErr w:type="spellStart"/>
      <w:r w:rsidRPr="00DC51B7">
        <w:rPr>
          <w:rFonts w:cstheme="minorHAnsi"/>
          <w:i w:val="0"/>
          <w:iCs/>
          <w:sz w:val="20"/>
          <w:szCs w:val="20"/>
        </w:rPr>
        <w:t>daugiainstrumentiškumas</w:t>
      </w:r>
      <w:proofErr w:type="spellEnd"/>
      <w:r w:rsidRPr="00DC51B7">
        <w:rPr>
          <w:rFonts w:cstheme="minorHAnsi"/>
          <w:i w:val="0"/>
          <w:iCs/>
          <w:sz w:val="20"/>
          <w:szCs w:val="20"/>
        </w:rPr>
        <w:t>, elgesio stebėjimu grįstas vertinimas, struktūruotas rezultatų apibendrinimas);</w:t>
      </w:r>
    </w:p>
    <w:p w14:paraId="3366B2F4" w14:textId="77777777" w:rsidR="0002664A" w:rsidRPr="00DC51B7" w:rsidRDefault="0002664A" w:rsidP="0002664A">
      <w:pPr>
        <w:numPr>
          <w:ilvl w:val="0"/>
          <w:numId w:val="2"/>
        </w:numPr>
        <w:spacing w:after="0" w:line="240" w:lineRule="auto"/>
        <w:jc w:val="both"/>
        <w:rPr>
          <w:rFonts w:cstheme="minorHAnsi"/>
          <w:i w:val="0"/>
          <w:sz w:val="20"/>
          <w:szCs w:val="20"/>
        </w:rPr>
      </w:pPr>
      <w:r w:rsidRPr="00DC51B7">
        <w:rPr>
          <w:rFonts w:cstheme="minorHAnsi"/>
          <w:i w:val="0"/>
          <w:sz w:val="20"/>
          <w:szCs w:val="20"/>
        </w:rPr>
        <w:t>būti dokumentuota, parengiant metodikos aprašymą, kuris leistų pagrįsti vertinimo instrumentų kūrimą ar adaptavimą, jų taikymo principus, rezultatų interpretavimą.</w:t>
      </w:r>
    </w:p>
    <w:p w14:paraId="05EBFDA1" w14:textId="77777777" w:rsidR="0002664A" w:rsidRPr="00DC51B7" w:rsidRDefault="0002664A" w:rsidP="0002664A">
      <w:pPr>
        <w:tabs>
          <w:tab w:val="num" w:pos="720"/>
        </w:tabs>
        <w:spacing w:after="0" w:line="240" w:lineRule="auto"/>
        <w:jc w:val="both"/>
        <w:rPr>
          <w:rFonts w:cstheme="minorHAnsi"/>
          <w:i w:val="0"/>
          <w:iCs/>
          <w:sz w:val="20"/>
          <w:szCs w:val="20"/>
        </w:rPr>
      </w:pPr>
      <w:r w:rsidRPr="00DC51B7">
        <w:rPr>
          <w:rFonts w:cstheme="minorHAnsi"/>
          <w:b/>
          <w:bCs/>
          <w:i w:val="0"/>
          <w:iCs/>
          <w:sz w:val="20"/>
          <w:szCs w:val="20"/>
        </w:rPr>
        <w:t>Pastaba:</w:t>
      </w:r>
      <w:r w:rsidRPr="00DC51B7">
        <w:rPr>
          <w:rFonts w:cstheme="minorHAnsi"/>
          <w:i w:val="0"/>
          <w:iCs/>
          <w:sz w:val="20"/>
          <w:szCs w:val="20"/>
        </w:rPr>
        <w:t xml:space="preserve"> detalūs reikalavimai kompetencijų vertinimo metodikai bus pateikti projekto konkurso dokumentuose.</w:t>
      </w:r>
    </w:p>
    <w:p w14:paraId="496DCBCD" w14:textId="77777777" w:rsidR="0002664A" w:rsidRDefault="0002664A" w:rsidP="0002664A">
      <w:pPr>
        <w:spacing w:after="0" w:line="240" w:lineRule="auto"/>
        <w:jc w:val="both"/>
        <w:rPr>
          <w:rFonts w:cstheme="minorHAnsi"/>
          <w:i w:val="0"/>
          <w:iCs/>
          <w:sz w:val="20"/>
          <w:szCs w:val="20"/>
        </w:rPr>
      </w:pPr>
    </w:p>
    <w:p w14:paraId="52B75A7C" w14:textId="411793FC" w:rsidR="00C82417" w:rsidRPr="00C82417" w:rsidRDefault="00C82417" w:rsidP="00C82417">
      <w:pPr>
        <w:spacing w:after="0" w:line="240" w:lineRule="auto"/>
        <w:ind w:firstLine="720"/>
        <w:jc w:val="both"/>
        <w:rPr>
          <w:rFonts w:cstheme="minorHAnsi"/>
          <w:i w:val="0"/>
          <w:sz w:val="20"/>
          <w:szCs w:val="20"/>
        </w:rPr>
      </w:pPr>
      <w:r>
        <w:rPr>
          <w:rFonts w:cstheme="minorHAnsi"/>
          <w:b/>
          <w:bCs/>
          <w:iCs/>
          <w:sz w:val="20"/>
          <w:szCs w:val="20"/>
        </w:rPr>
        <w:t>D</w:t>
      </w:r>
      <w:r w:rsidRPr="00C82417">
        <w:rPr>
          <w:rFonts w:cstheme="minorHAnsi"/>
          <w:b/>
          <w:bCs/>
          <w:iCs/>
          <w:sz w:val="20"/>
          <w:szCs w:val="20"/>
        </w:rPr>
        <w:t>ėl intelektinės nuosavybės:</w:t>
      </w:r>
      <w:r w:rsidRPr="00C82417">
        <w:rPr>
          <w:rFonts w:cstheme="minorHAnsi"/>
          <w:iCs/>
          <w:sz w:val="20"/>
          <w:szCs w:val="20"/>
        </w:rPr>
        <w:t xml:space="preserve"> </w:t>
      </w:r>
      <w:r w:rsidRPr="00C82417">
        <w:rPr>
          <w:rFonts w:cstheme="minorHAnsi"/>
          <w:i w:val="0"/>
          <w:sz w:val="20"/>
          <w:szCs w:val="20"/>
        </w:rPr>
        <w:t xml:space="preserve">Vykdant sutartį </w:t>
      </w:r>
      <w:r w:rsidRPr="0063456B">
        <w:rPr>
          <w:rFonts w:cstheme="minorHAnsi"/>
          <w:iCs/>
          <w:sz w:val="20"/>
          <w:szCs w:val="20"/>
        </w:rPr>
        <w:t>sukurti rezultatai</w:t>
      </w:r>
      <w:r w:rsidRPr="00C82417">
        <w:rPr>
          <w:rFonts w:cstheme="minorHAnsi"/>
          <w:i w:val="0"/>
          <w:sz w:val="20"/>
          <w:szCs w:val="20"/>
        </w:rPr>
        <w:t xml:space="preserve"> (metodikos aprašymas, </w:t>
      </w:r>
      <w:r w:rsidR="005226EF">
        <w:rPr>
          <w:rFonts w:cstheme="minorHAnsi"/>
          <w:i w:val="0"/>
          <w:sz w:val="20"/>
          <w:szCs w:val="20"/>
        </w:rPr>
        <w:t xml:space="preserve">sukurti vertinimo instrumentai, </w:t>
      </w:r>
      <w:r w:rsidRPr="00C82417">
        <w:rPr>
          <w:rFonts w:cstheme="minorHAnsi"/>
          <w:i w:val="0"/>
          <w:sz w:val="20"/>
          <w:szCs w:val="20"/>
        </w:rPr>
        <w:t>užduočių rinkiniai ir kita medžiaga) tampa VVA nuosavybe. Perkančiajai organizacijai perduodamos visos turtinės autorių teisės.</w:t>
      </w:r>
    </w:p>
    <w:p w14:paraId="791B5CA8" w14:textId="77777777" w:rsidR="00C82417" w:rsidRDefault="00C82417" w:rsidP="0002664A">
      <w:pPr>
        <w:spacing w:after="0" w:line="240" w:lineRule="auto"/>
        <w:jc w:val="both"/>
        <w:rPr>
          <w:rFonts w:cstheme="minorHAnsi"/>
          <w:i w:val="0"/>
          <w:iCs/>
          <w:sz w:val="20"/>
          <w:szCs w:val="20"/>
        </w:rPr>
      </w:pPr>
    </w:p>
    <w:p w14:paraId="143047CC"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b/>
          <w:bCs/>
          <w:sz w:val="20"/>
          <w:szCs w:val="20"/>
        </w:rPr>
        <w:t xml:space="preserve">Tiekėjo pasiūlymo forma projekto konkurso metu. </w:t>
      </w:r>
      <w:r w:rsidRPr="00DC51B7">
        <w:rPr>
          <w:rFonts w:cstheme="minorHAnsi"/>
          <w:i w:val="0"/>
          <w:iCs/>
          <w:sz w:val="20"/>
          <w:szCs w:val="20"/>
        </w:rPr>
        <w:t>Projekto konkurso metu tiekėjų bus prašoma pateikti kompetencijų vertinimo metodikos koncepciją, t. y. siūlomą metodikos kūrimo projektą koncepciniu lygmeniu. Tiekėjai turėtų pateikti aiškią ir argumentuotą informaciją, kuri leistų vertinimo komisijai įvertinti siūlomos metodikos mokslinį ir praktinį pagrįstumą. Koncepcijoje galėtų būti pateikta, pavyzdžiui:</w:t>
      </w:r>
    </w:p>
    <w:p w14:paraId="1B3F2C29" w14:textId="77777777" w:rsidR="0002664A" w:rsidRPr="00DC51B7" w:rsidRDefault="0002664A" w:rsidP="0002664A">
      <w:pPr>
        <w:numPr>
          <w:ilvl w:val="0"/>
          <w:numId w:val="3"/>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metodikos taikymo apimtis ir vertinamos kompetencijos, atsižvelgiant į atnaujintą kompetencijų modelį (bus pateiktas tiekėjams);</w:t>
      </w:r>
    </w:p>
    <w:p w14:paraId="618DEC92" w14:textId="77777777" w:rsidR="0002664A" w:rsidRPr="00DC51B7" w:rsidRDefault="0002664A" w:rsidP="0002664A">
      <w:pPr>
        <w:numPr>
          <w:ilvl w:val="0"/>
          <w:numId w:val="3"/>
        </w:numPr>
        <w:tabs>
          <w:tab w:val="clear" w:pos="360"/>
          <w:tab w:val="num" w:pos="720"/>
        </w:tabs>
        <w:spacing w:after="0" w:line="240" w:lineRule="auto"/>
        <w:ind w:left="720"/>
        <w:jc w:val="both"/>
        <w:rPr>
          <w:rFonts w:cstheme="minorHAnsi"/>
          <w:i w:val="0"/>
          <w:sz w:val="20"/>
          <w:szCs w:val="20"/>
        </w:rPr>
      </w:pPr>
      <w:r w:rsidRPr="00DC51B7">
        <w:rPr>
          <w:rFonts w:cstheme="minorHAnsi"/>
          <w:i w:val="0"/>
          <w:sz w:val="20"/>
          <w:szCs w:val="20"/>
        </w:rPr>
        <w:t>siūlomi vertinimo metodai, instrumentai ir jų pasirinkimo pagrindimas, įskaitant planuojamą jų kūrimą ar adaptavimą;</w:t>
      </w:r>
    </w:p>
    <w:p w14:paraId="1CB9886A" w14:textId="77777777" w:rsidR="0002664A" w:rsidRPr="00DC51B7" w:rsidRDefault="0002664A" w:rsidP="0002664A">
      <w:pPr>
        <w:numPr>
          <w:ilvl w:val="0"/>
          <w:numId w:val="3"/>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metodikos konstrukcija (bendroji struktūra ir logika);</w:t>
      </w:r>
    </w:p>
    <w:p w14:paraId="14B30927" w14:textId="77777777" w:rsidR="0002664A" w:rsidRPr="00DC51B7" w:rsidRDefault="0002664A" w:rsidP="0002664A">
      <w:pPr>
        <w:numPr>
          <w:ilvl w:val="0"/>
          <w:numId w:val="3"/>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vertinimo proceso bei rezultatų skaičiavimo ir apibendrinimo principai, kompetencijų lygių (silpnas / vidutinis / aukštas) nustatymo logika;</w:t>
      </w:r>
    </w:p>
    <w:p w14:paraId="3372CAF3" w14:textId="77777777" w:rsidR="0002664A" w:rsidRPr="00DC51B7" w:rsidRDefault="0002664A" w:rsidP="0002664A">
      <w:pPr>
        <w:numPr>
          <w:ilvl w:val="0"/>
          <w:numId w:val="3"/>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vertinimo proceso administravimo sprendimai ir reikalavimai;</w:t>
      </w:r>
    </w:p>
    <w:p w14:paraId="55E0A571" w14:textId="77777777" w:rsidR="0002664A" w:rsidRPr="00DC51B7" w:rsidRDefault="0002664A" w:rsidP="0002664A">
      <w:pPr>
        <w:numPr>
          <w:ilvl w:val="0"/>
          <w:numId w:val="3"/>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 xml:space="preserve">metodikos mokslinio ir praktinio pagrįstumo argumentai, remiantis </w:t>
      </w:r>
      <w:proofErr w:type="spellStart"/>
      <w:r w:rsidRPr="00DC51B7">
        <w:rPr>
          <w:rFonts w:cstheme="minorHAnsi"/>
          <w:i w:val="0"/>
          <w:iCs/>
          <w:sz w:val="20"/>
          <w:szCs w:val="20"/>
        </w:rPr>
        <w:t>psichometrikos</w:t>
      </w:r>
      <w:proofErr w:type="spellEnd"/>
      <w:r w:rsidRPr="00DC51B7">
        <w:rPr>
          <w:rFonts w:cstheme="minorHAnsi"/>
          <w:i w:val="0"/>
          <w:iCs/>
          <w:sz w:val="20"/>
          <w:szCs w:val="20"/>
        </w:rPr>
        <w:t xml:space="preserve"> principais ir pripažinta praktika;</w:t>
      </w:r>
    </w:p>
    <w:p w14:paraId="2637BFBC" w14:textId="688AEB17" w:rsidR="0002664A" w:rsidRPr="00DC51B7" w:rsidRDefault="0002664A" w:rsidP="0002664A">
      <w:pPr>
        <w:numPr>
          <w:ilvl w:val="0"/>
          <w:numId w:val="4"/>
        </w:numPr>
        <w:tabs>
          <w:tab w:val="clear" w:pos="360"/>
          <w:tab w:val="num" w:pos="720"/>
        </w:tabs>
        <w:spacing w:after="0" w:line="240" w:lineRule="auto"/>
        <w:ind w:left="720"/>
        <w:jc w:val="both"/>
        <w:rPr>
          <w:rFonts w:cstheme="minorHAnsi"/>
          <w:i w:val="0"/>
          <w:sz w:val="20"/>
          <w:szCs w:val="20"/>
        </w:rPr>
      </w:pPr>
      <w:r w:rsidRPr="00DC51B7">
        <w:rPr>
          <w:rFonts w:cstheme="minorHAnsi"/>
          <w:i w:val="0"/>
          <w:sz w:val="20"/>
          <w:szCs w:val="20"/>
        </w:rPr>
        <w:t>numatomi metodikos taikymo ribotumai ir galimos rizikos, įskaitant potencialius veiksnius, galinčius paveikti rezultatų patikimumą</w:t>
      </w:r>
      <w:r w:rsidR="0063456B">
        <w:rPr>
          <w:rFonts w:cstheme="minorHAnsi"/>
          <w:i w:val="0"/>
          <w:sz w:val="20"/>
          <w:szCs w:val="20"/>
        </w:rPr>
        <w:t>;</w:t>
      </w:r>
    </w:p>
    <w:p w14:paraId="43C3676A" w14:textId="77777777" w:rsidR="0002664A" w:rsidRPr="00DC51B7" w:rsidRDefault="0002664A" w:rsidP="0002664A">
      <w:pPr>
        <w:numPr>
          <w:ilvl w:val="0"/>
          <w:numId w:val="3"/>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preliminarios vertinimo procedūrų trukmės;</w:t>
      </w:r>
    </w:p>
    <w:p w14:paraId="3A63185D" w14:textId="77777777" w:rsidR="0002664A" w:rsidRPr="00DC51B7" w:rsidRDefault="0002664A" w:rsidP="0002664A">
      <w:pPr>
        <w:numPr>
          <w:ilvl w:val="0"/>
          <w:numId w:val="3"/>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preliminarus metodikos patikimumo ir validumo patikrinimo / tyrimo planas.</w:t>
      </w:r>
    </w:p>
    <w:p w14:paraId="2A84D74E" w14:textId="77777777" w:rsidR="006126C1" w:rsidRDefault="0002664A" w:rsidP="006126C1">
      <w:pPr>
        <w:spacing w:after="0" w:line="240" w:lineRule="auto"/>
        <w:jc w:val="both"/>
        <w:rPr>
          <w:rFonts w:cstheme="minorHAnsi"/>
          <w:i w:val="0"/>
          <w:iCs/>
          <w:sz w:val="20"/>
          <w:szCs w:val="20"/>
        </w:rPr>
      </w:pPr>
      <w:r w:rsidRPr="00DC51B7">
        <w:rPr>
          <w:rFonts w:cstheme="minorHAnsi"/>
          <w:b/>
          <w:bCs/>
          <w:i w:val="0"/>
          <w:iCs/>
          <w:sz w:val="20"/>
          <w:szCs w:val="20"/>
        </w:rPr>
        <w:t>Pastaba:</w:t>
      </w:r>
      <w:r w:rsidRPr="00DC51B7">
        <w:rPr>
          <w:rFonts w:cstheme="minorHAnsi"/>
          <w:i w:val="0"/>
          <w:iCs/>
          <w:sz w:val="20"/>
          <w:szCs w:val="20"/>
        </w:rPr>
        <w:t xml:space="preserve"> detalūs reikalavimai metodikos koncepcijos turiniui ir jos vertinimo kriterijai bus pateikti projekto konkurso dokumentuose.</w:t>
      </w:r>
    </w:p>
    <w:p w14:paraId="70EF95A7" w14:textId="77777777" w:rsidR="006126C1" w:rsidRDefault="006126C1" w:rsidP="006126C1">
      <w:pPr>
        <w:spacing w:after="0" w:line="240" w:lineRule="auto"/>
        <w:ind w:firstLine="720"/>
        <w:jc w:val="both"/>
        <w:rPr>
          <w:rFonts w:cstheme="minorHAnsi"/>
          <w:i w:val="0"/>
          <w:iCs/>
          <w:sz w:val="20"/>
          <w:szCs w:val="20"/>
        </w:rPr>
      </w:pPr>
    </w:p>
    <w:p w14:paraId="7796DFC8" w14:textId="77777777" w:rsidR="0002664A" w:rsidRPr="00DC51B7" w:rsidRDefault="0002664A" w:rsidP="0002664A">
      <w:pPr>
        <w:pBdr>
          <w:top w:val="nil"/>
          <w:left w:val="nil"/>
          <w:bottom w:val="nil"/>
          <w:right w:val="nil"/>
          <w:between w:val="nil"/>
          <w:bar w:val="nil"/>
        </w:pBdr>
        <w:suppressAutoHyphens/>
        <w:spacing w:after="0" w:line="240" w:lineRule="auto"/>
        <w:ind w:firstLine="720"/>
        <w:jc w:val="both"/>
        <w:rPr>
          <w:rFonts w:eastAsia="Arial" w:cstheme="minorHAnsi"/>
          <w:i w:val="0"/>
          <w:color w:val="000000" w:themeColor="text1"/>
          <w:sz w:val="20"/>
          <w:szCs w:val="20"/>
          <w:lang w:eastAsia="ja-JP"/>
        </w:rPr>
      </w:pPr>
      <w:r w:rsidRPr="00DC51B7">
        <w:rPr>
          <w:rFonts w:cstheme="minorHAnsi"/>
          <w:b/>
          <w:bCs/>
          <w:i w:val="0"/>
          <w:iCs/>
          <w:sz w:val="20"/>
          <w:szCs w:val="20"/>
        </w:rPr>
        <w:t>Planuojamos viešųjų pirkimų procedūros</w:t>
      </w:r>
    </w:p>
    <w:p w14:paraId="7213FB8E" w14:textId="6F1A3300" w:rsidR="0002664A" w:rsidRPr="00DC51B7" w:rsidRDefault="0002664A" w:rsidP="0002664A">
      <w:pPr>
        <w:spacing w:after="0" w:line="240" w:lineRule="auto"/>
        <w:ind w:firstLine="720"/>
        <w:jc w:val="both"/>
        <w:rPr>
          <w:rFonts w:cstheme="minorHAnsi"/>
          <w:i w:val="0"/>
          <w:iCs/>
          <w:sz w:val="20"/>
          <w:szCs w:val="20"/>
        </w:rPr>
      </w:pPr>
      <w:r w:rsidRPr="00DC51B7">
        <w:rPr>
          <w:rFonts w:cstheme="minorHAnsi"/>
          <w:i w:val="0"/>
          <w:iCs/>
          <w:sz w:val="20"/>
          <w:szCs w:val="20"/>
        </w:rPr>
        <w:t>VVA planuoja organizuoti projekto konkursą kompetencijų vertinimo metodikos sukūrimui. Konkursas suteiks tiekėjams galimybę pateikti savo idėjas ir pasiūlymus dėl metodikos kūrimo, kurie bus vertinami pagal metodikos koncepcijos kokybę, o ne pagal kainą. Projekto konkurso dalyviams gali būti skiriami prizai arba piniginės išmokos.</w:t>
      </w:r>
    </w:p>
    <w:p w14:paraId="03A67931" w14:textId="77777777" w:rsidR="0002664A" w:rsidRPr="00DC51B7" w:rsidRDefault="0002664A" w:rsidP="0002664A">
      <w:pPr>
        <w:spacing w:after="0" w:line="240" w:lineRule="auto"/>
        <w:ind w:firstLine="720"/>
        <w:jc w:val="both"/>
        <w:rPr>
          <w:rFonts w:cstheme="minorHAnsi"/>
          <w:i w:val="0"/>
          <w:iCs/>
          <w:sz w:val="20"/>
          <w:szCs w:val="20"/>
        </w:rPr>
      </w:pPr>
      <w:r w:rsidRPr="00DC51B7">
        <w:rPr>
          <w:rFonts w:cstheme="minorHAnsi"/>
          <w:i w:val="0"/>
          <w:iCs/>
          <w:sz w:val="20"/>
          <w:szCs w:val="20"/>
        </w:rPr>
        <w:t>Numatoma procedūros eiga:</w:t>
      </w:r>
    </w:p>
    <w:p w14:paraId="2483F0FE" w14:textId="77777777" w:rsidR="0002664A" w:rsidRPr="00DC51B7" w:rsidRDefault="0002664A" w:rsidP="0002664A">
      <w:pPr>
        <w:numPr>
          <w:ilvl w:val="0"/>
          <w:numId w:val="5"/>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I etapas – projekto konkursas: tiekėjai pateikia metodikos koncepcijas, t. y. siūlomą metodikos kūrimo projektą, ir varžosi idėjomis.</w:t>
      </w:r>
    </w:p>
    <w:p w14:paraId="74C10FD8" w14:textId="77777777" w:rsidR="0002664A" w:rsidRPr="00DC51B7" w:rsidRDefault="0002664A" w:rsidP="0002664A">
      <w:pPr>
        <w:numPr>
          <w:ilvl w:val="0"/>
          <w:numId w:val="5"/>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II etapas – neskelbiamos derybos: derybos vyks su 1–3 geriausius projektus pateikusiais tiekėjais.</w:t>
      </w:r>
    </w:p>
    <w:p w14:paraId="2D89CDED" w14:textId="77777777" w:rsidR="0002664A" w:rsidRPr="00DC51B7" w:rsidRDefault="0002664A" w:rsidP="0002664A">
      <w:pPr>
        <w:numPr>
          <w:ilvl w:val="0"/>
          <w:numId w:val="5"/>
        </w:numPr>
        <w:tabs>
          <w:tab w:val="clear" w:pos="360"/>
          <w:tab w:val="num" w:pos="720"/>
        </w:tabs>
        <w:spacing w:after="0" w:line="240" w:lineRule="auto"/>
        <w:ind w:left="720"/>
        <w:jc w:val="both"/>
        <w:rPr>
          <w:rFonts w:cstheme="minorHAnsi"/>
          <w:i w:val="0"/>
          <w:iCs/>
          <w:sz w:val="20"/>
          <w:szCs w:val="20"/>
        </w:rPr>
      </w:pPr>
      <w:r w:rsidRPr="00DC51B7">
        <w:rPr>
          <w:rFonts w:cstheme="minorHAnsi"/>
          <w:i w:val="0"/>
          <w:iCs/>
          <w:sz w:val="20"/>
          <w:szCs w:val="20"/>
        </w:rPr>
        <w:t>III etapas – sutarties sudarymas: sutartis bus pasirašoma su projekto konkurso nugalėtoju.</w:t>
      </w:r>
    </w:p>
    <w:p w14:paraId="6D6A65D2" w14:textId="77777777" w:rsidR="00E94FAF" w:rsidRDefault="00E94FAF"/>
    <w:sectPr w:rsidR="00E94FAF" w:rsidSect="00D97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F3F84"/>
    <w:multiLevelType w:val="multilevel"/>
    <w:tmpl w:val="EA02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F1F57"/>
    <w:multiLevelType w:val="multilevel"/>
    <w:tmpl w:val="FA32DB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EAC10AE"/>
    <w:multiLevelType w:val="multilevel"/>
    <w:tmpl w:val="17461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D8C2D24"/>
    <w:multiLevelType w:val="hybridMultilevel"/>
    <w:tmpl w:val="5AFE5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7CC3AA6"/>
    <w:multiLevelType w:val="multilevel"/>
    <w:tmpl w:val="616C0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9074537">
    <w:abstractNumId w:val="3"/>
  </w:num>
  <w:num w:numId="2" w16cid:durableId="531579462">
    <w:abstractNumId w:val="0"/>
  </w:num>
  <w:num w:numId="3" w16cid:durableId="1789157417">
    <w:abstractNumId w:val="1"/>
  </w:num>
  <w:num w:numId="4" w16cid:durableId="569117653">
    <w:abstractNumId w:val="2"/>
  </w:num>
  <w:num w:numId="5" w16cid:durableId="1211499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A"/>
    <w:rsid w:val="0002664A"/>
    <w:rsid w:val="001D3B6C"/>
    <w:rsid w:val="003E3534"/>
    <w:rsid w:val="00505D42"/>
    <w:rsid w:val="005226EF"/>
    <w:rsid w:val="00526561"/>
    <w:rsid w:val="005D7644"/>
    <w:rsid w:val="006126C1"/>
    <w:rsid w:val="0063456B"/>
    <w:rsid w:val="007004B1"/>
    <w:rsid w:val="007123F4"/>
    <w:rsid w:val="00953977"/>
    <w:rsid w:val="0098243D"/>
    <w:rsid w:val="009D460E"/>
    <w:rsid w:val="00A341C6"/>
    <w:rsid w:val="00BC43F7"/>
    <w:rsid w:val="00C82417"/>
    <w:rsid w:val="00D97468"/>
    <w:rsid w:val="00E067EF"/>
    <w:rsid w:val="00E40216"/>
    <w:rsid w:val="00E85AEC"/>
    <w:rsid w:val="00E94FAF"/>
    <w:rsid w:val="00F150B2"/>
    <w:rsid w:val="00F660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FF19"/>
  <w15:chartTrackingRefBased/>
  <w15:docId w15:val="{A3508A60-2762-41F3-9AF5-9B405F1F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664A"/>
    <w:rPr>
      <w:i/>
      <w:kern w:val="0"/>
      <w14:ligatures w14:val="none"/>
    </w:rPr>
  </w:style>
  <w:style w:type="paragraph" w:styleId="Antrat1">
    <w:name w:val="heading 1"/>
    <w:basedOn w:val="prastasis"/>
    <w:next w:val="prastasis"/>
    <w:link w:val="Antrat1Diagrama"/>
    <w:uiPriority w:val="9"/>
    <w:qFormat/>
    <w:rsid w:val="00026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26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2664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2664A"/>
    <w:pPr>
      <w:keepNext/>
      <w:keepLines/>
      <w:spacing w:before="80" w:after="40"/>
      <w:outlineLvl w:val="3"/>
    </w:pPr>
    <w:rPr>
      <w:rFonts w:eastAsiaTheme="majorEastAsia" w:cstheme="majorBidi"/>
      <w:i w:val="0"/>
      <w:iCs/>
      <w:color w:val="2F5496" w:themeColor="accent1" w:themeShade="BF"/>
    </w:rPr>
  </w:style>
  <w:style w:type="paragraph" w:styleId="Antrat5">
    <w:name w:val="heading 5"/>
    <w:basedOn w:val="prastasis"/>
    <w:next w:val="prastasis"/>
    <w:link w:val="Antrat5Diagrama"/>
    <w:uiPriority w:val="9"/>
    <w:semiHidden/>
    <w:unhideWhenUsed/>
    <w:qFormat/>
    <w:rsid w:val="0002664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2664A"/>
    <w:pPr>
      <w:keepNext/>
      <w:keepLines/>
      <w:spacing w:before="40" w:after="0"/>
      <w:outlineLvl w:val="5"/>
    </w:pPr>
    <w:rPr>
      <w:rFonts w:eastAsiaTheme="majorEastAsia" w:cstheme="majorBidi"/>
      <w:i w:val="0"/>
      <w:iCs/>
      <w:color w:val="595959" w:themeColor="text1" w:themeTint="A6"/>
    </w:rPr>
  </w:style>
  <w:style w:type="paragraph" w:styleId="Antrat7">
    <w:name w:val="heading 7"/>
    <w:basedOn w:val="prastasis"/>
    <w:next w:val="prastasis"/>
    <w:link w:val="Antrat7Diagrama"/>
    <w:uiPriority w:val="9"/>
    <w:semiHidden/>
    <w:unhideWhenUsed/>
    <w:qFormat/>
    <w:rsid w:val="000266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64A"/>
    <w:pPr>
      <w:keepNext/>
      <w:keepLines/>
      <w:spacing w:after="0"/>
      <w:outlineLvl w:val="7"/>
    </w:pPr>
    <w:rPr>
      <w:rFonts w:eastAsiaTheme="majorEastAsia" w:cstheme="majorBidi"/>
      <w:i w:val="0"/>
      <w:iCs/>
      <w:color w:val="272727" w:themeColor="text1" w:themeTint="D8"/>
    </w:rPr>
  </w:style>
  <w:style w:type="paragraph" w:styleId="Antrat9">
    <w:name w:val="heading 9"/>
    <w:basedOn w:val="prastasis"/>
    <w:next w:val="prastasis"/>
    <w:link w:val="Antrat9Diagrama"/>
    <w:uiPriority w:val="9"/>
    <w:semiHidden/>
    <w:unhideWhenUsed/>
    <w:qFormat/>
    <w:rsid w:val="000266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6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266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2664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266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266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266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6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6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6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6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6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6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64A"/>
    <w:pPr>
      <w:spacing w:before="160"/>
      <w:jc w:val="center"/>
    </w:pPr>
    <w:rPr>
      <w:i w:val="0"/>
      <w:iCs/>
      <w:color w:val="404040" w:themeColor="text1" w:themeTint="BF"/>
    </w:rPr>
  </w:style>
  <w:style w:type="character" w:customStyle="1" w:styleId="CitataDiagrama">
    <w:name w:val="Citata Diagrama"/>
    <w:basedOn w:val="Numatytasispastraiposriftas"/>
    <w:link w:val="Citata"/>
    <w:uiPriority w:val="29"/>
    <w:rsid w:val="0002664A"/>
    <w:rPr>
      <w:i/>
      <w:iCs/>
      <w:color w:val="404040" w:themeColor="text1" w:themeTint="BF"/>
    </w:rPr>
  </w:style>
  <w:style w:type="paragraph" w:styleId="Sraopastraipa">
    <w:name w:val="List Paragraph"/>
    <w:aliases w:val="Table of contents numbered,List Paragraph21,Lentele,List Paragraph2,ERP-List Paragraph,List Paragraph11,Bullet EY,Buletai,lp1,Bullet 1,Use Case List Paragraph,Numbering,List Paragraph111,Paragraph,List Paragraph Red,List Paragraph1"/>
    <w:basedOn w:val="prastasis"/>
    <w:link w:val="SraopastraipaDiagrama"/>
    <w:uiPriority w:val="34"/>
    <w:qFormat/>
    <w:rsid w:val="0002664A"/>
    <w:pPr>
      <w:ind w:left="720"/>
      <w:contextualSpacing/>
    </w:pPr>
  </w:style>
  <w:style w:type="character" w:styleId="Rykuspabraukimas">
    <w:name w:val="Intense Emphasis"/>
    <w:basedOn w:val="Numatytasispastraiposriftas"/>
    <w:uiPriority w:val="21"/>
    <w:qFormat/>
    <w:rsid w:val="0002664A"/>
    <w:rPr>
      <w:i/>
      <w:iCs/>
      <w:color w:val="2F5496" w:themeColor="accent1" w:themeShade="BF"/>
    </w:rPr>
  </w:style>
  <w:style w:type="paragraph" w:styleId="Iskirtacitata">
    <w:name w:val="Intense Quote"/>
    <w:basedOn w:val="prastasis"/>
    <w:next w:val="prastasis"/>
    <w:link w:val="IskirtacitataDiagrama"/>
    <w:uiPriority w:val="30"/>
    <w:qFormat/>
    <w:rsid w:val="0002664A"/>
    <w:pPr>
      <w:pBdr>
        <w:top w:val="single" w:sz="4" w:space="10" w:color="2F5496" w:themeColor="accent1" w:themeShade="BF"/>
        <w:bottom w:val="single" w:sz="4" w:space="10" w:color="2F5496" w:themeColor="accent1" w:themeShade="BF"/>
      </w:pBdr>
      <w:spacing w:before="360" w:after="360"/>
      <w:ind w:left="864" w:right="864"/>
      <w:jc w:val="center"/>
    </w:pPr>
    <w:rPr>
      <w:i w:val="0"/>
      <w:iCs/>
      <w:color w:val="2F5496" w:themeColor="accent1" w:themeShade="BF"/>
    </w:rPr>
  </w:style>
  <w:style w:type="character" w:customStyle="1" w:styleId="IskirtacitataDiagrama">
    <w:name w:val="Išskirta citata Diagrama"/>
    <w:basedOn w:val="Numatytasispastraiposriftas"/>
    <w:link w:val="Iskirtacitata"/>
    <w:uiPriority w:val="30"/>
    <w:rsid w:val="0002664A"/>
    <w:rPr>
      <w:i/>
      <w:iCs/>
      <w:color w:val="2F5496" w:themeColor="accent1" w:themeShade="BF"/>
    </w:rPr>
  </w:style>
  <w:style w:type="character" w:styleId="Rykinuoroda">
    <w:name w:val="Intense Reference"/>
    <w:basedOn w:val="Numatytasispastraiposriftas"/>
    <w:uiPriority w:val="32"/>
    <w:qFormat/>
    <w:rsid w:val="0002664A"/>
    <w:rPr>
      <w:b/>
      <w:bCs/>
      <w:smallCaps/>
      <w:color w:val="2F5496" w:themeColor="accent1" w:themeShade="BF"/>
      <w:spacing w:val="5"/>
    </w:rPr>
  </w:style>
  <w:style w:type="character" w:customStyle="1" w:styleId="SraopastraipaDiagrama">
    <w:name w:val="Sąrašo pastraipa Diagrama"/>
    <w:aliases w:val="Table of contents numbered Diagrama,List Paragraph21 Diagrama,Lentele Diagrama,List Paragraph2 Diagrama,ERP-List Paragraph Diagrama,List Paragraph11 Diagrama,Bullet EY Diagrama,Buletai Diagrama,lp1 Diagrama,Bullet 1 Diagrama"/>
    <w:basedOn w:val="Numatytasispastraiposriftas"/>
    <w:link w:val="Sraopastraipa"/>
    <w:uiPriority w:val="34"/>
    <w:qFormat/>
    <w:locked/>
    <w:rsid w:val="0002664A"/>
  </w:style>
  <w:style w:type="paragraph" w:styleId="Pataisymai">
    <w:name w:val="Revision"/>
    <w:hidden/>
    <w:uiPriority w:val="99"/>
    <w:semiHidden/>
    <w:rsid w:val="00BC43F7"/>
    <w:pPr>
      <w:spacing w:after="0" w:line="240" w:lineRule="auto"/>
    </w:pPr>
    <w:rPr>
      <w:i/>
      <w:kern w:val="0"/>
      <w14:ligatures w14:val="none"/>
    </w:rPr>
  </w:style>
  <w:style w:type="character" w:styleId="Hipersaitas">
    <w:name w:val="Hyperlink"/>
    <w:basedOn w:val="Numatytasispastraiposriftas"/>
    <w:uiPriority w:val="99"/>
    <w:unhideWhenUsed/>
    <w:rsid w:val="0098243D"/>
    <w:rPr>
      <w:color w:val="0563C1" w:themeColor="hyperlink"/>
      <w:u w:val="single"/>
    </w:rPr>
  </w:style>
  <w:style w:type="character" w:styleId="Neapdorotaspaminjimas">
    <w:name w:val="Unresolved Mention"/>
    <w:basedOn w:val="Numatytasispastraiposriftas"/>
    <w:uiPriority w:val="99"/>
    <w:semiHidden/>
    <w:unhideWhenUsed/>
    <w:rsid w:val="0098243D"/>
    <w:rPr>
      <w:color w:val="605E5C"/>
      <w:shd w:val="clear" w:color="auto" w:fill="E1DFDD"/>
    </w:rPr>
  </w:style>
  <w:style w:type="character" w:styleId="Perirtashipersaitas">
    <w:name w:val="FollowedHyperlink"/>
    <w:basedOn w:val="Numatytasispastraiposriftas"/>
    <w:uiPriority w:val="99"/>
    <w:semiHidden/>
    <w:unhideWhenUsed/>
    <w:rsid w:val="009824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a.lrv.lt/lt/veiklos-sritys-1/istaigu-vadovu-atran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4547</Words>
  <Characters>2592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Akudovičiūtė</dc:creator>
  <cp:keywords/>
  <dc:description/>
  <cp:lastModifiedBy>Aida Akudovičiūtė</cp:lastModifiedBy>
  <cp:revision>14</cp:revision>
  <dcterms:created xsi:type="dcterms:W3CDTF">2026-02-04T08:05:00Z</dcterms:created>
  <dcterms:modified xsi:type="dcterms:W3CDTF">2026-02-09T18:09:00Z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344c5089-3528-4eb0-a59d-d3ee7c8d26e8</vt:lpwstr>
  </property>
</Properties>
</file>