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 xml:space="preserve">Viešoji įstaiga, Eivenių g. 2, 50161 Kaunas, tel. </w:t>
      </w:r>
      <w:r w:rsidR="00A007EF">
        <w:rPr>
          <w:sz w:val="20"/>
          <w:szCs w:val="22"/>
        </w:rPr>
        <w:t>+370</w:t>
      </w:r>
      <w:r w:rsidRPr="007A7217">
        <w:rPr>
          <w:sz w:val="20"/>
          <w:szCs w:val="22"/>
        </w:rPr>
        <w:t xml:space="preserve"> 37</w:t>
      </w:r>
      <w:r w:rsidR="00DA490B">
        <w:rPr>
          <w:sz w:val="20"/>
          <w:szCs w:val="22"/>
        </w:rPr>
        <w:t xml:space="preserve"> </w:t>
      </w:r>
      <w:r w:rsidRPr="007A7217">
        <w:rPr>
          <w:sz w:val="20"/>
          <w:szCs w:val="22"/>
        </w:rPr>
        <w:t xml:space="preserve">32 6360, </w:t>
      </w:r>
      <w:r w:rsidR="00A007EF">
        <w:rPr>
          <w:sz w:val="20"/>
          <w:szCs w:val="22"/>
        </w:rPr>
        <w:t>+370</w:t>
      </w:r>
      <w:r w:rsidR="00A007EF" w:rsidRPr="007A7217">
        <w:rPr>
          <w:sz w:val="20"/>
          <w:szCs w:val="22"/>
        </w:rPr>
        <w:t xml:space="preserve"> </w:t>
      </w:r>
      <w:r w:rsidRPr="007A7217">
        <w:rPr>
          <w:sz w:val="20"/>
          <w:szCs w:val="22"/>
        </w:rPr>
        <w:t>37</w:t>
      </w:r>
      <w:r w:rsidR="00DA490B">
        <w:rPr>
          <w:sz w:val="20"/>
          <w:szCs w:val="22"/>
        </w:rPr>
        <w:t xml:space="preserve"> </w:t>
      </w:r>
      <w:r w:rsidRPr="007A7217">
        <w:rPr>
          <w:sz w:val="20"/>
          <w:szCs w:val="22"/>
        </w:rPr>
        <w:t>32 6975,</w:t>
      </w:r>
    </w:p>
    <w:p w:rsidR="00B35758" w:rsidRPr="007A7217" w:rsidRDefault="00B35758" w:rsidP="00B35758">
      <w:pPr>
        <w:pStyle w:val="Default"/>
        <w:jc w:val="center"/>
        <w:rPr>
          <w:sz w:val="20"/>
          <w:szCs w:val="22"/>
        </w:rPr>
      </w:pPr>
      <w:r w:rsidRPr="007A7217">
        <w:rPr>
          <w:sz w:val="20"/>
          <w:szCs w:val="22"/>
        </w:rPr>
        <w:t xml:space="preserve">faks. </w:t>
      </w:r>
      <w:r w:rsidR="00A007EF">
        <w:rPr>
          <w:sz w:val="20"/>
          <w:szCs w:val="22"/>
        </w:rPr>
        <w:t>+370</w:t>
      </w:r>
      <w:r w:rsidR="00A007EF" w:rsidRPr="007A7217">
        <w:rPr>
          <w:sz w:val="20"/>
          <w:szCs w:val="22"/>
        </w:rPr>
        <w:t xml:space="preserve"> </w:t>
      </w:r>
      <w:r w:rsidRPr="007A7217">
        <w:rPr>
          <w:sz w:val="20"/>
          <w:szCs w:val="22"/>
        </w:rPr>
        <w:t>37</w:t>
      </w:r>
      <w:r w:rsidR="00DA490B">
        <w:rPr>
          <w:sz w:val="20"/>
          <w:szCs w:val="22"/>
        </w:rPr>
        <w:t xml:space="preserve"> </w:t>
      </w:r>
      <w:r w:rsidRPr="007A7217">
        <w:rPr>
          <w:sz w:val="20"/>
          <w:szCs w:val="22"/>
        </w:rPr>
        <w:t>32 6427,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Default="00E17DFB" w:rsidP="00B35758">
      <w:pPr>
        <w:jc w:val="center"/>
        <w:rPr>
          <w:b/>
          <w:sz w:val="22"/>
          <w:szCs w:val="22"/>
        </w:rPr>
      </w:pPr>
    </w:p>
    <w:p w:rsidR="002A3C03" w:rsidRPr="007A7217" w:rsidRDefault="002A3C03" w:rsidP="00B35758">
      <w:pPr>
        <w:jc w:val="center"/>
        <w:rPr>
          <w:b/>
          <w:sz w:val="22"/>
          <w:szCs w:val="22"/>
        </w:rPr>
      </w:pPr>
    </w:p>
    <w:p w:rsidR="00C90257" w:rsidRDefault="00C90257" w:rsidP="00B35758">
      <w:pPr>
        <w:jc w:val="center"/>
        <w:rPr>
          <w:rFonts w:eastAsia="Arial Unicode MS"/>
          <w:b/>
          <w:bCs/>
          <w:sz w:val="22"/>
          <w:szCs w:val="22"/>
          <w:bdr w:val="nil"/>
        </w:rPr>
      </w:pPr>
      <w:r w:rsidRPr="00C90257">
        <w:rPr>
          <w:rFonts w:eastAsia="Arial Unicode MS"/>
          <w:b/>
          <w:bCs/>
          <w:sz w:val="22"/>
          <w:szCs w:val="22"/>
          <w:bdr w:val="nil"/>
        </w:rPr>
        <w:t>MIŠRIOS PAKUOTĖS ATLIEKŲ TVARKYMO PASLAUG</w:t>
      </w:r>
      <w:r>
        <w:rPr>
          <w:rFonts w:eastAsia="Arial Unicode MS"/>
          <w:b/>
          <w:bCs/>
          <w:sz w:val="22"/>
          <w:szCs w:val="22"/>
          <w:bdr w:val="nil"/>
        </w:rPr>
        <w:t>A</w:t>
      </w:r>
      <w:r w:rsidRPr="00C90257">
        <w:rPr>
          <w:rFonts w:eastAsia="Arial Unicode MS"/>
          <w:b/>
          <w:bCs/>
          <w:sz w:val="22"/>
          <w:szCs w:val="22"/>
          <w:bdr w:val="nil"/>
        </w:rPr>
        <w:t xml:space="preserve"> (KODAS 15 01 06)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002A3C03" w:rsidRPr="002A3C03">
        <w:rPr>
          <w:bCs/>
          <w:sz w:val="22"/>
          <w:szCs w:val="22"/>
        </w:rPr>
        <w:t xml:space="preserve"> Sutarties projektas</w:t>
      </w:r>
      <w:r w:rsidR="002A3C03">
        <w:rPr>
          <w:bCs/>
          <w:sz w:val="22"/>
          <w:szCs w:val="22"/>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2A3C03" w:rsidRPr="002A3C03">
        <w:rPr>
          <w:bCs/>
          <w:sz w:val="22"/>
          <w:szCs w:val="22"/>
        </w:rPr>
        <w:t>Techninė specifikacija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xml:space="preserve">. </w:t>
      </w:r>
      <w:r w:rsidR="002A3C03" w:rsidRPr="002A3C03">
        <w:rPr>
          <w:rFonts w:eastAsia="Calibri"/>
          <w:sz w:val="22"/>
          <w:szCs w:val="22"/>
        </w:rPr>
        <w:t>Deklaracija dėl tiekėjo atsakingų asmenų</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2A3C03" w:rsidP="002A3C03">
      <w:pPr>
        <w:ind w:left="-907" w:firstLine="284"/>
        <w:rPr>
          <w:sz w:val="22"/>
          <w:szCs w:val="22"/>
          <w:lang w:eastAsia="lt-LT"/>
        </w:rPr>
      </w:pPr>
      <w:r>
        <w:rPr>
          <w:sz w:val="22"/>
          <w:szCs w:val="22"/>
          <w:lang w:eastAsia="lt-LT"/>
        </w:rPr>
        <w:t xml:space="preserve">           6</w:t>
      </w:r>
      <w:r w:rsidR="006C16A2">
        <w:rPr>
          <w:sz w:val="22"/>
          <w:szCs w:val="22"/>
          <w:lang w:eastAsia="lt-LT"/>
        </w:rPr>
        <w:t xml:space="preserve">. </w:t>
      </w:r>
      <w:r w:rsidR="006C16A2" w:rsidRPr="006C16A2">
        <w:rPr>
          <w:sz w:val="22"/>
          <w:szCs w:val="22"/>
          <w:lang w:eastAsia="lt-LT"/>
        </w:rPr>
        <w:t>Tiekėjo deklaracija dėl Tarybos Reglamente (ES) 2022/576 nustatytų sąlygų nebuvimo</w:t>
      </w:r>
      <w:r w:rsidR="006C16A2">
        <w:rPr>
          <w:sz w:val="22"/>
          <w:szCs w:val="22"/>
          <w:lang w:eastAsia="lt-LT"/>
        </w:rPr>
        <w:t>.</w:t>
      </w:r>
    </w:p>
    <w:p w:rsidR="008B46BF" w:rsidRPr="007A7217" w:rsidRDefault="002A3C03" w:rsidP="006C16A2">
      <w:pPr>
        <w:ind w:left="-907" w:firstLine="907"/>
        <w:rPr>
          <w:sz w:val="22"/>
          <w:szCs w:val="22"/>
        </w:rPr>
      </w:pPr>
      <w:r>
        <w:rPr>
          <w:sz w:val="22"/>
          <w:szCs w:val="22"/>
          <w:lang w:eastAsia="lt-LT"/>
        </w:rPr>
        <w:t>7</w:t>
      </w:r>
      <w:r w:rsidR="002D744E">
        <w:rPr>
          <w:sz w:val="22"/>
          <w:szCs w:val="22"/>
          <w:lang w:eastAsia="lt-LT"/>
        </w:rPr>
        <w:t>. Paslaugų</w:t>
      </w:r>
      <w:r w:rsidR="008B46BF">
        <w:rPr>
          <w:sz w:val="22"/>
          <w:szCs w:val="22"/>
          <w:lang w:eastAsia="lt-LT"/>
        </w:rPr>
        <w:t xml:space="preserve"> sutarčių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795659" w:rsidRPr="00C90257">
        <w:rPr>
          <w:rFonts w:eastAsia="Calibri" w:cs="Times New Roman"/>
          <w:b/>
          <w:bCs/>
          <w:color w:val="auto"/>
          <w:sz w:val="22"/>
          <w:szCs w:val="22"/>
          <w:bdr w:val="none" w:sz="0" w:space="0" w:color="auto"/>
          <w:lang w:val="lt-LT" w:eastAsia="en-US"/>
        </w:rPr>
        <w:t>mišrios pakuotės atliekų tvarkymo</w:t>
      </w:r>
      <w:r w:rsidR="00BB2FBB" w:rsidRPr="00C90257">
        <w:rPr>
          <w:rFonts w:eastAsia="Calibri" w:cs="Times New Roman"/>
          <w:b/>
          <w:bCs/>
          <w:color w:val="auto"/>
          <w:sz w:val="22"/>
          <w:szCs w:val="22"/>
          <w:bdr w:val="none" w:sz="0" w:space="0" w:color="auto"/>
          <w:lang w:val="lt-LT" w:eastAsia="en-US"/>
        </w:rPr>
        <w:t xml:space="preserve"> paslaugą</w:t>
      </w:r>
      <w:r w:rsidR="002A3C03" w:rsidRPr="00C90257">
        <w:rPr>
          <w:rFonts w:eastAsia="Calibri" w:cs="Times New Roman"/>
          <w:b/>
          <w:bCs/>
          <w:color w:val="auto"/>
          <w:sz w:val="22"/>
          <w:szCs w:val="22"/>
          <w:bdr w:val="none" w:sz="0" w:space="0" w:color="auto"/>
          <w:lang w:val="lt-LT" w:eastAsia="en-US"/>
        </w:rPr>
        <w:t xml:space="preserve"> </w:t>
      </w:r>
      <w:r w:rsidR="00C90257" w:rsidRPr="00C90257">
        <w:rPr>
          <w:rFonts w:cs="Times New Roman"/>
          <w:b/>
          <w:color w:val="auto"/>
          <w:lang w:val="lt-LT"/>
        </w:rPr>
        <w:t>(kodas 15 01 06)</w:t>
      </w:r>
      <w:r w:rsidR="00C90257" w:rsidRPr="00C90257">
        <w:rPr>
          <w:rFonts w:cs="Times New Roman"/>
          <w:color w:val="auto"/>
          <w:lang w:val="lt-LT"/>
        </w:rPr>
        <w:t xml:space="preserve"> </w:t>
      </w:r>
      <w:r w:rsidR="002A3C03">
        <w:rPr>
          <w:rFonts w:cs="Times New Roman"/>
          <w:color w:val="auto"/>
          <w:sz w:val="22"/>
          <w:szCs w:val="22"/>
          <w:lang w:val="lt-LT"/>
        </w:rPr>
        <w:t>(toliau - paslauga</w:t>
      </w:r>
      <w:r w:rsidRPr="007A7217">
        <w:rPr>
          <w:rFonts w:cs="Times New Roman"/>
          <w:color w:val="auto"/>
          <w:sz w:val="22"/>
          <w:szCs w:val="22"/>
          <w:lang w:val="lt-LT"/>
        </w:rPr>
        <w:t>).</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AC46AB" w:rsidRPr="00AC46AB">
        <w:rPr>
          <w:rFonts w:cs="Times New Roman"/>
          <w:sz w:val="22"/>
          <w:szCs w:val="22"/>
          <w:lang w:val="pt-PT"/>
        </w:rPr>
        <w:t xml:space="preserve"> https://pirkimai.eviesiejipirkimai.lt ir 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1A3AAF" w:rsidRDefault="00B35758" w:rsidP="001A3AAF">
      <w:pPr>
        <w:tabs>
          <w:tab w:val="left" w:pos="567"/>
        </w:tabs>
        <w:ind w:firstLine="567"/>
        <w:jc w:val="both"/>
        <w:rPr>
          <w:noProof/>
          <w:sz w:val="22"/>
          <w:szCs w:val="22"/>
          <w:u w:val="single"/>
        </w:rPr>
      </w:pPr>
      <w:r w:rsidRPr="007A7217">
        <w:rPr>
          <w:sz w:val="22"/>
          <w:szCs w:val="22"/>
        </w:rPr>
        <w:t xml:space="preserve">1.7 Perkančiosios organizacijos kontaktiniai asmenys – </w:t>
      </w:r>
      <w:r w:rsidR="001A3AAF" w:rsidRPr="001C7430">
        <w:rPr>
          <w:noProof/>
          <w:sz w:val="22"/>
          <w:szCs w:val="22"/>
        </w:rPr>
        <w:t>Karina Gudavičiūtė, tel. +</w:t>
      </w:r>
      <w:r w:rsidR="00DA490B" w:rsidRPr="00DA490B">
        <w:rPr>
          <w:noProof/>
          <w:sz w:val="22"/>
          <w:szCs w:val="22"/>
        </w:rPr>
        <w:t>370 37 32 7081</w:t>
      </w:r>
      <w:r w:rsidR="001A3AAF" w:rsidRPr="001C7430">
        <w:rPr>
          <w:noProof/>
          <w:sz w:val="22"/>
          <w:szCs w:val="22"/>
        </w:rPr>
        <w:t xml:space="preserve">, el. paštas </w:t>
      </w:r>
      <w:hyperlink r:id="rId12" w:history="1">
        <w:r w:rsidR="001A3AAF" w:rsidRPr="001C7430">
          <w:rPr>
            <w:rStyle w:val="Hyperlink"/>
            <w:noProof/>
            <w:sz w:val="22"/>
            <w:szCs w:val="22"/>
          </w:rPr>
          <w:t>Karina.Gudaviciute@kaunoklinikos.lt</w:t>
        </w:r>
      </w:hyperlink>
      <w:r w:rsidR="001A3AAF">
        <w:rPr>
          <w:rStyle w:val="Hyperlink"/>
          <w:noProof/>
          <w:sz w:val="22"/>
          <w:szCs w:val="22"/>
        </w:rPr>
        <w:t>.</w:t>
      </w:r>
      <w:r w:rsidR="001A3AAF">
        <w:rPr>
          <w:noProof/>
          <w:sz w:val="22"/>
          <w:szCs w:val="22"/>
        </w:rPr>
        <w:t xml:space="preserve">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24347E" w:rsidRDefault="00E17DFB" w:rsidP="00BB2FBB">
      <w:pPr>
        <w:pStyle w:val="ListParagraph"/>
        <w:numPr>
          <w:ilvl w:val="1"/>
          <w:numId w:val="12"/>
        </w:numPr>
        <w:tabs>
          <w:tab w:val="left" w:pos="993"/>
          <w:tab w:val="left" w:pos="1276"/>
          <w:tab w:val="left" w:pos="1418"/>
          <w:tab w:val="left" w:pos="1560"/>
        </w:tabs>
        <w:spacing w:after="0" w:line="240" w:lineRule="auto"/>
        <w:jc w:val="both"/>
        <w:rPr>
          <w:rFonts w:ascii="Times New Roman" w:hAnsi="Times New Roman"/>
          <w:b/>
          <w:bCs/>
        </w:rPr>
      </w:pPr>
      <w:r w:rsidRPr="007A7217">
        <w:rPr>
          <w:rFonts w:ascii="Times New Roman" w:hAnsi="Times New Roman"/>
        </w:rPr>
        <w:t xml:space="preserve">Pirkimo </w:t>
      </w:r>
      <w:r w:rsidRPr="0024347E">
        <w:rPr>
          <w:rFonts w:ascii="Times New Roman" w:hAnsi="Times New Roman"/>
        </w:rPr>
        <w:t>objektas –</w:t>
      </w:r>
      <w:r w:rsidR="00F704E1" w:rsidRPr="0024347E">
        <w:rPr>
          <w:rFonts w:ascii="Times New Roman" w:hAnsi="Times New Roman"/>
        </w:rPr>
        <w:t xml:space="preserve"> </w:t>
      </w:r>
      <w:r w:rsidR="00795659" w:rsidRPr="00C90257">
        <w:rPr>
          <w:rFonts w:ascii="Times New Roman" w:hAnsi="Times New Roman"/>
          <w:b/>
          <w:bCs/>
        </w:rPr>
        <w:t xml:space="preserve">mišrios pakuotės atliekų tvarkymo </w:t>
      </w:r>
      <w:r w:rsidR="00BB2FBB" w:rsidRPr="00C90257">
        <w:rPr>
          <w:rFonts w:ascii="Times New Roman" w:hAnsi="Times New Roman"/>
          <w:b/>
          <w:bCs/>
        </w:rPr>
        <w:t>paslauga</w:t>
      </w:r>
      <w:r w:rsidR="00C90257" w:rsidRPr="00C90257">
        <w:rPr>
          <w:rFonts w:ascii="Times New Roman" w:hAnsi="Times New Roman"/>
          <w:b/>
          <w:bCs/>
        </w:rPr>
        <w:t xml:space="preserve"> (kodas 15 01 06)</w:t>
      </w:r>
      <w:r w:rsidR="00A4659B" w:rsidRPr="00C90257">
        <w:rPr>
          <w:rFonts w:ascii="Times New Roman" w:hAnsi="Times New Roman"/>
          <w:b/>
          <w:bCs/>
        </w:rPr>
        <w:t>.</w:t>
      </w:r>
    </w:p>
    <w:p w:rsidR="00B56AF6" w:rsidRPr="0024347E" w:rsidRDefault="00F704E1" w:rsidP="002434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24347E">
        <w:rPr>
          <w:rFonts w:ascii="Times New Roman" w:hAnsi="Times New Roman"/>
        </w:rPr>
        <w:t>Detali</w:t>
      </w:r>
      <w:r w:rsidR="002A3C03" w:rsidRPr="0024347E">
        <w:rPr>
          <w:rFonts w:ascii="Times New Roman" w:hAnsi="Times New Roman"/>
        </w:rPr>
        <w:t xml:space="preserve"> informacija apie perkamas paslaugas</w:t>
      </w:r>
      <w:r w:rsidRPr="0024347E">
        <w:rPr>
          <w:rFonts w:ascii="Times New Roman" w:hAnsi="Times New Roman"/>
        </w:rPr>
        <w:t xml:space="preserve"> pateikiama techninėje specifikacijoje.</w:t>
      </w:r>
      <w:r w:rsidR="002A2874" w:rsidRPr="0024347E">
        <w:rPr>
          <w:rFonts w:ascii="Times New Roman" w:hAnsi="Times New Roman"/>
          <w:iCs/>
        </w:rPr>
        <w:t xml:space="preserve"> </w:t>
      </w:r>
    </w:p>
    <w:p w:rsidR="00F704E1" w:rsidRPr="005D3CBB" w:rsidRDefault="002A2874" w:rsidP="00BB2FBB">
      <w:pPr>
        <w:pStyle w:val="ListParagraph"/>
        <w:numPr>
          <w:ilvl w:val="1"/>
          <w:numId w:val="12"/>
        </w:numPr>
        <w:tabs>
          <w:tab w:val="left" w:pos="568"/>
          <w:tab w:val="left" w:pos="993"/>
          <w:tab w:val="left" w:pos="1440"/>
          <w:tab w:val="left" w:pos="1560"/>
          <w:tab w:val="left" w:pos="2127"/>
        </w:tabs>
        <w:spacing w:after="0" w:line="240" w:lineRule="auto"/>
        <w:ind w:left="0" w:firstLine="568"/>
        <w:jc w:val="both"/>
        <w:rPr>
          <w:rFonts w:ascii="Times New Roman" w:hAnsi="Times New Roman"/>
          <w:b/>
          <w:u w:val="single"/>
          <w:lang w:eastAsia="ar-SA"/>
        </w:rPr>
      </w:pPr>
      <w:r w:rsidRPr="005D3CBB">
        <w:rPr>
          <w:rFonts w:ascii="Times New Roman" w:hAnsi="Times New Roman"/>
          <w:iCs/>
        </w:rPr>
        <w:t xml:space="preserve">Vadovaujantis LR Viešųjų pirkimų įstatymo 27 straipsnio nuostatomis CVP IS buvo viešai skelbta </w:t>
      </w:r>
      <w:r w:rsidR="00F42212" w:rsidRPr="005D3CBB">
        <w:rPr>
          <w:rFonts w:ascii="Times New Roman" w:hAnsi="Times New Roman"/>
          <w:iCs/>
        </w:rPr>
        <w:t>202</w:t>
      </w:r>
      <w:r w:rsidR="00A33C5E" w:rsidRPr="005D3CBB">
        <w:rPr>
          <w:rFonts w:ascii="Times New Roman" w:hAnsi="Times New Roman"/>
          <w:iCs/>
        </w:rPr>
        <w:t>4-</w:t>
      </w:r>
      <w:r w:rsidR="005944BC" w:rsidRPr="005D3CBB">
        <w:rPr>
          <w:rFonts w:ascii="Times New Roman" w:hAnsi="Times New Roman"/>
          <w:iCs/>
        </w:rPr>
        <w:t>10-14</w:t>
      </w:r>
      <w:r w:rsidR="00A01AB8" w:rsidRPr="005D3CBB">
        <w:rPr>
          <w:rFonts w:ascii="Times New Roman" w:hAnsi="Times New Roman"/>
          <w:iCs/>
        </w:rPr>
        <w:t xml:space="preserve"> </w:t>
      </w:r>
      <w:r w:rsidRPr="005D3CBB">
        <w:rPr>
          <w:rFonts w:ascii="Times New Roman" w:hAnsi="Times New Roman"/>
          <w:iCs/>
        </w:rPr>
        <w:t xml:space="preserve">išankstinė rinkos konsultacija </w:t>
      </w:r>
      <w:r w:rsidR="007243D2" w:rsidRPr="005D3CBB">
        <w:rPr>
          <w:rFonts w:ascii="Times New Roman" w:hAnsi="Times New Roman"/>
          <w:iCs/>
        </w:rPr>
        <w:t xml:space="preserve">„Rinkos konsultacija dėl </w:t>
      </w:r>
      <w:r w:rsidR="005944BC" w:rsidRPr="005D3CBB">
        <w:rPr>
          <w:rFonts w:ascii="Times New Roman" w:hAnsi="Times New Roman"/>
          <w:bCs/>
        </w:rPr>
        <w:t>mišrios pakuotės atliekų tvarkymo paslaugos (kodas 15 01 06)</w:t>
      </w:r>
      <w:r w:rsidR="007243D2" w:rsidRPr="005D3CBB">
        <w:rPr>
          <w:rFonts w:ascii="Times New Roman" w:hAnsi="Times New Roman"/>
          <w:iCs/>
        </w:rPr>
        <w:t xml:space="preserve">“ </w:t>
      </w:r>
      <w:r w:rsidRPr="005D3CBB">
        <w:rPr>
          <w:rFonts w:ascii="Times New Roman" w:hAnsi="Times New Roman"/>
          <w:iCs/>
        </w:rPr>
        <w:t>Nr.</w:t>
      </w:r>
      <w:r w:rsidR="00EC48B0" w:rsidRPr="005D3CBB">
        <w:rPr>
          <w:rFonts w:ascii="Times New Roman" w:hAnsi="Times New Roman"/>
          <w:iCs/>
        </w:rPr>
        <w:t xml:space="preserve"> </w:t>
      </w:r>
      <w:r w:rsidR="003D340A" w:rsidRPr="005D3CBB">
        <w:rPr>
          <w:rFonts w:ascii="Times New Roman" w:hAnsi="Times New Roman"/>
          <w:iCs/>
        </w:rPr>
        <w:t>742428</w:t>
      </w:r>
      <w:r w:rsidRPr="005D3CBB">
        <w:rPr>
          <w:rFonts w:ascii="Times New Roman" w:hAnsi="Times New Roman"/>
          <w:iCs/>
        </w:rPr>
        <w:t>.​</w:t>
      </w:r>
    </w:p>
    <w:p w:rsidR="00F704E1" w:rsidRPr="008D3F62" w:rsidRDefault="00412B94"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u w:val="single"/>
          <w:lang w:eastAsia="ar-SA"/>
        </w:rPr>
      </w:pPr>
      <w:r w:rsidRPr="00144085">
        <w:rPr>
          <w:sz w:val="22"/>
          <w:szCs w:val="22"/>
          <w:lang w:eastAsia="lt-LT"/>
        </w:rPr>
        <w:t xml:space="preserve">Šis pirkimas į dalis neskaidomas </w:t>
      </w:r>
      <w:r w:rsidRPr="00795659">
        <w:rPr>
          <w:b/>
          <w:sz w:val="22"/>
          <w:szCs w:val="22"/>
          <w:lang w:eastAsia="lt-LT"/>
        </w:rPr>
        <w:t>(viso viena pirkimo dalis)</w:t>
      </w:r>
      <w:r w:rsidRPr="00144085">
        <w:rPr>
          <w:sz w:val="22"/>
          <w:szCs w:val="22"/>
          <w:lang w:eastAsia="lt-LT"/>
        </w:rPr>
        <w:t xml:space="preserve"> dėl šių priežasčių: pirkimo nėra tikslinga skaidyti į dalis, kadangi įsigyjamos vienos rūšies paslauga</w:t>
      </w:r>
      <w:r w:rsidRPr="00144085">
        <w:rPr>
          <w:rFonts w:eastAsia="Arial Unicode MS"/>
          <w:sz w:val="22"/>
          <w:szCs w:val="22"/>
          <w:bdr w:val="nil"/>
          <w:lang w:eastAsia="lt-LT"/>
        </w:rPr>
        <w:t xml:space="preserve"> ir </w:t>
      </w:r>
      <w:r w:rsidRPr="00144085">
        <w:rPr>
          <w:sz w:val="22"/>
          <w:szCs w:val="22"/>
          <w:lang w:eastAsia="lt-LT"/>
        </w:rPr>
        <w:t>pirkimo sutarties vykdymas taptų per brangus ir sudėtingas techniniu požiūriu.</w:t>
      </w:r>
    </w:p>
    <w:p w:rsidR="008D3F62" w:rsidRPr="00B97785" w:rsidRDefault="008D3F62" w:rsidP="008D3F62">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4.4.1</w:t>
      </w:r>
      <w:r w:rsidRPr="00B97785">
        <w:rPr>
          <w:sz w:val="22"/>
          <w:szCs w:val="22"/>
          <w:lang w:eastAsia="ar-SA"/>
        </w:rPr>
        <w:t xml:space="preserve"> papunkčiu.</w:t>
      </w:r>
    </w:p>
    <w:p w:rsidR="0024347E" w:rsidRPr="00144085" w:rsidRDefault="0024347E" w:rsidP="00BB2FBB">
      <w:pPr>
        <w:pStyle w:val="ListParagraph"/>
        <w:numPr>
          <w:ilvl w:val="1"/>
          <w:numId w:val="12"/>
        </w:numPr>
        <w:tabs>
          <w:tab w:val="left" w:pos="993"/>
        </w:tabs>
        <w:spacing w:after="0" w:line="240" w:lineRule="auto"/>
        <w:ind w:left="0" w:firstLine="568"/>
        <w:jc w:val="both"/>
        <w:rPr>
          <w:rFonts w:ascii="Times New Roman" w:hAnsi="Times New Roman"/>
          <w:lang w:val="en-US"/>
        </w:rPr>
      </w:pPr>
      <w:r w:rsidRPr="00144085">
        <w:rPr>
          <w:rFonts w:ascii="Times New Roman" w:hAnsi="Times New Roman"/>
          <w:lang w:val="en-US"/>
        </w:rPr>
        <w:t>Paslaugos atlikimo vieta yra Lietuvos sveikatos mokslų universiteto ligoninė Kauno klinikos, adresas Eivenių g. 2, Kaunas.</w:t>
      </w:r>
    </w:p>
    <w:p w:rsidR="007218D2" w:rsidRPr="00144085" w:rsidRDefault="007218D2"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144085">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14408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144085">
        <w:rPr>
          <w:sz w:val="22"/>
          <w:szCs w:val="22"/>
        </w:rPr>
        <w:t>Perkančioji organizacija turi teisę</w:t>
      </w:r>
      <w:r w:rsidRPr="003D3286">
        <w:rPr>
          <w:sz w:val="22"/>
          <w:szCs w:val="22"/>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0C56EF">
        <w:tc>
          <w:tcPr>
            <w:tcW w:w="674" w:type="dxa"/>
            <w:shd w:val="clear" w:color="auto" w:fill="auto"/>
            <w:vAlign w:val="center"/>
          </w:tcPr>
          <w:p w:rsidR="006C16A2" w:rsidRPr="000C56EF" w:rsidRDefault="006C16A2" w:rsidP="0021036F">
            <w:pPr>
              <w:suppressAutoHyphens/>
              <w:spacing w:after="40"/>
              <w:jc w:val="center"/>
              <w:rPr>
                <w:rFonts w:ascii="Times New Roman" w:hAnsi="Times New Roman" w:cs="Times New Roman"/>
                <w:highlight w:val="red"/>
                <w:lang w:eastAsia="lt-LT"/>
              </w:rPr>
            </w:pPr>
            <w:r w:rsidRPr="008F094D">
              <w:rPr>
                <w:rFonts w:ascii="Times New Roman" w:hAnsi="Times New Roman" w:cs="Times New Roman"/>
                <w:b/>
                <w:bCs/>
                <w:lang w:eastAsia="lt-LT"/>
              </w:rPr>
              <w:t>Eil. Nr.</w:t>
            </w:r>
          </w:p>
        </w:tc>
        <w:tc>
          <w:tcPr>
            <w:tcW w:w="3574" w:type="dxa"/>
            <w:shd w:val="clear" w:color="auto" w:fill="auto"/>
            <w:vAlign w:val="center"/>
          </w:tcPr>
          <w:p w:rsidR="006C16A2" w:rsidRPr="008F094D" w:rsidRDefault="006C16A2" w:rsidP="0021036F">
            <w:pPr>
              <w:suppressAutoHyphens/>
              <w:spacing w:after="40"/>
              <w:jc w:val="center"/>
              <w:rPr>
                <w:rFonts w:ascii="Times New Roman" w:hAnsi="Times New Roman" w:cs="Times New Roman"/>
                <w:lang w:eastAsia="lt-LT"/>
              </w:rPr>
            </w:pPr>
            <w:r w:rsidRPr="008F094D">
              <w:rPr>
                <w:rFonts w:ascii="Times New Roman" w:hAnsi="Times New Roman" w:cs="Times New Roman"/>
                <w:b/>
                <w:lang w:eastAsia="lt-LT"/>
              </w:rPr>
              <w:t>Tiekėjo pašalinimo pagrindai</w:t>
            </w:r>
          </w:p>
        </w:tc>
        <w:tc>
          <w:tcPr>
            <w:tcW w:w="1701" w:type="dxa"/>
            <w:shd w:val="clear" w:color="auto" w:fill="auto"/>
            <w:vAlign w:val="center"/>
          </w:tcPr>
          <w:p w:rsidR="006C16A2" w:rsidRPr="008F094D" w:rsidRDefault="006C16A2" w:rsidP="0021036F">
            <w:pPr>
              <w:suppressAutoHyphens/>
              <w:spacing w:after="40"/>
              <w:jc w:val="center"/>
              <w:rPr>
                <w:rFonts w:ascii="Times New Roman" w:hAnsi="Times New Roman" w:cs="Times New Roman"/>
                <w:lang w:eastAsia="lt-LT"/>
              </w:rPr>
            </w:pPr>
            <w:r w:rsidRPr="008F094D">
              <w:rPr>
                <w:rFonts w:ascii="Times New Roman" w:hAnsi="Times New Roman" w:cs="Times New Roman"/>
                <w:b/>
                <w:bCs/>
                <w:lang w:eastAsia="lt-LT"/>
              </w:rPr>
              <w:t>VPĮ straipsnis,  dalis, punktas bei EBVPD formos dalis pildymui</w:t>
            </w:r>
          </w:p>
        </w:tc>
        <w:tc>
          <w:tcPr>
            <w:tcW w:w="3685" w:type="dxa"/>
            <w:shd w:val="clear" w:color="auto" w:fill="auto"/>
            <w:vAlign w:val="center"/>
          </w:tcPr>
          <w:p w:rsidR="006C16A2" w:rsidRPr="008F094D" w:rsidRDefault="006C16A2" w:rsidP="0021036F">
            <w:pPr>
              <w:suppressAutoHyphens/>
              <w:spacing w:after="40"/>
              <w:jc w:val="center"/>
              <w:rPr>
                <w:rFonts w:ascii="Times New Roman" w:hAnsi="Times New Roman" w:cs="Times New Roman"/>
                <w:lang w:eastAsia="lt-LT"/>
              </w:rPr>
            </w:pPr>
            <w:r w:rsidRPr="008F094D">
              <w:rPr>
                <w:rFonts w:ascii="Times New Roman" w:hAnsi="Times New Roman" w:cs="Times New Roman"/>
                <w:b/>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3122CA" w:rsidRPr="003122CA">
              <w:rPr>
                <w:rFonts w:ascii="Times New Roman" w:hAnsi="Times New Roman" w:cs="Times New Roman"/>
                <w:bCs/>
                <w:color w:val="000000"/>
                <w:lang w:eastAsia="lt-LT"/>
              </w:rPr>
              <w:t>struktūrinis</w:t>
            </w:r>
            <w:r w:rsidR="003122CA" w:rsidRPr="003122CA">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4FA7" w:rsidP="00E718B5">
            <w:pPr>
              <w:suppressAutoHyphens/>
              <w:jc w:val="both"/>
              <w:rPr>
                <w:rFonts w:ascii="Times New Roman" w:hAnsi="Times New Roman" w:cs="Times New Roman"/>
                <w:color w:val="000000"/>
                <w:lang w:eastAsia="lt-LT"/>
              </w:rPr>
            </w:pPr>
            <w:r w:rsidRPr="00E74FA7">
              <w:rPr>
                <w:rFonts w:ascii="Times New Roman" w:hAnsi="Times New Roman" w:cs="Times New Roman"/>
                <w:color w:val="000000"/>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696F9B" w:rsidRPr="00696F9B" w:rsidRDefault="00C54A7B" w:rsidP="00696F9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 xml:space="preserve">2) </w:t>
            </w:r>
            <w:r w:rsidR="00696F9B" w:rsidRPr="00696F9B">
              <w:rPr>
                <w:rFonts w:ascii="Times New Roman" w:hAnsi="Times New Roman" w:cs="Times New Roman"/>
                <w:bCs/>
                <w:color w:val="000000"/>
                <w:lang w:eastAsia="lt-LT"/>
              </w:rPr>
              <w:t>tiekėjo, kuris yra juridinis asmuo, kita organizacija ar jos</w:t>
            </w:r>
            <w:r w:rsidR="00696F9B" w:rsidRPr="00696F9B">
              <w:rPr>
                <w:rFonts w:ascii="Times New Roman" w:hAnsi="Times New Roman" w:cs="Times New Roman"/>
                <w:bCs/>
                <w:color w:val="000000"/>
                <w:lang w:val="en-US" w:eastAsia="lt-LT"/>
              </w:rPr>
              <w:t xml:space="preserve"> struktūrinis </w:t>
            </w:r>
            <w:r w:rsidR="00696F9B" w:rsidRPr="00696F9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54A7B">
              <w:rPr>
                <w:rFonts w:ascii="Times New Roman" w:hAnsi="Times New Roman" w:cs="Times New Roman"/>
                <w:color w:val="000000"/>
                <w:lang w:eastAsia="lt-LT"/>
              </w:rPr>
              <w:lastRenderedPageBreak/>
              <w:t xml:space="preserve">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w:t>
            </w:r>
            <w:r w:rsidRPr="00C54A7B">
              <w:rPr>
                <w:rFonts w:ascii="Times New Roman" w:hAnsi="Times New Roman" w:cs="Times New Roman"/>
                <w:b/>
                <w:bCs/>
                <w:color w:val="000000"/>
                <w:lang w:eastAsia="lt-LT"/>
              </w:rPr>
              <w:lastRenderedPageBreak/>
              <w:t>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22730E"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yra neįvykdęs sutarties, sudarytos vadovaujantis VPĮ, Viešųjų pirkimų, atliekamų gynybos ir saugumo srityje, įstatymu ar Pirkimų, </w:t>
            </w:r>
            <w:r w:rsidRPr="00C54A7B">
              <w:rPr>
                <w:rFonts w:ascii="Times New Roman" w:hAnsi="Times New Roman" w:cs="Times New Roman"/>
                <w:color w:val="000000"/>
                <w:lang w:eastAsia="lt-LT"/>
              </w:rPr>
              <w:lastRenderedPageBreak/>
              <w:t>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2730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22730E"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22730E"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22730E"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994516" w:rsidRPr="00994516" w:rsidRDefault="00994516" w:rsidP="00A83FE9">
      <w:pPr>
        <w:suppressAutoHyphens/>
        <w:ind w:firstLine="567"/>
        <w:jc w:val="both"/>
        <w:rPr>
          <w:rFonts w:eastAsia="Arial Unicode MS"/>
          <w:color w:val="000000"/>
          <w:sz w:val="21"/>
          <w:szCs w:val="21"/>
          <w:bdr w:val="nil"/>
          <w:lang w:eastAsia="lt-LT"/>
        </w:rPr>
      </w:pPr>
      <w:r w:rsidRPr="00994516">
        <w:rPr>
          <w:rFonts w:eastAsia="Arial Unicode MS"/>
          <w:color w:val="000000"/>
          <w:sz w:val="21"/>
          <w:szCs w:val="21"/>
          <w:bdr w:val="nil"/>
          <w:lang w:eastAsia="lt-LT"/>
        </w:rPr>
        <w:t>3.9. Tiekėjas, dalyvaujantis pirkime, turi atitikti kvalifikacinius reikalavimus ir, jeigu taikytina, laikytis kokybė</w:t>
      </w:r>
      <w:r w:rsidRPr="00994516">
        <w:rPr>
          <w:rFonts w:eastAsia="Arial Unicode MS"/>
          <w:color w:val="000000"/>
          <w:sz w:val="21"/>
          <w:szCs w:val="21"/>
          <w:bdr w:val="nil"/>
          <w:lang w:val="pt-PT" w:eastAsia="lt-LT"/>
        </w:rPr>
        <w:t>s vadybos sistemos ir (arba) aplinkos apsaugos vadybos sistemos standart</w:t>
      </w:r>
      <w:r w:rsidRPr="00994516">
        <w:rPr>
          <w:rFonts w:eastAsia="Arial Unicode MS"/>
          <w:color w:val="000000"/>
          <w:sz w:val="21"/>
          <w:szCs w:val="21"/>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7A7217">
        <w:rPr>
          <w:rFonts w:eastAsia="Arial Unicode MS"/>
          <w:color w:val="000000"/>
          <w:sz w:val="22"/>
          <w:szCs w:val="22"/>
          <w:bdr w:val="nil"/>
          <w:lang w:eastAsia="lt-LT"/>
        </w:rPr>
        <w:lastRenderedPageBreak/>
        <w:t>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D264A7">
        <w:trPr>
          <w:trHeight w:val="633"/>
        </w:trPr>
        <w:tc>
          <w:tcPr>
            <w:tcW w:w="295" w:type="pct"/>
            <w:vAlign w:val="center"/>
          </w:tcPr>
          <w:p w:rsidR="003B42CA" w:rsidRPr="003B42CA" w:rsidRDefault="003B42CA" w:rsidP="00D264A7">
            <w:pPr>
              <w:shd w:val="clear" w:color="auto" w:fill="FFFFFF"/>
              <w:ind w:firstLine="33"/>
              <w:jc w:val="center"/>
              <w:rPr>
                <w:rFonts w:eastAsia="Calibri"/>
                <w:color w:val="000000"/>
                <w:sz w:val="22"/>
                <w:szCs w:val="22"/>
              </w:rPr>
            </w:pPr>
            <w:r w:rsidRPr="003B42CA">
              <w:rPr>
                <w:rFonts w:eastAsia="Calibri"/>
                <w:color w:val="000000"/>
                <w:sz w:val="22"/>
                <w:szCs w:val="22"/>
              </w:rPr>
              <w:t>1.</w:t>
            </w:r>
          </w:p>
        </w:tc>
        <w:tc>
          <w:tcPr>
            <w:tcW w:w="2799" w:type="pct"/>
            <w:vAlign w:val="center"/>
          </w:tcPr>
          <w:p w:rsidR="003B42CA" w:rsidRPr="003B51B3" w:rsidRDefault="003B42CA" w:rsidP="00D264A7">
            <w:pPr>
              <w:jc w:val="both"/>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2A3C03">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w:t>
            </w:r>
            <w:r w:rsidR="00D264A7">
              <w:rPr>
                <w:color w:val="000000" w:themeColor="text1"/>
                <w:sz w:val="22"/>
                <w:szCs w:val="22"/>
              </w:rPr>
              <w:t>6</w:t>
            </w:r>
            <w:r w:rsidRPr="003B42CA">
              <w:rPr>
                <w:color w:val="000000" w:themeColor="text1"/>
                <w:sz w:val="22"/>
                <w:szCs w:val="22"/>
              </w:rPr>
              <w:t xml:space="preserve"> priedą)</w:t>
            </w:r>
          </w:p>
          <w:p w:rsidR="003B42CA" w:rsidRPr="003B42CA" w:rsidRDefault="003B42CA" w:rsidP="002A3C03">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2A3C03">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D264A7">
        <w:trPr>
          <w:trHeight w:val="841"/>
        </w:trPr>
        <w:tc>
          <w:tcPr>
            <w:tcW w:w="295" w:type="pct"/>
            <w:vAlign w:val="center"/>
          </w:tcPr>
          <w:p w:rsidR="003B42CA" w:rsidRPr="003B42CA" w:rsidRDefault="003B42CA" w:rsidP="00D264A7">
            <w:pPr>
              <w:shd w:val="clear" w:color="auto" w:fill="FFFFFF"/>
              <w:ind w:firstLine="33"/>
              <w:jc w:val="center"/>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D264A7">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2A3C03">
            <w:pPr>
              <w:jc w:val="both"/>
              <w:rPr>
                <w:color w:val="8DB3E2" w:themeColor="text2" w:themeTint="66"/>
                <w:sz w:val="22"/>
                <w:szCs w:val="22"/>
              </w:rPr>
            </w:pPr>
          </w:p>
        </w:tc>
      </w:tr>
      <w:tr w:rsidR="003B42CA" w:rsidRPr="003B42CA" w:rsidTr="00D264A7">
        <w:trPr>
          <w:trHeight w:val="841"/>
        </w:trPr>
        <w:tc>
          <w:tcPr>
            <w:tcW w:w="295" w:type="pct"/>
            <w:vAlign w:val="center"/>
          </w:tcPr>
          <w:p w:rsidR="003B42CA" w:rsidRPr="003B42CA" w:rsidRDefault="003B42CA" w:rsidP="00D264A7">
            <w:pPr>
              <w:shd w:val="clear" w:color="auto" w:fill="FFFFFF"/>
              <w:ind w:firstLine="33"/>
              <w:jc w:val="center"/>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D264A7">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2A3C03">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w:t>
      </w:r>
      <w:r w:rsidR="00D264A7">
        <w:rPr>
          <w:b/>
          <w:i/>
          <w:lang w:val="lt-LT" w:eastAsia="lt-LT"/>
        </w:rPr>
        <w:t>6</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w:t>
      </w:r>
      <w:r w:rsidRPr="007A7217">
        <w:rPr>
          <w:rFonts w:cs="Times New Roman"/>
          <w:sz w:val="22"/>
          <w:szCs w:val="22"/>
        </w:rPr>
        <w:lastRenderedPageBreak/>
        <w:t xml:space="preserve">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16353B" w:rsidRPr="0016353B" w:rsidRDefault="00B35758" w:rsidP="0016353B">
      <w:pPr>
        <w:pStyle w:val="Body2"/>
        <w:tabs>
          <w:tab w:val="left" w:pos="567"/>
        </w:tabs>
        <w:rPr>
          <w:sz w:val="22"/>
          <w:szCs w:val="22"/>
        </w:rPr>
      </w:pPr>
      <w:r w:rsidRPr="007A7217">
        <w:rPr>
          <w:rFonts w:cs="Times New Roman"/>
          <w:sz w:val="22"/>
          <w:szCs w:val="22"/>
        </w:rPr>
        <w:tab/>
      </w:r>
      <w:r w:rsidR="0016353B" w:rsidRPr="0016353B">
        <w:rPr>
          <w:sz w:val="22"/>
          <w:szCs w:val="22"/>
        </w:rPr>
        <w:t>5.1. Teikėjas gali pateikti tik vieną pasiūlymą. Jei teikėjas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C730B4" w:rsidRDefault="00B35758" w:rsidP="00C730B4">
      <w:pPr>
        <w:pStyle w:val="Body2"/>
        <w:tabs>
          <w:tab w:val="left" w:pos="567"/>
        </w:tabs>
        <w:spacing w:after="0"/>
        <w:rPr>
          <w:rFonts w:cs="Times New Roman"/>
          <w:sz w:val="22"/>
          <w:szCs w:val="22"/>
          <w:lang w:val="pt-PT"/>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šku ir nebus priimami ir vertinami. Pasiūlymus gali teikti tik CVP IS registruoti tiekėjai (nemokama registracija adresu</w:t>
      </w:r>
      <w:r w:rsidR="00C730B4">
        <w:rPr>
          <w:rFonts w:cs="Times New Roman"/>
          <w:sz w:val="22"/>
          <w:szCs w:val="22"/>
        </w:rPr>
        <w:t xml:space="preserve"> </w:t>
      </w:r>
      <w:r w:rsidR="00C730B4" w:rsidRPr="00AC46AB">
        <w:rPr>
          <w:rFonts w:cs="Times New Roman"/>
          <w:sz w:val="22"/>
          <w:szCs w:val="22"/>
          <w:lang w:val="pt-PT"/>
        </w:rPr>
        <w:t>https://pirkimai.eviesiejipirkimai.lt ir https://viesiejipirkimai.lt</w:t>
      </w:r>
      <w:r w:rsidR="00C730B4" w:rsidRPr="007A7217">
        <w:rPr>
          <w:rFonts w:cs="Times New Roman"/>
          <w:sz w:val="22"/>
          <w:szCs w:val="22"/>
          <w:lang w:val="pt-PT"/>
        </w:rPr>
        <w:t>.</w:t>
      </w:r>
      <w:bookmarkStart w:id="2" w:name="_GoBack"/>
      <w:bookmarkEnd w:id="2"/>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7243D2">
        <w:rPr>
          <w:rFonts w:cs="Times New Roman"/>
          <w:b/>
          <w:iCs/>
          <w:color w:val="548DD4" w:themeColor="text2" w:themeTint="99"/>
          <w:sz w:val="22"/>
          <w:szCs w:val="22"/>
        </w:rPr>
        <w:t>202</w:t>
      </w:r>
      <w:r w:rsidR="00560B8F">
        <w:rPr>
          <w:rFonts w:cs="Times New Roman"/>
          <w:b/>
          <w:iCs/>
          <w:color w:val="548DD4" w:themeColor="text2" w:themeTint="99"/>
          <w:sz w:val="22"/>
          <w:szCs w:val="22"/>
        </w:rPr>
        <w:t>4 m</w:t>
      </w:r>
      <w:r w:rsidR="00560B8F" w:rsidRPr="003F1284">
        <w:rPr>
          <w:rFonts w:cs="Times New Roman"/>
          <w:b/>
          <w:iCs/>
          <w:color w:val="548DD4" w:themeColor="text2" w:themeTint="99"/>
          <w:sz w:val="22"/>
          <w:szCs w:val="22"/>
        </w:rPr>
        <w:t xml:space="preserve">. </w:t>
      </w:r>
      <w:r w:rsidR="00B43D0D" w:rsidRPr="003F1284">
        <w:rPr>
          <w:rFonts w:cs="Times New Roman"/>
          <w:b/>
          <w:iCs/>
          <w:color w:val="548DD4" w:themeColor="text2" w:themeTint="99"/>
          <w:sz w:val="22"/>
          <w:szCs w:val="22"/>
        </w:rPr>
        <w:t>gruodžio</w:t>
      </w:r>
      <w:r w:rsidR="007243D2" w:rsidRPr="003F1284">
        <w:rPr>
          <w:rFonts w:cs="Times New Roman"/>
          <w:b/>
          <w:iCs/>
          <w:color w:val="548DD4" w:themeColor="text2" w:themeTint="99"/>
          <w:sz w:val="22"/>
          <w:szCs w:val="22"/>
        </w:rPr>
        <w:t xml:space="preserve"> </w:t>
      </w:r>
      <w:r w:rsidR="00876E1A">
        <w:rPr>
          <w:rFonts w:cs="Times New Roman"/>
          <w:b/>
          <w:iCs/>
          <w:color w:val="548DD4" w:themeColor="text2" w:themeTint="99"/>
          <w:sz w:val="22"/>
          <w:szCs w:val="22"/>
        </w:rPr>
        <w:t>19</w:t>
      </w:r>
      <w:r w:rsidRPr="003F1284">
        <w:rPr>
          <w:rFonts w:cs="Times New Roman"/>
          <w:b/>
          <w:iCs/>
          <w:color w:val="548DD4" w:themeColor="text2" w:themeTint="99"/>
          <w:sz w:val="22"/>
          <w:szCs w:val="22"/>
        </w:rPr>
        <w:t xml:space="preserve"> d. </w:t>
      </w:r>
      <w:r w:rsidR="00560B8F" w:rsidRPr="003F1284">
        <w:rPr>
          <w:rFonts w:cs="Times New Roman"/>
          <w:b/>
          <w:iCs/>
          <w:color w:val="548DD4" w:themeColor="text2" w:themeTint="99"/>
          <w:sz w:val="22"/>
          <w:szCs w:val="22"/>
        </w:rPr>
        <w:t>11</w:t>
      </w:r>
      <w:r w:rsidRPr="003F1284">
        <w:rPr>
          <w:rFonts w:cs="Times New Roman"/>
          <w:b/>
          <w:iCs/>
          <w:color w:val="548DD4" w:themeColor="text2" w:themeTint="99"/>
          <w:sz w:val="22"/>
          <w:szCs w:val="22"/>
        </w:rPr>
        <w:t xml:space="preserve"> val.</w:t>
      </w:r>
      <w:r w:rsidRPr="007243D2">
        <w:rPr>
          <w:rFonts w:cs="Times New Roman"/>
          <w:b/>
          <w:iCs/>
          <w:color w:val="548DD4" w:themeColor="text2" w:themeTint="99"/>
          <w:sz w:val="22"/>
          <w:szCs w:val="22"/>
        </w:rPr>
        <w:t xml:space="preserve">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560B8F" w:rsidRPr="00560B8F">
        <w:rPr>
          <w:rFonts w:cs="Times New Roman"/>
          <w:sz w:val="22"/>
          <w:szCs w:val="22"/>
        </w:rPr>
        <w:t>Pasiūlymas turi galioti ne trumpiau kaip 3 mėnesius nuo susipažinimo su pasiūlymais dienos</w:t>
      </w:r>
      <w:r w:rsidRPr="007243D2">
        <w:rPr>
          <w:rFonts w:cs="Times New Roman"/>
          <w:color w:val="548DD4" w:themeColor="text2" w:themeTint="99"/>
          <w:sz w:val="22"/>
          <w:szCs w:val="22"/>
          <w:lang w:val="pt-PT"/>
        </w:rPr>
        <w:t>.</w:t>
      </w:r>
      <w:r w:rsidRPr="007243D2">
        <w:rPr>
          <w:rFonts w:cs="Times New Roman"/>
          <w:sz w:val="22"/>
          <w:szCs w:val="22"/>
          <w:lang w:val="pt-PT"/>
        </w:rPr>
        <w:t xml:space="preserve"> Jeigu pasiūlyme</w:t>
      </w:r>
      <w:r w:rsidRPr="007A7217">
        <w:rPr>
          <w:rFonts w:cs="Times New Roman"/>
          <w:sz w:val="22"/>
          <w:szCs w:val="22"/>
          <w:lang w:val="pt-PT"/>
        </w:rPr>
        <w:t xml:space="preserv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0729DE" w:rsidP="00D84289">
      <w:pPr>
        <w:tabs>
          <w:tab w:val="left" w:pos="567"/>
        </w:tabs>
        <w:suppressAutoHyphens/>
        <w:spacing w:after="40"/>
        <w:ind w:firstLine="567"/>
        <w:jc w:val="both"/>
        <w:rPr>
          <w:rFonts w:eastAsia="Times New Roman"/>
          <w:color w:val="000000"/>
          <w:sz w:val="22"/>
          <w:szCs w:val="22"/>
        </w:rPr>
      </w:pPr>
      <w:r w:rsidRPr="007A7217">
        <w:rPr>
          <w:sz w:val="22"/>
          <w:szCs w:val="22"/>
        </w:rPr>
        <w:t>Galutinė k</w:t>
      </w:r>
      <w:r w:rsidR="00D723B1" w:rsidRPr="007A7217">
        <w:rPr>
          <w:sz w:val="22"/>
          <w:szCs w:val="22"/>
        </w:rPr>
        <w:t>aina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F42212">
      <w:pPr>
        <w:pStyle w:val="Body2"/>
        <w:spacing w:after="0"/>
        <w:ind w:firstLine="567"/>
        <w:rPr>
          <w:rFonts w:cs="Times New Roman"/>
          <w:color w:val="auto"/>
          <w:sz w:val="22"/>
          <w:szCs w:val="22"/>
          <w:lang w:val="lt-LT"/>
        </w:rPr>
      </w:pPr>
      <w:r w:rsidRPr="007A7217">
        <w:rPr>
          <w:rFonts w:cs="Times New Roman"/>
          <w:b/>
          <w:iCs/>
          <w:sz w:val="22"/>
          <w:szCs w:val="22"/>
          <w:lang w:val="lt-LT"/>
        </w:rPr>
        <w:lastRenderedPageBreak/>
        <w:t>5.11.1. Užpild</w:t>
      </w:r>
      <w:r w:rsidR="006C08B7">
        <w:rPr>
          <w:rFonts w:cs="Times New Roman"/>
          <w:b/>
          <w:iCs/>
          <w:sz w:val="22"/>
          <w:szCs w:val="22"/>
          <w:lang w:val="lt-LT"/>
        </w:rPr>
        <w:t>yta pasiūlymo forma (1 priedas)</w:t>
      </w:r>
      <w:r w:rsidRPr="007A7217">
        <w:rPr>
          <w:rFonts w:cs="Times New Roman"/>
          <w:b/>
          <w:iCs/>
          <w:sz w:val="22"/>
          <w:szCs w:val="22"/>
          <w:lang w:val="lt-LT"/>
        </w:rPr>
        <w:t xml:space="preserve"> </w:t>
      </w:r>
      <w:r w:rsidR="006C08B7" w:rsidRPr="006C08B7">
        <w:rPr>
          <w:rFonts w:cs="Times New Roman"/>
          <w:color w:val="auto"/>
          <w:sz w:val="22"/>
          <w:szCs w:val="22"/>
          <w:lang w:val="lt-LT"/>
        </w:rPr>
        <w:t>užpildant visas šiame priede nurodytas lenteles.  Lentelės turi būti užpildytos taip, kaip nurodyta. Užpildytos lentelės privalo būti pateiktos ne skenuota forma, bet prisegant atskiru dokumentu Microsoft Word ar kita visuotinai prieinama teksto redagavimo programa.</w:t>
      </w:r>
      <w:r w:rsidRPr="007A7217">
        <w:rPr>
          <w:rFonts w:cs="Times New Roman"/>
          <w:color w:val="auto"/>
          <w:sz w:val="22"/>
          <w:szCs w:val="22"/>
          <w:lang w:val="lt-LT"/>
        </w:rPr>
        <w:t xml:space="preserve"> </w:t>
      </w:r>
    </w:p>
    <w:p w:rsidR="00B35758" w:rsidRPr="007A7217" w:rsidRDefault="00B35758" w:rsidP="00F42212">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F42212">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F42212">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F42212">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5.11.6. Užpildyta deklaracija</w:t>
      </w:r>
      <w:r w:rsidR="006C08B7">
        <w:rPr>
          <w:rFonts w:eastAsia="Arial Unicode MS"/>
          <w:b/>
          <w:color w:val="548DD4" w:themeColor="text2" w:themeTint="99"/>
          <w:sz w:val="22"/>
          <w:szCs w:val="22"/>
          <w:bdr w:val="nil"/>
          <w:lang w:eastAsia="en-GB"/>
        </w:rPr>
        <w:t xml:space="preserve"> dėl tiekėjo atsakingų asmenų (4</w:t>
      </w:r>
      <w:r w:rsidRPr="007A7217">
        <w:rPr>
          <w:rFonts w:eastAsia="Arial Unicode MS"/>
          <w:b/>
          <w:color w:val="548DD4" w:themeColor="text2" w:themeTint="99"/>
          <w:sz w:val="22"/>
          <w:szCs w:val="22"/>
          <w:bdr w:val="nil"/>
          <w:lang w:eastAsia="en-GB"/>
        </w:rPr>
        <w:t xml:space="preserve">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F42212">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6C08B7" w:rsidP="00F42212">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(6</w:t>
      </w:r>
      <w:r w:rsidR="009033D4">
        <w:rPr>
          <w:rFonts w:eastAsia="Arial Unicode MS"/>
          <w:b/>
          <w:color w:val="548DD4" w:themeColor="text2" w:themeTint="99"/>
          <w:sz w:val="22"/>
          <w:szCs w:val="22"/>
          <w:bdr w:val="nil"/>
          <w:lang w:eastAsia="en-GB"/>
        </w:rPr>
        <w:t xml:space="preserve"> priedas)</w:t>
      </w:r>
      <w:r>
        <w:rPr>
          <w:rFonts w:eastAsia="Arial Unicode MS"/>
          <w:b/>
          <w:color w:val="548DD4" w:themeColor="text2" w:themeTint="99"/>
          <w:sz w:val="22"/>
          <w:szCs w:val="22"/>
          <w:bdr w:val="nil"/>
          <w:lang w:eastAsia="en-GB"/>
        </w:rPr>
        <w:t>;</w:t>
      </w:r>
    </w:p>
    <w:p w:rsidR="00B35758" w:rsidRPr="007A7217" w:rsidRDefault="00B35758" w:rsidP="00F42212">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F42212">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Pr="007A7217">
        <w:rPr>
          <w:rFonts w:cs="Times New Roman"/>
          <w:sz w:val="22"/>
          <w:szCs w:val="22"/>
        </w:rPr>
        <w:t>kvalifikuotu elektroniniu parašu, atitinkanč</w:t>
      </w:r>
      <w:r w:rsidRPr="007A7217">
        <w:rPr>
          <w:rFonts w:cs="Times New Roman"/>
          <w:sz w:val="22"/>
          <w:szCs w:val="22"/>
          <w:lang w:val="es-ES_tradnl"/>
        </w:rPr>
        <w:t>iu Lietuvos Respublikos elektroninio para</w:t>
      </w:r>
      <w:r w:rsidRPr="007A7217">
        <w:rPr>
          <w:rFonts w:cs="Times New Roman"/>
          <w:sz w:val="22"/>
          <w:szCs w:val="22"/>
        </w:rPr>
        <w:t>šo įstatymo nustatytus reikalavimus.</w:t>
      </w:r>
    </w:p>
    <w:p w:rsidR="00323E1A" w:rsidRPr="007A7217" w:rsidRDefault="00AD600E" w:rsidP="006C08B7">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6C08B7">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6C08B7">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6C08B7">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w:t>
      </w:r>
      <w:r w:rsidRPr="007A7217">
        <w:rPr>
          <w:rFonts w:cs="Times New Roman"/>
          <w:sz w:val="22"/>
          <w:szCs w:val="22"/>
          <w:lang w:val="pt-PT"/>
        </w:rPr>
        <w:lastRenderedPageBreak/>
        <w:t xml:space="preserve">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000009E2" w:rsidRPr="000009E2">
        <w:rPr>
          <w:rFonts w:cs="Times New Roman"/>
          <w:sz w:val="22"/>
          <w:szCs w:val="22"/>
          <w:lang w:val="lt-LT"/>
        </w:rPr>
        <w:t>(</w:t>
      </w:r>
      <w:hyperlink r:id="rId22" w:history="1">
        <w:r w:rsidR="000009E2" w:rsidRPr="000009E2">
          <w:rPr>
            <w:rStyle w:val="Hyperlink"/>
            <w:sz w:val="22"/>
            <w:szCs w:val="22"/>
          </w:rPr>
          <w:t>Karina.Gudaviciute@kaunoklinikos.lt</w:t>
        </w:r>
      </w:hyperlink>
      <w:r w:rsidR="000009E2" w:rsidRPr="000009E2">
        <w:rPr>
          <w:rFonts w:cs="Times New Roman"/>
          <w:sz w:val="22"/>
          <w:szCs w:val="22"/>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A17EC3" w:rsidRPr="00A17EC3" w:rsidRDefault="00A17EC3" w:rsidP="00A17EC3">
      <w:pPr>
        <w:suppressAutoHyphens/>
        <w:ind w:firstLine="567"/>
        <w:jc w:val="both"/>
        <w:rPr>
          <w:rFonts w:eastAsia="Arial Unicode MS"/>
          <w:sz w:val="22"/>
          <w:szCs w:val="22"/>
          <w:bdr w:val="nil"/>
          <w:lang w:eastAsia="lt-LT"/>
        </w:rPr>
      </w:pPr>
      <w:r w:rsidRPr="00A17EC3">
        <w:rPr>
          <w:rFonts w:eastAsia="Arial Unicode MS"/>
          <w:sz w:val="22"/>
          <w:szCs w:val="22"/>
          <w:bdr w:val="nil"/>
          <w:lang w:eastAsia="lt-LT"/>
        </w:rPr>
        <w:t>8.1. Netaikoma.</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FD0EF3" w:rsidRDefault="00B35758" w:rsidP="008673A7">
      <w:pPr>
        <w:ind w:firstLine="567"/>
        <w:jc w:val="both"/>
        <w:rPr>
          <w:i/>
          <w:sz w:val="22"/>
          <w:szCs w:val="22"/>
        </w:rPr>
      </w:pPr>
      <w:r w:rsidRPr="007A7217">
        <w:rPr>
          <w:sz w:val="22"/>
          <w:szCs w:val="22"/>
        </w:rPr>
        <w:t xml:space="preserve">10.1. </w:t>
      </w:r>
      <w:r w:rsidR="005852B1">
        <w:rPr>
          <w:iCs/>
          <w:sz w:val="22"/>
          <w:szCs w:val="22"/>
        </w:rPr>
        <w:t>Susipažinimas</w:t>
      </w:r>
      <w:r w:rsidRPr="007A7217">
        <w:rPr>
          <w:iCs/>
          <w:sz w:val="22"/>
          <w:szCs w:val="22"/>
        </w:rPr>
        <w:t xml:space="preserve"> su pasiūlymais įvyks</w:t>
      </w:r>
      <w:r w:rsidRPr="007A7217">
        <w:rPr>
          <w:sz w:val="22"/>
          <w:szCs w:val="22"/>
        </w:rPr>
        <w:t xml:space="preserve"> Lietuvos sveikatos mokslų universiteto ligoninėje Kauno </w:t>
      </w:r>
      <w:r w:rsidRPr="00BF52AF">
        <w:rPr>
          <w:sz w:val="22"/>
          <w:szCs w:val="22"/>
        </w:rPr>
        <w:t>klinikos, Eivenių g. 2, LT-50161 Kaunas, Paslaugų centras, III aukš</w:t>
      </w:r>
      <w:r w:rsidR="005852B1" w:rsidRPr="00BF52AF">
        <w:rPr>
          <w:sz w:val="22"/>
          <w:szCs w:val="22"/>
        </w:rPr>
        <w:t xml:space="preserve">tas, Viešųjų pirkimų tarnyboje, </w:t>
      </w:r>
      <w:r w:rsidRPr="00BF52AF">
        <w:rPr>
          <w:b/>
          <w:iCs/>
          <w:sz w:val="22"/>
          <w:szCs w:val="22"/>
        </w:rPr>
        <w:t>20</w:t>
      </w:r>
      <w:r w:rsidR="00A01AB8" w:rsidRPr="00BF52AF">
        <w:rPr>
          <w:b/>
          <w:iCs/>
          <w:sz w:val="22"/>
          <w:szCs w:val="22"/>
        </w:rPr>
        <w:t>2</w:t>
      </w:r>
      <w:r w:rsidR="00560B8F" w:rsidRPr="00BF52AF">
        <w:rPr>
          <w:b/>
          <w:iCs/>
          <w:sz w:val="22"/>
          <w:szCs w:val="22"/>
        </w:rPr>
        <w:t xml:space="preserve">4 m. </w:t>
      </w:r>
      <w:r w:rsidR="00B43D0D" w:rsidRPr="00BF52AF">
        <w:rPr>
          <w:b/>
          <w:iCs/>
          <w:sz w:val="22"/>
          <w:szCs w:val="22"/>
        </w:rPr>
        <w:t xml:space="preserve">gruodžio 19 </w:t>
      </w:r>
      <w:r w:rsidRPr="00BF52AF">
        <w:rPr>
          <w:b/>
          <w:iCs/>
          <w:sz w:val="22"/>
          <w:szCs w:val="22"/>
        </w:rPr>
        <w:t xml:space="preserve">d. </w:t>
      </w:r>
      <w:r w:rsidR="00560B8F" w:rsidRPr="00BF52AF">
        <w:rPr>
          <w:b/>
          <w:iCs/>
          <w:sz w:val="22"/>
          <w:szCs w:val="22"/>
        </w:rPr>
        <w:t>11</w:t>
      </w:r>
      <w:r w:rsidR="002E02D3" w:rsidRPr="00BF52AF">
        <w:rPr>
          <w:b/>
          <w:iCs/>
          <w:sz w:val="22"/>
          <w:szCs w:val="22"/>
        </w:rPr>
        <w:t xml:space="preserve"> </w:t>
      </w:r>
      <w:r w:rsidRPr="00BF52AF">
        <w:rPr>
          <w:b/>
          <w:iCs/>
          <w:sz w:val="22"/>
          <w:szCs w:val="22"/>
        </w:rPr>
        <w:t>val. 45 min.</w:t>
      </w:r>
      <w:r w:rsidRPr="00BF52AF">
        <w:rPr>
          <w:iCs/>
          <w:sz w:val="22"/>
          <w:szCs w:val="22"/>
        </w:rPr>
        <w:t xml:space="preserve"> </w:t>
      </w:r>
      <w:r w:rsidRPr="00BF52AF">
        <w:rPr>
          <w:iCs/>
          <w:sz w:val="22"/>
          <w:szCs w:val="22"/>
          <w:u w:val="single"/>
        </w:rPr>
        <w:t xml:space="preserve">Jei pasiūlymas teikiamas šifruotas, slaptažodis turi būti pateiktas </w:t>
      </w:r>
      <w:r w:rsidR="00A01AB8" w:rsidRPr="00BF52AF">
        <w:rPr>
          <w:b/>
          <w:iCs/>
          <w:sz w:val="22"/>
          <w:szCs w:val="22"/>
          <w:u w:val="single"/>
        </w:rPr>
        <w:t>202</w:t>
      </w:r>
      <w:r w:rsidR="008D3F62" w:rsidRPr="00BF52AF">
        <w:rPr>
          <w:b/>
          <w:iCs/>
          <w:sz w:val="22"/>
          <w:szCs w:val="22"/>
          <w:u w:val="single"/>
        </w:rPr>
        <w:t>4</w:t>
      </w:r>
      <w:r w:rsidRPr="00BF52AF">
        <w:rPr>
          <w:b/>
          <w:iCs/>
          <w:sz w:val="22"/>
          <w:szCs w:val="22"/>
          <w:u w:val="single"/>
        </w:rPr>
        <w:t xml:space="preserve"> m. </w:t>
      </w:r>
      <w:r w:rsidR="00B43D0D" w:rsidRPr="00BF52AF">
        <w:rPr>
          <w:b/>
          <w:iCs/>
          <w:sz w:val="22"/>
          <w:szCs w:val="22"/>
          <w:u w:val="single"/>
        </w:rPr>
        <w:t xml:space="preserve">gruodžio 19 </w:t>
      </w:r>
      <w:r w:rsidRPr="00BF52AF">
        <w:rPr>
          <w:b/>
          <w:iCs/>
          <w:sz w:val="22"/>
          <w:szCs w:val="22"/>
          <w:u w:val="single"/>
        </w:rPr>
        <w:t xml:space="preserve">d. intervale </w:t>
      </w:r>
      <w:r w:rsidR="00560B8F" w:rsidRPr="00BF52AF">
        <w:rPr>
          <w:b/>
          <w:iCs/>
          <w:sz w:val="22"/>
          <w:szCs w:val="22"/>
          <w:u w:val="single"/>
        </w:rPr>
        <w:t>11</w:t>
      </w:r>
      <w:r w:rsidRPr="00BF52AF">
        <w:rPr>
          <w:b/>
          <w:iCs/>
          <w:sz w:val="22"/>
          <w:szCs w:val="22"/>
          <w:u w:val="single"/>
        </w:rPr>
        <w:t xml:space="preserve">.00 – </w:t>
      </w:r>
      <w:r w:rsidR="00560B8F" w:rsidRPr="00BF52AF">
        <w:rPr>
          <w:b/>
          <w:iCs/>
          <w:sz w:val="22"/>
          <w:szCs w:val="22"/>
          <w:u w:val="single"/>
        </w:rPr>
        <w:t>11</w:t>
      </w:r>
      <w:r w:rsidRPr="00BF52AF">
        <w:rPr>
          <w:b/>
          <w:iCs/>
          <w:sz w:val="22"/>
          <w:szCs w:val="22"/>
          <w:u w:val="single"/>
        </w:rPr>
        <w:t xml:space="preserve">.45 val.  </w:t>
      </w:r>
      <w:r w:rsidRPr="00BF52AF">
        <w:rPr>
          <w:iCs/>
          <w:sz w:val="22"/>
          <w:szCs w:val="22"/>
          <w:u w:val="single"/>
        </w:rPr>
        <w:t>(žr.</w:t>
      </w:r>
      <w:r w:rsidRPr="003F1284">
        <w:rPr>
          <w:iCs/>
          <w:sz w:val="22"/>
          <w:szCs w:val="22"/>
          <w:u w:val="single"/>
        </w:rPr>
        <w:t xml:space="preserve"> 6 skyrių „Pasiūlymų šifravimas“).</w:t>
      </w:r>
    </w:p>
    <w:p w:rsidR="00B35758" w:rsidRPr="007A7217" w:rsidRDefault="00B35758" w:rsidP="008673A7">
      <w:pPr>
        <w:pStyle w:val="Body2"/>
        <w:ind w:firstLine="567"/>
        <w:rPr>
          <w:rFonts w:cs="Times New Roman"/>
          <w:sz w:val="22"/>
          <w:szCs w:val="22"/>
          <w:lang w:val="lt-LT"/>
        </w:rPr>
      </w:pPr>
      <w:r w:rsidRPr="00FD0EF3">
        <w:rPr>
          <w:rFonts w:cs="Times New Roman"/>
          <w:sz w:val="22"/>
          <w:szCs w:val="22"/>
          <w:lang w:val="lt-LT"/>
        </w:rPr>
        <w:lastRenderedPageBreak/>
        <w:t>10.2. Tiekėjai negali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Default="00B35758" w:rsidP="00B35758">
      <w:pPr>
        <w:pStyle w:val="Body2"/>
        <w:rPr>
          <w:rFonts w:cs="Times New Roman"/>
          <w:sz w:val="18"/>
          <w:szCs w:val="18"/>
          <w:lang w:val="lt-LT"/>
        </w:rPr>
      </w:pPr>
    </w:p>
    <w:p w:rsidR="00560B8F" w:rsidRPr="00E061EA" w:rsidRDefault="00560B8F"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C8110F">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C8110F">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C8110F">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C8110F">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8673A7">
      <w:pPr>
        <w:suppressAutoHyphens/>
        <w:spacing w:after="40"/>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8673A7">
      <w:pPr>
        <w:suppressAutoHyphens/>
        <w:spacing w:after="40"/>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lastRenderedPageBreak/>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Pr="00E061EA"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Default="00B35758" w:rsidP="009033D4">
      <w:pPr>
        <w:pStyle w:val="Body2"/>
        <w:spacing w:after="0"/>
        <w:rPr>
          <w:rFonts w:cs="Times New Roman"/>
          <w:sz w:val="18"/>
          <w:szCs w:val="18"/>
          <w:lang w:val="lt-LT"/>
        </w:rPr>
      </w:pPr>
    </w:p>
    <w:p w:rsidR="004064C9" w:rsidRDefault="004064C9"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8F3886"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957318" w:rsidRDefault="00957318"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 xml:space="preserve">gos pateikiamos pirkimo sąlygų </w:t>
      </w:r>
      <w:r w:rsidR="00A17EC3">
        <w:rPr>
          <w:color w:val="000000"/>
          <w:sz w:val="22"/>
          <w:szCs w:val="22"/>
          <w:lang w:eastAsia="lt-LT"/>
        </w:rPr>
        <w:t>2</w:t>
      </w:r>
      <w:r w:rsidR="00015364" w:rsidRPr="00015364">
        <w:rPr>
          <w:color w:val="000000"/>
          <w:sz w:val="22"/>
          <w:szCs w:val="22"/>
          <w:lang w:eastAsia="lt-LT"/>
        </w:rPr>
        <w:t xml:space="preserve"> </w:t>
      </w:r>
      <w:r w:rsidR="00015364">
        <w:rPr>
          <w:color w:val="000000"/>
          <w:sz w:val="22"/>
          <w:szCs w:val="22"/>
          <w:lang w:eastAsia="lt-LT"/>
        </w:rPr>
        <w:t>priede (Sutarties projektas)</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A17EC3">
        <w:rPr>
          <w:color w:val="000000"/>
          <w:sz w:val="22"/>
          <w:szCs w:val="22"/>
          <w:lang w:eastAsia="lt-LT"/>
        </w:rPr>
        <w:t>7</w:t>
      </w:r>
      <w:r w:rsidR="00C24E1A">
        <w:rPr>
          <w:color w:val="000000"/>
          <w:sz w:val="22"/>
          <w:szCs w:val="22"/>
          <w:lang w:eastAsia="lt-LT"/>
        </w:rPr>
        <w:t xml:space="preserve"> priede (</w:t>
      </w:r>
      <w:r w:rsidR="002D744E">
        <w:rPr>
          <w:color w:val="000000"/>
          <w:sz w:val="22"/>
          <w:szCs w:val="22"/>
          <w:lang w:eastAsia="lt-LT"/>
        </w:rPr>
        <w:t>Paslaugų</w:t>
      </w:r>
      <w:r w:rsidR="00015364">
        <w:rPr>
          <w:color w:val="000000"/>
          <w:sz w:val="22"/>
          <w:szCs w:val="22"/>
          <w:lang w:eastAsia="lt-LT"/>
        </w:rPr>
        <w:t xml:space="preserve"> </w:t>
      </w:r>
      <w:r w:rsidR="00C24E1A">
        <w:rPr>
          <w:color w:val="000000"/>
          <w:sz w:val="22"/>
          <w:szCs w:val="22"/>
          <w:lang w:eastAsia="lt-LT"/>
        </w:rPr>
        <w:t>sutarčių bendrosios sąlygos)</w:t>
      </w:r>
      <w:r w:rsidR="001F37E0">
        <w:rPr>
          <w:color w:val="000000"/>
          <w:sz w:val="22"/>
          <w:szCs w:val="22"/>
          <w:lang w:eastAsia="lt-LT"/>
        </w:rPr>
        <w:t xml:space="preserve"> </w:t>
      </w:r>
      <w:r w:rsidR="001F37E0" w:rsidRPr="00886699">
        <w:rPr>
          <w:color w:val="000000"/>
          <w:sz w:val="22"/>
          <w:szCs w:val="22"/>
          <w:lang w:eastAsia="lt-LT"/>
        </w:rPr>
        <w:t>(svetainė</w:t>
      </w:r>
      <w:r w:rsidR="001F37E0" w:rsidRPr="007A7217">
        <w:rPr>
          <w:color w:val="000000"/>
          <w:sz w:val="22"/>
          <w:szCs w:val="22"/>
          <w:lang w:eastAsia="lt-LT"/>
        </w:rPr>
        <w:t xml:space="preserve"> pasiekiama adresu </w:t>
      </w:r>
      <w:hyperlink r:id="rId23" w:history="1">
        <w:r w:rsidR="001F37E0" w:rsidRPr="007A7217">
          <w:rPr>
            <w:sz w:val="22"/>
            <w:szCs w:val="22"/>
            <w:u w:val="single"/>
            <w:lang w:eastAsia="lt-LT"/>
          </w:rPr>
          <w:t>https://www.kaunoklinikos.lt/apie-mus/viesieji-pirkimai</w:t>
        </w:r>
      </w:hyperlink>
      <w:r w:rsidR="001F37E0" w:rsidRPr="007A7217">
        <w:rPr>
          <w:color w:val="000000"/>
          <w:sz w:val="22"/>
          <w:szCs w:val="22"/>
          <w:lang w:eastAsia="lt-LT"/>
        </w:rPr>
        <w:t>)</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DA490B">
      <w:footerReference w:type="default" r:id="rId24"/>
      <w:footerReference w:type="first" r:id="rId25"/>
      <w:pgSz w:w="11900" w:h="16840" w:code="9"/>
      <w:pgMar w:top="1701"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30E" w:rsidRDefault="0022730E" w:rsidP="00D348FD">
      <w:r>
        <w:separator/>
      </w:r>
    </w:p>
  </w:endnote>
  <w:endnote w:type="continuationSeparator" w:id="0">
    <w:p w:rsidR="0022730E" w:rsidRDefault="0022730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CD" w:rsidRDefault="00421DCD">
    <w:pPr>
      <w:pStyle w:val="Footer"/>
      <w:jc w:val="right"/>
    </w:pPr>
  </w:p>
  <w:p w:rsidR="00421DCD" w:rsidRDefault="00421DC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CD" w:rsidRDefault="00421DCD">
    <w:pPr>
      <w:pStyle w:val="Footer"/>
      <w:jc w:val="right"/>
    </w:pPr>
  </w:p>
  <w:p w:rsidR="00421DCD" w:rsidRDefault="0042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30E" w:rsidRDefault="0022730E" w:rsidP="00D348FD">
      <w:r>
        <w:separator/>
      </w:r>
    </w:p>
  </w:footnote>
  <w:footnote w:type="continuationSeparator" w:id="0">
    <w:p w:rsidR="0022730E" w:rsidRDefault="0022730E" w:rsidP="00D348FD">
      <w:r>
        <w:continuationSeparator/>
      </w:r>
    </w:p>
  </w:footnote>
  <w:footnote w:id="1">
    <w:p w:rsidR="00421DCD" w:rsidRPr="00C54A7B" w:rsidRDefault="00421DCD"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21DCD" w:rsidRPr="00C54A7B" w:rsidRDefault="00421DCD" w:rsidP="00C54A7B">
      <w:pPr>
        <w:pStyle w:val="FootnoteText"/>
        <w:numPr>
          <w:ilvl w:val="0"/>
          <w:numId w:val="31"/>
        </w:numPr>
        <w:rPr>
          <w:rFonts w:eastAsia="Yu Mincho"/>
          <w:i/>
          <w:iCs/>
        </w:rPr>
      </w:pPr>
      <w:r w:rsidRPr="00C54A7B">
        <w:rPr>
          <w:rFonts w:eastAsia="Yu Mincho"/>
          <w:i/>
          <w:iCs/>
        </w:rPr>
        <w:t xml:space="preserve">priesaikos deklaracija; </w:t>
      </w:r>
    </w:p>
    <w:p w:rsidR="00421DCD" w:rsidRDefault="00421DCD"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09E2"/>
    <w:rsid w:val="00005277"/>
    <w:rsid w:val="00006010"/>
    <w:rsid w:val="00012705"/>
    <w:rsid w:val="00015364"/>
    <w:rsid w:val="000227EC"/>
    <w:rsid w:val="000246E8"/>
    <w:rsid w:val="00035661"/>
    <w:rsid w:val="00036299"/>
    <w:rsid w:val="00036AA2"/>
    <w:rsid w:val="00037AE6"/>
    <w:rsid w:val="0005434D"/>
    <w:rsid w:val="000601BA"/>
    <w:rsid w:val="0006274D"/>
    <w:rsid w:val="000679D9"/>
    <w:rsid w:val="00070083"/>
    <w:rsid w:val="000729DE"/>
    <w:rsid w:val="00085F00"/>
    <w:rsid w:val="00087527"/>
    <w:rsid w:val="00095842"/>
    <w:rsid w:val="000A08F6"/>
    <w:rsid w:val="000A4E80"/>
    <w:rsid w:val="000A607B"/>
    <w:rsid w:val="000C56EF"/>
    <w:rsid w:val="000D2CDB"/>
    <w:rsid w:val="000E4AD1"/>
    <w:rsid w:val="000F47D7"/>
    <w:rsid w:val="00105854"/>
    <w:rsid w:val="00121503"/>
    <w:rsid w:val="001309EE"/>
    <w:rsid w:val="00135D44"/>
    <w:rsid w:val="00144085"/>
    <w:rsid w:val="00145AAB"/>
    <w:rsid w:val="001601E7"/>
    <w:rsid w:val="0016353B"/>
    <w:rsid w:val="00172554"/>
    <w:rsid w:val="001740CF"/>
    <w:rsid w:val="00185CA6"/>
    <w:rsid w:val="0019080A"/>
    <w:rsid w:val="001A3AAF"/>
    <w:rsid w:val="001A4824"/>
    <w:rsid w:val="001A6875"/>
    <w:rsid w:val="001A6DA0"/>
    <w:rsid w:val="001B1C41"/>
    <w:rsid w:val="001B29E3"/>
    <w:rsid w:val="001B66C0"/>
    <w:rsid w:val="001D3322"/>
    <w:rsid w:val="001D5C9B"/>
    <w:rsid w:val="001F37E0"/>
    <w:rsid w:val="001F45FB"/>
    <w:rsid w:val="001F4F6D"/>
    <w:rsid w:val="0021036F"/>
    <w:rsid w:val="00212FDC"/>
    <w:rsid w:val="00220750"/>
    <w:rsid w:val="0022730E"/>
    <w:rsid w:val="0023295C"/>
    <w:rsid w:val="00232A0D"/>
    <w:rsid w:val="002401BF"/>
    <w:rsid w:val="00240B5A"/>
    <w:rsid w:val="0024347E"/>
    <w:rsid w:val="00244CC2"/>
    <w:rsid w:val="00246239"/>
    <w:rsid w:val="00250E4D"/>
    <w:rsid w:val="00251462"/>
    <w:rsid w:val="00253A86"/>
    <w:rsid w:val="00257D79"/>
    <w:rsid w:val="00261348"/>
    <w:rsid w:val="00261BA1"/>
    <w:rsid w:val="00262F5A"/>
    <w:rsid w:val="00274C19"/>
    <w:rsid w:val="00285A9C"/>
    <w:rsid w:val="00293A32"/>
    <w:rsid w:val="002A1383"/>
    <w:rsid w:val="002A2874"/>
    <w:rsid w:val="002A3C03"/>
    <w:rsid w:val="002B34B5"/>
    <w:rsid w:val="002B3F50"/>
    <w:rsid w:val="002B7178"/>
    <w:rsid w:val="002C1826"/>
    <w:rsid w:val="002C1D54"/>
    <w:rsid w:val="002C294C"/>
    <w:rsid w:val="002C55BB"/>
    <w:rsid w:val="002D398F"/>
    <w:rsid w:val="002D744E"/>
    <w:rsid w:val="002E02D3"/>
    <w:rsid w:val="002E5947"/>
    <w:rsid w:val="002F61CB"/>
    <w:rsid w:val="00300450"/>
    <w:rsid w:val="00305B83"/>
    <w:rsid w:val="003122CA"/>
    <w:rsid w:val="00313909"/>
    <w:rsid w:val="00314A8E"/>
    <w:rsid w:val="00316826"/>
    <w:rsid w:val="00323E1A"/>
    <w:rsid w:val="0032408D"/>
    <w:rsid w:val="00326154"/>
    <w:rsid w:val="00334ED4"/>
    <w:rsid w:val="00345031"/>
    <w:rsid w:val="00346527"/>
    <w:rsid w:val="0035388D"/>
    <w:rsid w:val="003628E2"/>
    <w:rsid w:val="00362E00"/>
    <w:rsid w:val="003748A6"/>
    <w:rsid w:val="0037641B"/>
    <w:rsid w:val="0037766A"/>
    <w:rsid w:val="003909BC"/>
    <w:rsid w:val="0039333C"/>
    <w:rsid w:val="00397475"/>
    <w:rsid w:val="003A7BFF"/>
    <w:rsid w:val="003B06CF"/>
    <w:rsid w:val="003B2BC4"/>
    <w:rsid w:val="003B42CA"/>
    <w:rsid w:val="003B51B3"/>
    <w:rsid w:val="003B541D"/>
    <w:rsid w:val="003C1DF9"/>
    <w:rsid w:val="003C6CE1"/>
    <w:rsid w:val="003D3286"/>
    <w:rsid w:val="003D340A"/>
    <w:rsid w:val="003D5E00"/>
    <w:rsid w:val="003E3681"/>
    <w:rsid w:val="003F1284"/>
    <w:rsid w:val="003F191A"/>
    <w:rsid w:val="004004A6"/>
    <w:rsid w:val="00404831"/>
    <w:rsid w:val="004064C9"/>
    <w:rsid w:val="00406A11"/>
    <w:rsid w:val="00412B94"/>
    <w:rsid w:val="00421DCD"/>
    <w:rsid w:val="00423FC4"/>
    <w:rsid w:val="0043688F"/>
    <w:rsid w:val="00457516"/>
    <w:rsid w:val="004619B9"/>
    <w:rsid w:val="00470506"/>
    <w:rsid w:val="00491619"/>
    <w:rsid w:val="00495506"/>
    <w:rsid w:val="004C2775"/>
    <w:rsid w:val="004D6DE9"/>
    <w:rsid w:val="004E5EF9"/>
    <w:rsid w:val="004E65B4"/>
    <w:rsid w:val="004F0AFB"/>
    <w:rsid w:val="004F46B0"/>
    <w:rsid w:val="004F5B6E"/>
    <w:rsid w:val="00501F62"/>
    <w:rsid w:val="0050265B"/>
    <w:rsid w:val="00507CDC"/>
    <w:rsid w:val="005135E8"/>
    <w:rsid w:val="005172DB"/>
    <w:rsid w:val="005303C0"/>
    <w:rsid w:val="00531BCD"/>
    <w:rsid w:val="00533750"/>
    <w:rsid w:val="00534894"/>
    <w:rsid w:val="0054327A"/>
    <w:rsid w:val="005440E8"/>
    <w:rsid w:val="005465C4"/>
    <w:rsid w:val="00551DA7"/>
    <w:rsid w:val="00560B8F"/>
    <w:rsid w:val="00564D0E"/>
    <w:rsid w:val="00574FFF"/>
    <w:rsid w:val="00581CE1"/>
    <w:rsid w:val="00582AEF"/>
    <w:rsid w:val="005852B1"/>
    <w:rsid w:val="005944BC"/>
    <w:rsid w:val="00595E4D"/>
    <w:rsid w:val="005A67AC"/>
    <w:rsid w:val="005D3CBB"/>
    <w:rsid w:val="005D6D2B"/>
    <w:rsid w:val="005E6556"/>
    <w:rsid w:val="006048E5"/>
    <w:rsid w:val="0060712E"/>
    <w:rsid w:val="00614540"/>
    <w:rsid w:val="00614D5E"/>
    <w:rsid w:val="0062424E"/>
    <w:rsid w:val="00630E3D"/>
    <w:rsid w:val="006674AF"/>
    <w:rsid w:val="0067568F"/>
    <w:rsid w:val="00676354"/>
    <w:rsid w:val="0067693D"/>
    <w:rsid w:val="00676AA3"/>
    <w:rsid w:val="00686478"/>
    <w:rsid w:val="00693E23"/>
    <w:rsid w:val="00693ED0"/>
    <w:rsid w:val="00696F9B"/>
    <w:rsid w:val="0069713A"/>
    <w:rsid w:val="006A03D3"/>
    <w:rsid w:val="006A1757"/>
    <w:rsid w:val="006C08B7"/>
    <w:rsid w:val="006C16A2"/>
    <w:rsid w:val="006C4497"/>
    <w:rsid w:val="006C6B3D"/>
    <w:rsid w:val="006D6782"/>
    <w:rsid w:val="006D71B2"/>
    <w:rsid w:val="006D7458"/>
    <w:rsid w:val="006D7A4C"/>
    <w:rsid w:val="006F59CF"/>
    <w:rsid w:val="007108F5"/>
    <w:rsid w:val="007218D2"/>
    <w:rsid w:val="007243D2"/>
    <w:rsid w:val="00732150"/>
    <w:rsid w:val="00734E03"/>
    <w:rsid w:val="007352A0"/>
    <w:rsid w:val="00742843"/>
    <w:rsid w:val="0074391E"/>
    <w:rsid w:val="007470BE"/>
    <w:rsid w:val="00763166"/>
    <w:rsid w:val="00765365"/>
    <w:rsid w:val="007678A8"/>
    <w:rsid w:val="007739AB"/>
    <w:rsid w:val="00775A4D"/>
    <w:rsid w:val="00783153"/>
    <w:rsid w:val="00793D24"/>
    <w:rsid w:val="00795659"/>
    <w:rsid w:val="007976C4"/>
    <w:rsid w:val="007A7217"/>
    <w:rsid w:val="007B3746"/>
    <w:rsid w:val="007B7CBF"/>
    <w:rsid w:val="007C37DB"/>
    <w:rsid w:val="007C52DC"/>
    <w:rsid w:val="007D7C9B"/>
    <w:rsid w:val="007E6CCC"/>
    <w:rsid w:val="00801168"/>
    <w:rsid w:val="00804D13"/>
    <w:rsid w:val="008051C4"/>
    <w:rsid w:val="0080629D"/>
    <w:rsid w:val="00812B6E"/>
    <w:rsid w:val="008150C0"/>
    <w:rsid w:val="00817B08"/>
    <w:rsid w:val="00821BCB"/>
    <w:rsid w:val="00833845"/>
    <w:rsid w:val="00837416"/>
    <w:rsid w:val="00856B92"/>
    <w:rsid w:val="00864B9D"/>
    <w:rsid w:val="008673A7"/>
    <w:rsid w:val="00871F43"/>
    <w:rsid w:val="00876E1A"/>
    <w:rsid w:val="008850F6"/>
    <w:rsid w:val="00886BA5"/>
    <w:rsid w:val="008B46BF"/>
    <w:rsid w:val="008B746A"/>
    <w:rsid w:val="008C612E"/>
    <w:rsid w:val="008D2C00"/>
    <w:rsid w:val="008D3F62"/>
    <w:rsid w:val="008D4D1C"/>
    <w:rsid w:val="008D5BD2"/>
    <w:rsid w:val="008E5E69"/>
    <w:rsid w:val="008F094D"/>
    <w:rsid w:val="008F3886"/>
    <w:rsid w:val="008F6AD3"/>
    <w:rsid w:val="009033D4"/>
    <w:rsid w:val="00904BFD"/>
    <w:rsid w:val="00906D38"/>
    <w:rsid w:val="0091452A"/>
    <w:rsid w:val="00914A9A"/>
    <w:rsid w:val="00920F8A"/>
    <w:rsid w:val="009234AC"/>
    <w:rsid w:val="00931A0D"/>
    <w:rsid w:val="00931A21"/>
    <w:rsid w:val="00942A4F"/>
    <w:rsid w:val="00957318"/>
    <w:rsid w:val="00971BA0"/>
    <w:rsid w:val="00971E19"/>
    <w:rsid w:val="0098531F"/>
    <w:rsid w:val="00986433"/>
    <w:rsid w:val="009878E4"/>
    <w:rsid w:val="009908CE"/>
    <w:rsid w:val="009934F6"/>
    <w:rsid w:val="00994516"/>
    <w:rsid w:val="009954EA"/>
    <w:rsid w:val="009956F9"/>
    <w:rsid w:val="009A586E"/>
    <w:rsid w:val="009A5AE8"/>
    <w:rsid w:val="009A5D3C"/>
    <w:rsid w:val="009B718E"/>
    <w:rsid w:val="009C22A8"/>
    <w:rsid w:val="009C72B6"/>
    <w:rsid w:val="009C7587"/>
    <w:rsid w:val="009D377B"/>
    <w:rsid w:val="009D5906"/>
    <w:rsid w:val="009F328C"/>
    <w:rsid w:val="00A007EF"/>
    <w:rsid w:val="00A01AB8"/>
    <w:rsid w:val="00A02FFC"/>
    <w:rsid w:val="00A076A0"/>
    <w:rsid w:val="00A1113B"/>
    <w:rsid w:val="00A17EC3"/>
    <w:rsid w:val="00A33C5E"/>
    <w:rsid w:val="00A36091"/>
    <w:rsid w:val="00A43824"/>
    <w:rsid w:val="00A4659B"/>
    <w:rsid w:val="00A47AC1"/>
    <w:rsid w:val="00A60223"/>
    <w:rsid w:val="00A76F9F"/>
    <w:rsid w:val="00A83FE9"/>
    <w:rsid w:val="00A87C15"/>
    <w:rsid w:val="00A90F29"/>
    <w:rsid w:val="00A91A11"/>
    <w:rsid w:val="00AB07A3"/>
    <w:rsid w:val="00AC1AD8"/>
    <w:rsid w:val="00AC46AB"/>
    <w:rsid w:val="00AD29F5"/>
    <w:rsid w:val="00AD600E"/>
    <w:rsid w:val="00AE0A6E"/>
    <w:rsid w:val="00AF6011"/>
    <w:rsid w:val="00AF6FE8"/>
    <w:rsid w:val="00AF7E85"/>
    <w:rsid w:val="00B02237"/>
    <w:rsid w:val="00B111A4"/>
    <w:rsid w:val="00B12B31"/>
    <w:rsid w:val="00B15A54"/>
    <w:rsid w:val="00B27CC6"/>
    <w:rsid w:val="00B3476B"/>
    <w:rsid w:val="00B35758"/>
    <w:rsid w:val="00B36A91"/>
    <w:rsid w:val="00B43D0D"/>
    <w:rsid w:val="00B44CD6"/>
    <w:rsid w:val="00B511F6"/>
    <w:rsid w:val="00B56AF6"/>
    <w:rsid w:val="00B62F74"/>
    <w:rsid w:val="00B67D7F"/>
    <w:rsid w:val="00B73AF8"/>
    <w:rsid w:val="00B77C5A"/>
    <w:rsid w:val="00B849E4"/>
    <w:rsid w:val="00B90B2B"/>
    <w:rsid w:val="00B95358"/>
    <w:rsid w:val="00B960E3"/>
    <w:rsid w:val="00B97858"/>
    <w:rsid w:val="00BA6958"/>
    <w:rsid w:val="00BB2FBB"/>
    <w:rsid w:val="00BB33CD"/>
    <w:rsid w:val="00BB3B7D"/>
    <w:rsid w:val="00BB5C93"/>
    <w:rsid w:val="00BD3E55"/>
    <w:rsid w:val="00BE3121"/>
    <w:rsid w:val="00BE6A9E"/>
    <w:rsid w:val="00BF52AF"/>
    <w:rsid w:val="00BF720D"/>
    <w:rsid w:val="00C11343"/>
    <w:rsid w:val="00C146AD"/>
    <w:rsid w:val="00C24E1A"/>
    <w:rsid w:val="00C27A7A"/>
    <w:rsid w:val="00C3786B"/>
    <w:rsid w:val="00C45CD6"/>
    <w:rsid w:val="00C474D6"/>
    <w:rsid w:val="00C5073F"/>
    <w:rsid w:val="00C51729"/>
    <w:rsid w:val="00C54A7B"/>
    <w:rsid w:val="00C60F24"/>
    <w:rsid w:val="00C730B4"/>
    <w:rsid w:val="00C77201"/>
    <w:rsid w:val="00C8110F"/>
    <w:rsid w:val="00C83795"/>
    <w:rsid w:val="00C83E21"/>
    <w:rsid w:val="00C90257"/>
    <w:rsid w:val="00C96C70"/>
    <w:rsid w:val="00CA357F"/>
    <w:rsid w:val="00CA52ED"/>
    <w:rsid w:val="00CA5C66"/>
    <w:rsid w:val="00CA5DD6"/>
    <w:rsid w:val="00CA645C"/>
    <w:rsid w:val="00CA7AED"/>
    <w:rsid w:val="00CB6926"/>
    <w:rsid w:val="00CD39F0"/>
    <w:rsid w:val="00CF3E36"/>
    <w:rsid w:val="00CF3EC0"/>
    <w:rsid w:val="00D00821"/>
    <w:rsid w:val="00D264A7"/>
    <w:rsid w:val="00D348FD"/>
    <w:rsid w:val="00D425CA"/>
    <w:rsid w:val="00D46F8C"/>
    <w:rsid w:val="00D50C4E"/>
    <w:rsid w:val="00D63C69"/>
    <w:rsid w:val="00D723B1"/>
    <w:rsid w:val="00D77C80"/>
    <w:rsid w:val="00D84289"/>
    <w:rsid w:val="00D87B13"/>
    <w:rsid w:val="00DA4111"/>
    <w:rsid w:val="00DA490B"/>
    <w:rsid w:val="00DA5861"/>
    <w:rsid w:val="00DB49F1"/>
    <w:rsid w:val="00DC2FB1"/>
    <w:rsid w:val="00DC3731"/>
    <w:rsid w:val="00DC7725"/>
    <w:rsid w:val="00DE0292"/>
    <w:rsid w:val="00DE046C"/>
    <w:rsid w:val="00DE0B85"/>
    <w:rsid w:val="00DE2154"/>
    <w:rsid w:val="00DE7E7B"/>
    <w:rsid w:val="00E039E1"/>
    <w:rsid w:val="00E05285"/>
    <w:rsid w:val="00E061EA"/>
    <w:rsid w:val="00E17DFB"/>
    <w:rsid w:val="00E22DBF"/>
    <w:rsid w:val="00E3259F"/>
    <w:rsid w:val="00E43192"/>
    <w:rsid w:val="00E718B5"/>
    <w:rsid w:val="00E72387"/>
    <w:rsid w:val="00E74FA7"/>
    <w:rsid w:val="00E81395"/>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2B24"/>
    <w:rsid w:val="00F23BA1"/>
    <w:rsid w:val="00F33445"/>
    <w:rsid w:val="00F34FCA"/>
    <w:rsid w:val="00F42212"/>
    <w:rsid w:val="00F65F30"/>
    <w:rsid w:val="00F704E1"/>
    <w:rsid w:val="00F83A08"/>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04B7"/>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00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Karina.Gudaviciu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kaunoklinikos.lt/apie-mus/viesieji-pirkimai"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Karina.Gudaviciute@kaunokliniko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5D6CF9-7811-469E-8430-5DBB0332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38634</Words>
  <Characters>22022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13</cp:revision>
  <cp:lastPrinted>2019-12-02T08:33:00Z</cp:lastPrinted>
  <dcterms:created xsi:type="dcterms:W3CDTF">2024-10-29T11:40:00Z</dcterms:created>
  <dcterms:modified xsi:type="dcterms:W3CDTF">2024-11-29T08:55:00Z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