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1AAB42B9" w14:textId="77777777" w:rsidR="00CE0686" w:rsidRDefault="00BB2CAD" w:rsidP="00B31BD6">
            <w:pPr>
              <w:jc w:val="center"/>
              <w:rPr>
                <w:b/>
                <w:kern w:val="2"/>
                <w:szCs w:val="24"/>
              </w:rPr>
            </w:pPr>
            <w:r w:rsidRPr="00B31BD6">
              <w:rPr>
                <w:b/>
                <w:kern w:val="2"/>
                <w:szCs w:val="24"/>
              </w:rPr>
              <w:t>„</w:t>
            </w:r>
            <w:r w:rsidR="00440B43" w:rsidRPr="00B31BD6">
              <w:rPr>
                <w:b/>
                <w:kern w:val="2"/>
                <w:szCs w:val="24"/>
              </w:rPr>
              <w:t xml:space="preserve">REAGENTAI IR </w:t>
            </w:r>
            <w:r w:rsidR="00B31BD6" w:rsidRPr="00B31BD6">
              <w:rPr>
                <w:b/>
                <w:kern w:val="2"/>
                <w:szCs w:val="24"/>
              </w:rPr>
              <w:t>EKSPLOATACINĖS MEDŽIAGOS</w:t>
            </w:r>
            <w:r w:rsidRPr="00B31BD6">
              <w:rPr>
                <w:b/>
                <w:kern w:val="2"/>
                <w:szCs w:val="24"/>
              </w:rPr>
              <w:t xml:space="preserve"> </w:t>
            </w:r>
          </w:p>
          <w:p w14:paraId="55A10246" w14:textId="3E2935FC" w:rsidR="009073E2" w:rsidRPr="002776FC" w:rsidRDefault="00BB2CAD" w:rsidP="00B31BD6">
            <w:pPr>
              <w:jc w:val="center"/>
              <w:rPr>
                <w:b/>
                <w:kern w:val="2"/>
                <w:szCs w:val="24"/>
              </w:rPr>
            </w:pPr>
            <w:r w:rsidRPr="00B31BD6">
              <w:rPr>
                <w:b/>
                <w:kern w:val="2"/>
                <w:szCs w:val="24"/>
              </w:rPr>
              <w:t xml:space="preserve"> (Nr. 10</w:t>
            </w:r>
            <w:r w:rsidR="00B31BD6" w:rsidRPr="00B31BD6">
              <w:rPr>
                <w:b/>
                <w:kern w:val="2"/>
                <w:szCs w:val="24"/>
              </w:rPr>
              <w:t>913-</w:t>
            </w:r>
            <w:r w:rsidR="00D13BCB">
              <w:rPr>
                <w:b/>
                <w:kern w:val="2"/>
                <w:szCs w:val="24"/>
              </w:rPr>
              <w:t>3</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ipersaitas"/>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50D21FC8"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w:t>
            </w:r>
            <w:r w:rsidR="00196C12">
              <w:rPr>
                <w:color w:val="auto"/>
                <w:sz w:val="24"/>
                <w:szCs w:val="24"/>
              </w:rPr>
              <w:t xml:space="preserve"> reagentus ir eksploatacines medžiagas, nurodytas</w:t>
            </w:r>
            <w:r w:rsidRPr="00A345C7">
              <w:rPr>
                <w:color w:val="auto"/>
                <w:sz w:val="24"/>
                <w:szCs w:val="24"/>
              </w:rPr>
              <w:t xml:space="preserve"> Sutarties priede Nr.1 „Techninė </w:t>
            </w:r>
            <w:r w:rsidRPr="00A345C7">
              <w:rPr>
                <w:color w:val="auto"/>
                <w:sz w:val="24"/>
                <w:szCs w:val="24"/>
              </w:rPr>
              <w:lastRenderedPageBreak/>
              <w:t>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(toliau - Prekės)</w:t>
            </w:r>
            <w:r w:rsidRPr="00A345C7">
              <w:rPr>
                <w:color w:val="auto"/>
                <w:sz w:val="24"/>
                <w:szCs w:val="24"/>
              </w:rPr>
              <w:t xml:space="preserve">. </w:t>
            </w:r>
          </w:p>
          <w:p w14:paraId="7F200DA7" w14:textId="183AC138" w:rsidR="00C2646A" w:rsidRPr="004A3F66" w:rsidRDefault="00C2646A" w:rsidP="004A3F66">
            <w:pPr>
              <w:jc w:val="both"/>
              <w:rPr>
                <w:strike/>
                <w:kern w:val="2"/>
                <w:szCs w:val="24"/>
              </w:rPr>
            </w:pPr>
            <w:r>
              <w:rPr>
                <w:bdr w:val="none" w:sz="0" w:space="0" w:color="auto" w:frame="1"/>
              </w:rPr>
              <w:t xml:space="preserve">3.1.2. </w:t>
            </w:r>
            <w:r w:rsidRPr="002875B9">
              <w:rPr>
                <w:kern w:val="2"/>
                <w:szCs w:val="24"/>
              </w:rPr>
              <w:t xml:space="preserve">Sutarties galiojimo metu numatomas įsigyti </w:t>
            </w:r>
            <w:r w:rsidR="00D13BCB">
              <w:rPr>
                <w:kern w:val="2"/>
                <w:szCs w:val="24"/>
              </w:rPr>
              <w:t>preliminarus</w:t>
            </w:r>
            <w:r w:rsidRPr="002875B9">
              <w:rPr>
                <w:kern w:val="2"/>
                <w:szCs w:val="24"/>
              </w:rPr>
              <w:t xml:space="preserve"> </w:t>
            </w:r>
            <w:r>
              <w:rPr>
                <w:kern w:val="2"/>
                <w:szCs w:val="24"/>
              </w:rPr>
              <w:t>Prekių</w:t>
            </w:r>
            <w:r w:rsidRPr="002875B9">
              <w:rPr>
                <w:kern w:val="2"/>
                <w:szCs w:val="24"/>
              </w:rPr>
              <w:t xml:space="preserve"> kiekis yra nurodytas Sutarties priede Nr.1.</w:t>
            </w:r>
            <w:r w:rsidRPr="00CB432F">
              <w:rPr>
                <w:kern w:val="2"/>
                <w:szCs w:val="24"/>
              </w:rPr>
              <w:t>„Techninė specifikacija ir pasiūlymo kaina“.</w:t>
            </w:r>
            <w:r>
              <w:rPr>
                <w:kern w:val="2"/>
                <w:szCs w:val="24"/>
              </w:rPr>
              <w:t xml:space="preserve"> </w:t>
            </w:r>
          </w:p>
          <w:p w14:paraId="0BB8C8B7" w14:textId="77777777" w:rsidR="00C2646A" w:rsidRPr="00E1151A" w:rsidRDefault="00C2646A" w:rsidP="004A3F66">
            <w:pPr>
              <w:pStyle w:val="Body2"/>
              <w:rPr>
                <w:color w:val="auto"/>
                <w:sz w:val="24"/>
                <w:szCs w:val="24"/>
              </w:rPr>
            </w:pPr>
            <w:r w:rsidRPr="00E1151A">
              <w:rPr>
                <w:kern w:val="2"/>
                <w:sz w:val="24"/>
                <w:szCs w:val="24"/>
              </w:rPr>
              <w:t>3.1.3. Išsamus Prekių aprašymas ir kiti reikalavimai tiekiamoms Prekėms nustatyti Techninėje specifikacijoje.</w:t>
            </w:r>
          </w:p>
          <w:p w14:paraId="4AF8D07F" w14:textId="281A1BA4" w:rsidR="00C2646A" w:rsidRPr="00A345C7" w:rsidRDefault="00C2646A" w:rsidP="004A3F66">
            <w:pPr>
              <w:pStyle w:val="Body2"/>
              <w:rPr>
                <w:color w:val="auto"/>
                <w:sz w:val="24"/>
                <w:szCs w:val="24"/>
              </w:rPr>
            </w:pPr>
            <w:r w:rsidRPr="00A345C7">
              <w:rPr>
                <w:color w:val="auto"/>
                <w:sz w:val="24"/>
                <w:szCs w:val="24"/>
              </w:rPr>
              <w:t>3.1.</w:t>
            </w:r>
            <w:r>
              <w:rPr>
                <w:color w:val="auto"/>
                <w:sz w:val="24"/>
                <w:szCs w:val="24"/>
              </w:rPr>
              <w:t>4</w:t>
            </w:r>
            <w:r w:rsidRPr="00A345C7">
              <w:rPr>
                <w:color w:val="auto"/>
                <w:sz w:val="24"/>
                <w:szCs w:val="24"/>
              </w:rPr>
              <w:t>. Įrangą panaudai</w:t>
            </w:r>
            <w:r>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(toliau – Įranga) Tiekėjas įsipareigoja perduoti Pirkėjui panaudos pagrindu vadovaujantis šia Sutartimi ir viešojo pirkimo sąlygų reikalavimais</w:t>
            </w:r>
            <w:r w:rsidR="00860789">
              <w:rPr>
                <w:color w:val="auto"/>
                <w:sz w:val="24"/>
                <w:szCs w:val="24"/>
              </w:rPr>
              <w:t xml:space="preserve">: </w:t>
            </w:r>
          </w:p>
          <w:p w14:paraId="466384EF" w14:textId="12B642B3" w:rsidR="00C2646A" w:rsidRDefault="00C2646A" w:rsidP="004A3F66">
            <w:pPr>
              <w:jc w:val="both"/>
              <w:rPr>
                <w:color w:val="000000" w:themeColor="text1"/>
                <w:szCs w:val="24"/>
              </w:rPr>
            </w:pPr>
            <w:r w:rsidRPr="0017644E">
              <w:rPr>
                <w:kern w:val="2"/>
                <w:szCs w:val="24"/>
              </w:rPr>
              <w:t>3.1.</w:t>
            </w:r>
            <w:r>
              <w:rPr>
                <w:kern w:val="2"/>
                <w:szCs w:val="24"/>
              </w:rPr>
              <w:t>4</w:t>
            </w:r>
            <w:r w:rsidRPr="0017644E">
              <w:rPr>
                <w:kern w:val="2"/>
                <w:szCs w:val="24"/>
              </w:rPr>
              <w:t>.</w:t>
            </w:r>
            <w:r>
              <w:rPr>
                <w:kern w:val="2"/>
                <w:szCs w:val="24"/>
              </w:rPr>
              <w:t>1.</w:t>
            </w:r>
            <w:r w:rsidRPr="0017644E">
              <w:rPr>
                <w:kern w:val="2"/>
                <w:szCs w:val="24"/>
              </w:rPr>
              <w:t xml:space="preserve"> Tiekėjas įsipareigoja Į</w:t>
            </w:r>
            <w:r w:rsidRPr="0017644E">
              <w:rPr>
                <w:color w:val="000000" w:themeColor="text1"/>
                <w:szCs w:val="24"/>
              </w:rPr>
              <w:t>rangą pristatyti į perkančiosios organizacijos nurodytą patalpą,</w:t>
            </w:r>
            <w:r>
              <w:rPr>
                <w:color w:val="000000" w:themeColor="text1"/>
                <w:szCs w:val="24"/>
              </w:rPr>
              <w:t xml:space="preserve"> </w:t>
            </w:r>
            <w:r w:rsidRPr="0017644E">
              <w:rPr>
                <w:color w:val="000000" w:themeColor="text1"/>
                <w:szCs w:val="24"/>
              </w:rPr>
              <w:t xml:space="preserve">ją surinkti, </w:t>
            </w:r>
            <w:r w:rsidR="0091289A">
              <w:rPr>
                <w:color w:val="000000" w:themeColor="text1"/>
                <w:szCs w:val="24"/>
              </w:rPr>
              <w:t xml:space="preserve">sumontuoti/ </w:t>
            </w:r>
            <w:r w:rsidRPr="0017644E">
              <w:rPr>
                <w:color w:val="000000" w:themeColor="text1"/>
                <w:szCs w:val="24"/>
              </w:rPr>
              <w:t>instaliuoti/</w:t>
            </w:r>
            <w:r w:rsidR="0091289A">
              <w:rPr>
                <w:color w:val="000000" w:themeColor="text1"/>
                <w:szCs w:val="24"/>
              </w:rPr>
              <w:t xml:space="preserve"> </w:t>
            </w:r>
            <w:r w:rsidRPr="0017644E">
              <w:rPr>
                <w:color w:val="000000" w:themeColor="text1"/>
                <w:szCs w:val="24"/>
              </w:rPr>
              <w:t xml:space="preserve">įdiegti, paruošti darbui, suderinti/išbandyti, pateikti perkančiajai organizacijai Įrangos instrukciją lietuvių ir originalo kalba, apmokyti </w:t>
            </w:r>
            <w:r w:rsidRPr="0017644E">
              <w:rPr>
                <w:kern w:val="2"/>
                <w:szCs w:val="24"/>
              </w:rPr>
              <w:t xml:space="preserve">Pirkėją (skyriaus, kuriam perduodama medicininė Įranga, personalą)  su Įrangos naudojimo specifika </w:t>
            </w:r>
            <w:r w:rsidRPr="0017644E">
              <w:rPr>
                <w:color w:val="000000" w:themeColor="text1"/>
                <w:szCs w:val="24"/>
              </w:rPr>
              <w:t xml:space="preserve">ne vėliau kaip </w:t>
            </w:r>
            <w:r w:rsidRPr="00E33F66">
              <w:rPr>
                <w:color w:val="000000" w:themeColor="text1"/>
                <w:szCs w:val="24"/>
              </w:rPr>
              <w:t>per 30 (trisdešimt) kalendorinių dienų nuo Sutarties įsigaliojimo dienos.</w:t>
            </w:r>
            <w:r w:rsidRPr="0017644E">
              <w:rPr>
                <w:color w:val="000000" w:themeColor="text1"/>
                <w:szCs w:val="24"/>
              </w:rPr>
              <w:t xml:space="preserve"> </w:t>
            </w:r>
          </w:p>
          <w:p w14:paraId="72EF94C5" w14:textId="77777777" w:rsidR="00C2646A" w:rsidRDefault="00C2646A" w:rsidP="004A3F66">
            <w:pPr>
              <w:jc w:val="both"/>
              <w:rPr>
                <w:szCs w:val="24"/>
              </w:rPr>
            </w:pPr>
            <w:r w:rsidRPr="00A345C7">
              <w:rPr>
                <w:kern w:val="2"/>
                <w:szCs w:val="24"/>
              </w:rPr>
              <w:t>3.1.</w:t>
            </w:r>
            <w:r>
              <w:rPr>
                <w:kern w:val="2"/>
                <w:szCs w:val="24"/>
              </w:rPr>
              <w:t>4</w:t>
            </w:r>
            <w:r w:rsidRPr="00A345C7">
              <w:rPr>
                <w:kern w:val="2"/>
                <w:szCs w:val="24"/>
              </w:rPr>
              <w:t>.</w:t>
            </w:r>
            <w:r>
              <w:rPr>
                <w:kern w:val="2"/>
                <w:szCs w:val="24"/>
              </w:rPr>
              <w:t>2.</w:t>
            </w:r>
            <w:r w:rsidRPr="00A345C7">
              <w:rPr>
                <w:kern w:val="2"/>
                <w:szCs w:val="24"/>
              </w:rPr>
              <w:t xml:space="preserve"> </w:t>
            </w:r>
            <w:r w:rsidRPr="00A345C7">
              <w:rPr>
                <w:szCs w:val="24"/>
              </w:rPr>
              <w:t>Pirkėjas įsipareigoja pasibaigus pagal šią Sutartį įsigytoms Prekėms grąžinti Įrangą</w:t>
            </w:r>
            <w:r>
              <w:rPr>
                <w:szCs w:val="24"/>
              </w:rPr>
              <w:t xml:space="preserve"> </w:t>
            </w:r>
            <w:r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2B8DCEE6" w14:textId="77777777" w:rsidR="00860789" w:rsidRPr="00A345C7" w:rsidRDefault="00860789" w:rsidP="00860789">
            <w:pPr>
              <w:pStyle w:val="Body2"/>
              <w:rPr>
                <w:color w:val="auto"/>
                <w:sz w:val="24"/>
                <w:szCs w:val="24"/>
              </w:rPr>
            </w:pPr>
            <w:r>
              <w:rPr>
                <w:color w:val="000000" w:themeColor="text1"/>
                <w:szCs w:val="24"/>
              </w:rPr>
              <w:t xml:space="preserve">3.1.4.3. </w:t>
            </w:r>
            <w:r>
              <w:rPr>
                <w:color w:val="auto"/>
                <w:sz w:val="24"/>
                <w:szCs w:val="24"/>
              </w:rPr>
              <w:t>Sutarties reikalavimai dėl Įrangos panaudos taikomi tik tuo atveju, jeigu Tiekėjas pasiūlyme nurodė, kad siūlo analizatorius panaudai.</w:t>
            </w:r>
          </w:p>
          <w:p w14:paraId="6C2B4280" w14:textId="77777777" w:rsidR="00C2646A" w:rsidRPr="00A345C7" w:rsidRDefault="00C2646A" w:rsidP="004A3F66">
            <w:pPr>
              <w:jc w:val="both"/>
              <w:rPr>
                <w:kern w:val="2"/>
                <w:szCs w:val="24"/>
              </w:rPr>
            </w:pPr>
            <w:r w:rsidRPr="00A345C7">
              <w:rPr>
                <w:kern w:val="2"/>
                <w:szCs w:val="24"/>
              </w:rPr>
              <w:t>3.1.</w:t>
            </w:r>
            <w:r>
              <w:rPr>
                <w:kern w:val="2"/>
                <w:szCs w:val="24"/>
              </w:rPr>
              <w:t>5</w:t>
            </w:r>
            <w:r w:rsidRPr="00A345C7">
              <w:rPr>
                <w:kern w:val="2"/>
                <w:szCs w:val="24"/>
              </w:rPr>
              <w:t>. Tiekėjas įsipareigoja konsultuoti Pirkėją Prekių ir Įrangos naudojimo klausimais visą Sutarties galiojimo laikotarpį.</w:t>
            </w:r>
          </w:p>
          <w:p w14:paraId="52A308EF" w14:textId="1FC6880C" w:rsidR="00C2646A" w:rsidRDefault="00C2646A" w:rsidP="004A3F66">
            <w:pPr>
              <w:jc w:val="both"/>
              <w:rPr>
                <w:kern w:val="2"/>
                <w:szCs w:val="24"/>
              </w:rPr>
            </w:pPr>
            <w:r w:rsidRPr="00A345C7">
              <w:rPr>
                <w:kern w:val="2"/>
                <w:szCs w:val="24"/>
              </w:rPr>
              <w:t>3.1.</w:t>
            </w:r>
            <w:r>
              <w:rPr>
                <w:kern w:val="2"/>
                <w:szCs w:val="24"/>
              </w:rPr>
              <w:t>6</w:t>
            </w:r>
            <w:r w:rsidRPr="00A345C7">
              <w:rPr>
                <w:kern w:val="2"/>
                <w:szCs w:val="24"/>
              </w:rPr>
              <w:t xml:space="preserve">. Išsamus Prekių ir Įrangos aprašymas ir kiti reikalavimai tiekiamoms Prekėms bei panaudai perduodamai Įrangai nustatyti Techninėje specifikacijoje. </w:t>
            </w:r>
          </w:p>
          <w:p w14:paraId="539A89F8" w14:textId="272DE6A2" w:rsidR="00C2646A" w:rsidRDefault="00C2646A" w:rsidP="004A3F66">
            <w:pPr>
              <w:jc w:val="both"/>
              <w:rPr>
                <w:kern w:val="2"/>
                <w:szCs w:val="24"/>
              </w:rPr>
            </w:pPr>
            <w:r>
              <w:rPr>
                <w:kern w:val="2"/>
                <w:szCs w:val="24"/>
              </w:rPr>
              <w:t xml:space="preserve">3.1.7. </w:t>
            </w:r>
            <w:r w:rsidRPr="00251CA4">
              <w:rPr>
                <w:b/>
                <w:kern w:val="2"/>
                <w:szCs w:val="24"/>
              </w:rPr>
              <w:t>Prekių tiekimo terminas</w:t>
            </w:r>
            <w:r>
              <w:rPr>
                <w:kern w:val="2"/>
                <w:szCs w:val="24"/>
              </w:rPr>
              <w:t xml:space="preserve">: </w:t>
            </w:r>
            <w:r w:rsidR="004A3F66">
              <w:rPr>
                <w:kern w:val="2"/>
                <w:szCs w:val="24"/>
              </w:rPr>
              <w:t>36</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69BB19EC" w:rsidR="00C2646A" w:rsidRPr="0002644C" w:rsidRDefault="004A3F66" w:rsidP="00E33F66">
            <w:pPr>
              <w:rPr>
                <w:kern w:val="2"/>
                <w:szCs w:val="24"/>
              </w:rPr>
            </w:pPr>
            <w:r w:rsidRPr="00E33F66">
              <w:rPr>
                <w:b/>
              </w:rPr>
              <w:t xml:space="preserve">Reagentai ir </w:t>
            </w:r>
            <w:r w:rsidR="00E33F66" w:rsidRPr="00E33F66">
              <w:rPr>
                <w:b/>
              </w:rPr>
              <w:t>eksploatacinės medžiagos</w:t>
            </w:r>
            <w:r w:rsidR="00C2646A" w:rsidRPr="00E33F66">
              <w:rPr>
                <w:b/>
              </w:rPr>
              <w:t xml:space="preserve"> (Nr.10</w:t>
            </w:r>
            <w:r w:rsidR="00E33F66" w:rsidRPr="00E33F66">
              <w:rPr>
                <w:b/>
              </w:rPr>
              <w:t>913-</w:t>
            </w:r>
            <w:r w:rsidR="00D13BCB">
              <w:rPr>
                <w:b/>
              </w:rPr>
              <w:t>3</w:t>
            </w:r>
            <w:r w:rsidR="00C2646A" w:rsidRPr="00E33F66">
              <w:rPr>
                <w:b/>
              </w:rPr>
              <w:t>)</w:t>
            </w:r>
            <w:r w:rsidR="00C2646A" w:rsidRPr="00E33F66">
              <w:t xml:space="preserve">, </w:t>
            </w:r>
            <w:r w:rsidR="00C2646A" w:rsidRPr="00E33F66">
              <w:rPr>
                <w:b/>
              </w:rPr>
              <w:t>CVP IS Nr.</w:t>
            </w:r>
            <w:r w:rsidR="00C2646A" w:rsidRPr="00E33F66">
              <w:rPr>
                <w:b/>
                <w:kern w:val="2"/>
                <w:szCs w:val="24"/>
              </w:rPr>
              <w:t xml:space="preserve"> </w:t>
            </w:r>
            <w:r w:rsidR="00E33F66" w:rsidRPr="00E33F66">
              <w:rPr>
                <w:b/>
                <w:kern w:val="2"/>
                <w:szCs w:val="24"/>
              </w:rPr>
              <w:t>_______</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131DBA63"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D13BCB">
              <w:rPr>
                <w:kern w:val="2"/>
                <w:szCs w:val="24"/>
              </w:rPr>
              <w:t>14</w:t>
            </w:r>
            <w:r>
              <w:rPr>
                <w:kern w:val="2"/>
                <w:szCs w:val="24"/>
              </w:rPr>
              <w:t xml:space="preserve"> (septynias)</w:t>
            </w:r>
            <w:r w:rsidRPr="00144479">
              <w:rPr>
                <w:kern w:val="2"/>
                <w:szCs w:val="24"/>
              </w:rPr>
              <w:t xml:space="preserve"> kalendorin</w:t>
            </w:r>
            <w:r w:rsidR="00D13BCB">
              <w:rPr>
                <w:kern w:val="2"/>
                <w:szCs w:val="24"/>
              </w:rPr>
              <w:t>ių</w:t>
            </w:r>
            <w:r w:rsidRPr="00144479">
              <w:rPr>
                <w:kern w:val="2"/>
                <w:szCs w:val="24"/>
              </w:rPr>
              <w:t xml:space="preserve"> dien</w:t>
            </w:r>
            <w:r w:rsidR="00D13BCB">
              <w:rPr>
                <w:kern w:val="2"/>
                <w:szCs w:val="24"/>
              </w:rPr>
              <w:t>ų</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w:t>
            </w:r>
            <w:r w:rsidRPr="00144479">
              <w:rPr>
                <w:kern w:val="2"/>
                <w:szCs w:val="24"/>
              </w:rPr>
              <w:lastRenderedPageBreak/>
              <w:t xml:space="preserve">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0CA33035" w:rsidR="00C2646A" w:rsidRPr="0002644C" w:rsidRDefault="002611A6" w:rsidP="005D6786">
            <w:pPr>
              <w:jc w:val="both"/>
              <w:rPr>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savo sąskaita Tiekėjas pristato</w:t>
            </w:r>
            <w:r>
              <w:rPr>
                <w:kern w:val="2"/>
                <w:szCs w:val="24"/>
              </w:rPr>
              <w:t xml:space="preserve">, surenka, </w:t>
            </w:r>
            <w:r w:rsidR="0091289A">
              <w:rPr>
                <w:kern w:val="2"/>
                <w:szCs w:val="24"/>
              </w:rPr>
              <w:t xml:space="preserve">sumontuoja/ </w:t>
            </w:r>
            <w:r>
              <w:rPr>
                <w:kern w:val="2"/>
                <w:szCs w:val="24"/>
              </w:rPr>
              <w:t>instaliuoja/</w:t>
            </w:r>
            <w:r w:rsidR="0091289A">
              <w:rPr>
                <w:kern w:val="2"/>
                <w:szCs w:val="24"/>
              </w:rPr>
              <w:t xml:space="preserve"> </w:t>
            </w:r>
            <w:r>
              <w:rPr>
                <w:kern w:val="2"/>
                <w:szCs w:val="24"/>
              </w:rPr>
              <w:t xml:space="preserve">įdiegia, paruošia darbui, suderina/išbando, praveda apmokymus Pirkėjo personalui Pirkėjo patalpose </w:t>
            </w:r>
            <w:r w:rsidRPr="006355A8">
              <w:rPr>
                <w:kern w:val="2"/>
                <w:szCs w:val="24"/>
              </w:rPr>
              <w:t xml:space="preserve"> ne vėliau kaip per </w:t>
            </w:r>
            <w:r w:rsidR="00D13BCB">
              <w:rPr>
                <w:kern w:val="2"/>
                <w:szCs w:val="24"/>
              </w:rPr>
              <w:t>6</w:t>
            </w:r>
            <w:r>
              <w:rPr>
                <w:kern w:val="2"/>
                <w:szCs w:val="24"/>
              </w:rPr>
              <w:t>0</w:t>
            </w:r>
            <w:r w:rsidRPr="006355A8">
              <w:rPr>
                <w:kern w:val="2"/>
                <w:szCs w:val="24"/>
              </w:rPr>
              <w:t xml:space="preserve"> (</w:t>
            </w:r>
            <w:r w:rsidR="00D13BCB">
              <w:rPr>
                <w:kern w:val="2"/>
                <w:szCs w:val="24"/>
              </w:rPr>
              <w:t>šešiasdešimt</w:t>
            </w:r>
            <w:r w:rsidRPr="006355A8">
              <w:rPr>
                <w:kern w:val="2"/>
                <w:szCs w:val="24"/>
              </w:rPr>
              <w:t xml:space="preserve">) kalendorinių dienų </w:t>
            </w:r>
            <w:r>
              <w:rPr>
                <w:kern w:val="2"/>
                <w:szCs w:val="24"/>
              </w:rPr>
              <w:t>nuo</w:t>
            </w:r>
            <w:r w:rsidRPr="006355A8">
              <w:rPr>
                <w:kern w:val="2"/>
                <w:szCs w:val="24"/>
              </w:rPr>
              <w:t xml:space="preserve"> Sutarties įsigaliojimo. Įranga perduodama Pirkėjui Šalims pasirašant Įrangos </w:t>
            </w:r>
            <w:r w:rsidRPr="00F7618A">
              <w:rPr>
                <w:kern w:val="2"/>
                <w:szCs w:val="24"/>
              </w:rPr>
              <w:t>perdavimo – priėmimo aktą pagal Sutarties Priede Nr.</w:t>
            </w:r>
            <w:r w:rsidR="00D13BCB" w:rsidRPr="00F7618A">
              <w:rPr>
                <w:kern w:val="2"/>
                <w:szCs w:val="24"/>
              </w:rPr>
              <w:t xml:space="preserve"> </w:t>
            </w:r>
            <w:r w:rsidR="00B92E22">
              <w:rPr>
                <w:kern w:val="2"/>
                <w:szCs w:val="24"/>
              </w:rPr>
              <w:t>2</w:t>
            </w:r>
            <w:r w:rsidR="00B92E22" w:rsidRPr="00F7618A">
              <w:rPr>
                <w:kern w:val="2"/>
                <w:szCs w:val="24"/>
              </w:rPr>
              <w:t xml:space="preserve"> </w:t>
            </w:r>
            <w:r w:rsidRPr="00F7618A">
              <w:rPr>
                <w:kern w:val="2"/>
                <w:szCs w:val="24"/>
              </w:rPr>
              <w:t>pateiktą formą.</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lastRenderedPageBreak/>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3580A22E" w:rsidR="00C2646A" w:rsidRPr="0002644C" w:rsidRDefault="00C2646A" w:rsidP="001E6F4D">
            <w:pPr>
              <w:pStyle w:val="Body2"/>
              <w:rPr>
                <w:kern w:val="2"/>
                <w:szCs w:val="24"/>
              </w:rPr>
            </w:pPr>
            <w:r w:rsidRPr="00132DB3">
              <w:rPr>
                <w:noProof/>
                <w:szCs w:val="24"/>
              </w:rPr>
              <w:t xml:space="preserve"> </w:t>
            </w:r>
            <w:r w:rsidR="002611A6" w:rsidRPr="004F1935">
              <w:rPr>
                <w:noProof/>
                <w:color w:val="auto"/>
                <w:sz w:val="24"/>
                <w:szCs w:val="24"/>
              </w:rPr>
              <w:t>Užsakymai teikiami 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5C162304" w14:textId="5304930C" w:rsidR="002611A6" w:rsidRDefault="002611A6" w:rsidP="004A3F66">
            <w:pPr>
              <w:jc w:val="both"/>
              <w:rPr>
                <w:kern w:val="2"/>
                <w:szCs w:val="24"/>
              </w:rPr>
            </w:pPr>
            <w:r>
              <w:rPr>
                <w:kern w:val="2"/>
                <w:szCs w:val="24"/>
              </w:rPr>
              <w:t>4.5.2. Kartu su Įranga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p w14:paraId="498E866A" w14:textId="17AF8960" w:rsidR="002611A6" w:rsidRPr="0002644C" w:rsidRDefault="002611A6" w:rsidP="002611A6">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293FAD83" w14:textId="77777777" w:rsidR="00D13BCB" w:rsidRPr="005C3110" w:rsidRDefault="00D13BCB" w:rsidP="00D13BCB">
            <w:pPr>
              <w:jc w:val="both"/>
              <w:rPr>
                <w:kern w:val="2"/>
                <w:szCs w:val="24"/>
              </w:rPr>
            </w:pPr>
            <w:r w:rsidRPr="005C3110">
              <w:rPr>
                <w:kern w:val="2"/>
                <w:szCs w:val="24"/>
              </w:rPr>
              <w:t xml:space="preserve">Pradinės Sutarties vertė yra (nurodyti sumą skaičiais) Eur, (nurodyti sumą žodžiais) be pridėtinės vertės mokesčio (toliau – PVM). </w:t>
            </w:r>
          </w:p>
          <w:p w14:paraId="0AF04586" w14:textId="77777777" w:rsidR="00D13BCB" w:rsidRPr="005C3110" w:rsidRDefault="00D13BCB" w:rsidP="00D13BCB">
            <w:pPr>
              <w:jc w:val="both"/>
              <w:rPr>
                <w:kern w:val="2"/>
                <w:szCs w:val="24"/>
              </w:rPr>
            </w:pPr>
            <w:r w:rsidRPr="005C3110">
              <w:rPr>
                <w:kern w:val="2"/>
                <w:szCs w:val="24"/>
              </w:rPr>
              <w:t>PVM sudaro (nurodyti sumą skaičiais) Eur, (nurodyti sumą žodžiais).</w:t>
            </w:r>
          </w:p>
          <w:p w14:paraId="3EA7CB5E" w14:textId="77777777" w:rsidR="00D13BCB" w:rsidRPr="005C3110" w:rsidRDefault="00D13BCB" w:rsidP="00D13BCB">
            <w:pPr>
              <w:jc w:val="both"/>
              <w:rPr>
                <w:kern w:val="2"/>
                <w:szCs w:val="24"/>
              </w:rPr>
            </w:pPr>
            <w:r w:rsidRPr="005C3110">
              <w:rPr>
                <w:kern w:val="2"/>
                <w:szCs w:val="24"/>
              </w:rPr>
              <w:t>Sutarties kaina yra (nurodyti sumą skaičiais) Eur, (nurodyti sumą žodžiais) Eur su PVM.</w:t>
            </w:r>
          </w:p>
          <w:p w14:paraId="4631BD00" w14:textId="77777777" w:rsidR="00D13BCB" w:rsidRPr="005C3110" w:rsidRDefault="00D13BCB" w:rsidP="00D13BCB">
            <w:pPr>
              <w:jc w:val="both"/>
              <w:rPr>
                <w:kern w:val="2"/>
                <w:szCs w:val="24"/>
              </w:rPr>
            </w:pPr>
            <w:r w:rsidRPr="005C3110">
              <w:rPr>
                <w:kern w:val="2"/>
                <w:szCs w:val="24"/>
              </w:rPr>
              <w:t xml:space="preserve">Šioje Sutartyje Pradinės Sutarties vertė yra lygi  nustatytam pirkimo dalies biudžetui Eur be PVM, </w:t>
            </w:r>
          </w:p>
          <w:p w14:paraId="7D2C7965" w14:textId="77777777" w:rsidR="00D13BCB" w:rsidRPr="005C3110" w:rsidRDefault="00D13BCB" w:rsidP="00D13BCB">
            <w:pPr>
              <w:jc w:val="both"/>
              <w:rPr>
                <w:kern w:val="2"/>
                <w:szCs w:val="24"/>
              </w:rPr>
            </w:pPr>
          </w:p>
          <w:p w14:paraId="131D80F4" w14:textId="373E0345" w:rsidR="002611A6" w:rsidRPr="00510F06" w:rsidRDefault="00D13BCB" w:rsidP="00223B60">
            <w:pPr>
              <w:jc w:val="both"/>
              <w:rPr>
                <w:kern w:val="2"/>
                <w:szCs w:val="24"/>
              </w:rPr>
            </w:pPr>
            <w:r w:rsidRPr="005C3110">
              <w:rPr>
                <w:kern w:val="2"/>
                <w:szCs w:val="24"/>
              </w:rPr>
              <w:t xml:space="preserve">Jeigu sudaroma viena Sutartis dėl kelių pirkimo dalių, pradinė Sutarties vertė numatoma kiekvienai pirkimo daliai atskirai. </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lastRenderedPageBreak/>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2611A6" w:rsidRPr="004C112A" w:rsidRDefault="002611A6"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lastRenderedPageBreak/>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035C4347" w:rsidR="002611A6" w:rsidRDefault="002611A6"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lastRenderedPageBreak/>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57AC26E5" w14:textId="65C24681" w:rsidR="002611A6" w:rsidRDefault="00856AFF" w:rsidP="00431D1F">
            <w:pPr>
              <w:jc w:val="both"/>
              <w:rPr>
                <w:kern w:val="2"/>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39998FB5"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 xml:space="preserve">panaudai </w:t>
            </w:r>
            <w:r w:rsidRPr="0052411E">
              <w:rPr>
                <w:kern w:val="2"/>
                <w:szCs w:val="24"/>
              </w:rPr>
              <w:t xml:space="preserve">gedimo šalinimas turi būti atliktas per </w:t>
            </w:r>
            <w:r w:rsidR="00A82527">
              <w:rPr>
                <w:kern w:val="2"/>
                <w:szCs w:val="24"/>
              </w:rPr>
              <w:t>7 darbo dienas</w:t>
            </w:r>
            <w:r>
              <w:rPr>
                <w:kern w:val="2"/>
                <w:szCs w:val="24"/>
              </w:rPr>
              <w:t xml:space="preserve"> </w:t>
            </w:r>
            <w:r w:rsidRPr="0052411E">
              <w:rPr>
                <w:kern w:val="2"/>
                <w:szCs w:val="24"/>
              </w:rPr>
              <w:t>nuo raštiško pranešimo pateikimo momento. Tuo atveju, jeigu neįmanoma pašalinti gedimo šiame Sutarties punkte nustatytu terminu, gedimas turi būti pašalintas abiejų Šalių suderintu technologiškai protingu terminu.</w:t>
            </w:r>
          </w:p>
          <w:p w14:paraId="095084B2" w14:textId="738C1636"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 xml:space="preserve">Įrangos naudojimosi pagal panaudą laikotarpiu </w:t>
            </w:r>
            <w:r w:rsidRPr="0052411E">
              <w:rPr>
                <w:kern w:val="2"/>
                <w:szCs w:val="24"/>
              </w:rPr>
              <w:t xml:space="preserve">Tiekėjas privalo nemokamai atlikti patikimą ir sertifikuotą Įrangos </w:t>
            </w:r>
            <w:r>
              <w:rPr>
                <w:kern w:val="2"/>
                <w:szCs w:val="24"/>
              </w:rPr>
              <w:t>technin</w:t>
            </w:r>
            <w:r w:rsidR="004A3F66">
              <w:rPr>
                <w:kern w:val="2"/>
                <w:szCs w:val="24"/>
              </w:rPr>
              <w:t xml:space="preserve">ę priežiūrą, programinės įrangos atnaujinimą, </w:t>
            </w:r>
            <w:r w:rsidRPr="0052411E">
              <w:rPr>
                <w:kern w:val="2"/>
                <w:szCs w:val="24"/>
              </w:rPr>
              <w:t>techninės būklės tikrinimą</w:t>
            </w:r>
            <w:r w:rsidR="004A3F66">
              <w:rPr>
                <w:kern w:val="2"/>
                <w:szCs w:val="24"/>
              </w:rPr>
              <w:t xml:space="preserve"> (jeigu reikalinga)</w:t>
            </w:r>
            <w:r>
              <w:rPr>
                <w:kern w:val="2"/>
                <w:szCs w:val="24"/>
              </w:rPr>
              <w:t xml:space="preserve">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70FF6166" w14:textId="02431AEE"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52411E">
              <w:rPr>
                <w:kern w:val="2"/>
                <w:szCs w:val="24"/>
              </w:rPr>
              <w:t xml:space="preserve">pristato į remonto vietą (taip pat grąžina po remonto). Jei remonto trukmė ilgesnė nei </w:t>
            </w:r>
            <w:r w:rsidR="004A3F66">
              <w:rPr>
                <w:kern w:val="2"/>
                <w:szCs w:val="24"/>
              </w:rPr>
              <w:t>2</w:t>
            </w:r>
            <w:r w:rsidRPr="0052411E">
              <w:rPr>
                <w:kern w:val="2"/>
                <w:szCs w:val="24"/>
              </w:rPr>
              <w:t xml:space="preserve"> (</w:t>
            </w:r>
            <w:r w:rsidR="004A3F66">
              <w:rPr>
                <w:kern w:val="2"/>
                <w:szCs w:val="24"/>
              </w:rPr>
              <w:t>dvi</w:t>
            </w:r>
            <w:r w:rsidRPr="0052411E">
              <w:rPr>
                <w:kern w:val="2"/>
                <w:szCs w:val="24"/>
              </w:rPr>
              <w:t>) darbo dienos</w:t>
            </w:r>
            <w:r>
              <w:rPr>
                <w:kern w:val="2"/>
                <w:szCs w:val="24"/>
              </w:rPr>
              <w:t xml:space="preserve"> arba Įranga nepataisomai sugenda, </w:t>
            </w:r>
            <w:r w:rsidRPr="0052411E">
              <w:rPr>
                <w:kern w:val="2"/>
                <w:szCs w:val="24"/>
              </w:rPr>
              <w:t xml:space="preserve"> 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lastRenderedPageBreak/>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7003B218" w:rsidR="000D6EAB" w:rsidRPr="007C5B8C" w:rsidRDefault="000D6EAB" w:rsidP="000D6EAB">
            <w:pPr>
              <w:jc w:val="both"/>
              <w:rPr>
                <w:kern w:val="2"/>
                <w:szCs w:val="24"/>
              </w:rPr>
            </w:pPr>
            <w:r w:rsidRPr="00B92E22">
              <w:rPr>
                <w:kern w:val="2"/>
                <w:szCs w:val="24"/>
              </w:rPr>
              <w:t>9.2.2 Jeigu Tiekėjas neperduoda Įrangos Pirkėjui Specialiųjų sąlygų 4.1 punkte numatytu terminu</w:t>
            </w:r>
            <w:r w:rsidR="00B92E22" w:rsidRPr="00B92E22">
              <w:rPr>
                <w:kern w:val="2"/>
                <w:szCs w:val="24"/>
              </w:rPr>
              <w:t xml:space="preserve"> arba vėluoja suteikti Specialiųjų sąlygų 6.2.2 punkte numatytas paslaugas</w:t>
            </w:r>
            <w:r w:rsidRPr="00B92E22">
              <w:rPr>
                <w:kern w:val="2"/>
                <w:szCs w:val="24"/>
              </w:rPr>
              <w:t xml:space="preserve">, Pirkėjas nuo kitos nei nustatytas terminas dienos Tiekėjui skaičiuoja 0,04 (keturios šimtosios) procento dydžio delspinigius už kiekvieną uždelstą dieną nuo Įrangos </w:t>
            </w:r>
            <w:r w:rsidR="00B92E22">
              <w:rPr>
                <w:kern w:val="2"/>
                <w:szCs w:val="24"/>
              </w:rPr>
              <w:t>kainos be PVM</w:t>
            </w:r>
            <w:r w:rsidRPr="00B92E22">
              <w:rPr>
                <w:kern w:val="2"/>
                <w:szCs w:val="24"/>
              </w:rPr>
              <w:t>, nurodytos Sutarties priede Nr.</w:t>
            </w:r>
            <w:r w:rsidR="00B92E22">
              <w:rPr>
                <w:kern w:val="2"/>
                <w:szCs w:val="24"/>
              </w:rPr>
              <w:t xml:space="preserve"> 1,</w:t>
            </w:r>
            <w:r w:rsidR="00B92E22" w:rsidRPr="00B92E22">
              <w:rPr>
                <w:kern w:val="2"/>
                <w:szCs w:val="24"/>
              </w:rPr>
              <w:t xml:space="preserve"> </w:t>
            </w:r>
            <w:r w:rsidRPr="00B92E22">
              <w:rPr>
                <w:kern w:val="2"/>
                <w:szCs w:val="24"/>
              </w:rPr>
              <w:t>, bet ne mažiau kaip 30 Eur, jei apskaičiuota delspinigių suma yra mažesnė negu 30 Eur.</w:t>
            </w:r>
            <w:r w:rsidRPr="007C5B8C">
              <w:rPr>
                <w:kern w:val="2"/>
                <w:szCs w:val="24"/>
              </w:rPr>
              <w:t>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w:t>
            </w:r>
            <w:r w:rsidRPr="00EB62B0">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w:t>
            </w:r>
            <w:r w:rsidRPr="00EB62B0">
              <w:rPr>
                <w:bCs/>
                <w:szCs w:val="24"/>
              </w:rPr>
              <w:lastRenderedPageBreak/>
              <w:t>pažeidimo aktą už kiekvieną nustatytą atvejį. Bauda išskaičiuojama iš Tiekėjui mokėtinos sumos.</w:t>
            </w: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4F260C" w14:textId="77777777" w:rsidR="009C4EED" w:rsidRPr="00D10E78" w:rsidRDefault="009C4EED"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408CCADC" w:rsidR="002611A6" w:rsidRPr="00EB62B0" w:rsidRDefault="002611A6" w:rsidP="009C4EED">
            <w:pPr>
              <w:jc w:val="both"/>
              <w:rPr>
                <w:color w:val="4472C4"/>
                <w:kern w:val="2"/>
                <w:szCs w:val="24"/>
              </w:rPr>
            </w:pPr>
            <w:r w:rsidRPr="00530B12">
              <w:rPr>
                <w:kern w:val="2"/>
                <w:szCs w:val="24"/>
              </w:rPr>
              <w:lastRenderedPageBreak/>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lastRenderedPageBreak/>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6942810C" w14:textId="77777777" w:rsidR="00D13BCB" w:rsidRPr="005C3110" w:rsidRDefault="00D13BCB" w:rsidP="00D13BCB">
            <w:pPr>
              <w:jc w:val="both"/>
              <w:rPr>
                <w:kern w:val="2"/>
                <w:szCs w:val="24"/>
              </w:rPr>
            </w:pPr>
            <w:r w:rsidRPr="005C3110">
              <w:rPr>
                <w:kern w:val="2"/>
                <w:szCs w:val="24"/>
              </w:rPr>
              <w:t>Ši Sutartis laikoma sudaryta ir įsigalioja nuo Sutarties pasirašymo dienos (antrosios Šalies pasirašymo dieną).</w:t>
            </w:r>
          </w:p>
          <w:p w14:paraId="375D8EF7" w14:textId="5DBFBB74" w:rsidR="00D13BCB" w:rsidRPr="005C3110" w:rsidRDefault="00D13BCB" w:rsidP="00D13BCB">
            <w:pPr>
              <w:jc w:val="both"/>
              <w:rPr>
                <w:bCs/>
                <w:kern w:val="2"/>
                <w:szCs w:val="24"/>
              </w:rPr>
            </w:pPr>
            <w:r w:rsidRPr="00B92E22">
              <w:rPr>
                <w:kern w:val="2"/>
                <w:szCs w:val="24"/>
              </w:rPr>
              <w:t>Sutartis galioja iki bus išnaudota Pradinė Sutarties vertė, bet jos terminas negali būti ilgesnis kaip 37 mėnesiai.</w:t>
            </w:r>
          </w:p>
          <w:p w14:paraId="1B4258E6" w14:textId="77777777" w:rsidR="00D13BCB" w:rsidRPr="005C3110" w:rsidRDefault="00D13BCB" w:rsidP="00D13BCB">
            <w:pPr>
              <w:jc w:val="both"/>
              <w:rPr>
                <w:kern w:val="2"/>
                <w:szCs w:val="24"/>
              </w:rPr>
            </w:pPr>
          </w:p>
          <w:p w14:paraId="6E690170" w14:textId="77777777" w:rsidR="002611A6" w:rsidRPr="00EB62B0"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357B96E5"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ir 4.4.4.3</w:t>
            </w:r>
            <w:r w:rsidRPr="00265241">
              <w:rPr>
                <w:kern w:val="2"/>
                <w:szCs w:val="24"/>
                <w:shd w:val="clear" w:color="auto" w:fill="FFFFFF"/>
              </w:rPr>
              <w:t xml:space="preserve"> papunkčiu.</w:t>
            </w:r>
            <w:r w:rsidRPr="00265241">
              <w:rPr>
                <w:kern w:val="2"/>
                <w:szCs w:val="24"/>
              </w:rPr>
              <w:t> </w:t>
            </w:r>
          </w:p>
          <w:p w14:paraId="3DB2A987" w14:textId="01972228" w:rsidR="002611A6" w:rsidRPr="00265241" w:rsidRDefault="002611A6" w:rsidP="00265241">
            <w:pPr>
              <w:jc w:val="both"/>
              <w:rPr>
                <w:kern w:val="2"/>
                <w:szCs w:val="24"/>
              </w:rPr>
            </w:pPr>
            <w:r w:rsidRPr="00265241">
              <w:rPr>
                <w:kern w:val="2"/>
                <w:szCs w:val="24"/>
              </w:rPr>
              <w:t xml:space="preserve">13.1.1.1. </w:t>
            </w:r>
            <w:r w:rsidRPr="00265241">
              <w:rPr>
                <w:kern w:val="2"/>
                <w:szCs w:val="24"/>
                <w:shd w:val="clear" w:color="auto" w:fill="FFFFFF"/>
              </w:rPr>
              <w:t>Bet kokios su Sutarties vykdymu susijusios Įrangos</w:t>
            </w:r>
            <w:r w:rsidR="005C75EA">
              <w:rPr>
                <w:kern w:val="2"/>
                <w:szCs w:val="24"/>
                <w:shd w:val="clear" w:color="auto" w:fill="FFFFFF"/>
              </w:rPr>
              <w:t xml:space="preserve"> </w:t>
            </w:r>
            <w:r w:rsidRPr="00265241">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w:t>
            </w:r>
            <w:r w:rsidRPr="00265241">
              <w:rPr>
                <w:kern w:val="2"/>
                <w:szCs w:val="24"/>
                <w:shd w:val="clear" w:color="auto" w:fill="FFFFFF"/>
              </w:rPr>
              <w:lastRenderedPageBreak/>
              <w:t>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2611A6" w:rsidRDefault="002611A6"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5081934" w14:textId="77777777" w:rsidR="005517F2" w:rsidRPr="00FE0AB8" w:rsidRDefault="005517F2" w:rsidP="005517F2">
            <w:pPr>
              <w:jc w:val="both"/>
              <w:rPr>
                <w:b/>
                <w:szCs w:val="24"/>
              </w:rPr>
            </w:pPr>
            <w:r w:rsidRPr="00265241">
              <w:rPr>
                <w:szCs w:val="24"/>
              </w:rPr>
              <w:t xml:space="preserve">13.1.1.3. </w:t>
            </w:r>
            <w:r w:rsidRPr="00FE0AB8">
              <w:rPr>
                <w:b/>
                <w:szCs w:val="24"/>
              </w:rPr>
              <w:t>Tiekėjas, vesdamas apmokymus Pirkėjo personalui dirbti su Įranga,  įsipareigoja jų metu aptarti įrangos elektros vartojimo efektyvumo didinimo aspektus (parametrų reguliavimas, tikslinimas, režimų parinkimas ir t.t.).</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C6EFFEE" w14:textId="130430B5" w:rsidR="002611A6" w:rsidRDefault="002611A6"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 xml:space="preserve">os Įrangos </w:t>
            </w:r>
            <w:r w:rsidRPr="00AD4498">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Pr="00AD4498">
              <w:rPr>
                <w:rFonts w:eastAsia="Arial"/>
                <w:szCs w:val="24"/>
              </w:rPr>
              <w:t xml:space="preserve">išvežimo ir perdavimo atliekas apdorojančiai įmonei Lietuvos Respublikos teisės aktų nustatyta tvarka išlaidas, ir kitokias </w:t>
            </w:r>
            <w:r w:rsidRPr="00AD4498">
              <w:rPr>
                <w:rFonts w:eastAsia="Arial"/>
                <w:szCs w:val="24"/>
              </w:rPr>
              <w:lastRenderedPageBreak/>
              <w:t>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lastRenderedPageBreak/>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F0A26" w14:paraId="1D73E795" w14:textId="77777777" w:rsidTr="00A14157">
        <w:trPr>
          <w:trHeight w:val="300"/>
        </w:trPr>
        <w:tc>
          <w:tcPr>
            <w:tcW w:w="2689" w:type="dxa"/>
          </w:tcPr>
          <w:p w14:paraId="7EC537A0" w14:textId="70D414B2"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 xml:space="preserve">Nr. </w:t>
            </w:r>
            <w:r w:rsidR="00B92E22">
              <w:rPr>
                <w:b/>
                <w:bCs/>
                <w:kern w:val="2"/>
                <w:szCs w:val="24"/>
              </w:rPr>
              <w:t>2</w:t>
            </w:r>
          </w:p>
        </w:tc>
        <w:tc>
          <w:tcPr>
            <w:tcW w:w="6846" w:type="dxa"/>
            <w:gridSpan w:val="3"/>
          </w:tcPr>
          <w:p w14:paraId="6EF3E3B7" w14:textId="756671A7" w:rsidR="002F0A26" w:rsidRPr="00155F60" w:rsidRDefault="00355A2A" w:rsidP="00A14157">
            <w:pPr>
              <w:rPr>
                <w:kern w:val="2"/>
                <w:szCs w:val="24"/>
              </w:rPr>
            </w:pPr>
            <w:r w:rsidRPr="007E765F">
              <w:rPr>
                <w:szCs w:val="24"/>
              </w:rPr>
              <w:t xml:space="preserve">Turto, perduodamo panaudos pagrindu, priėmimo – perdavimo aktas.  </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02C03DEA" w14:textId="77777777" w:rsidR="001E506F" w:rsidRDefault="001B1FDC" w:rsidP="001B1FDC">
      <w:pPr>
        <w:pStyle w:val="Betarp"/>
        <w:jc w:val="center"/>
        <w:rPr>
          <w:i/>
          <w:sz w:val="20"/>
          <w:szCs w:val="20"/>
          <w:lang w:val="lt-LT"/>
        </w:rPr>
      </w:pPr>
      <w:r w:rsidRPr="007E765F">
        <w:rPr>
          <w:i/>
          <w:sz w:val="20"/>
          <w:szCs w:val="20"/>
          <w:lang w:val="lt-LT"/>
        </w:rPr>
        <w:t xml:space="preserve">                   </w:t>
      </w:r>
    </w:p>
    <w:p w14:paraId="29DE32FE" w14:textId="77777777" w:rsidR="001E506F" w:rsidRDefault="001E506F" w:rsidP="001B1FDC">
      <w:pPr>
        <w:pStyle w:val="Betarp"/>
        <w:jc w:val="center"/>
        <w:rPr>
          <w:i/>
          <w:sz w:val="20"/>
          <w:szCs w:val="20"/>
          <w:lang w:val="lt-LT"/>
        </w:rPr>
      </w:pPr>
    </w:p>
    <w:p w14:paraId="2691EDCE" w14:textId="2413E252" w:rsidR="002F47B1" w:rsidRDefault="001B1FDC" w:rsidP="001B1FDC">
      <w:pPr>
        <w:pStyle w:val="Betarp"/>
        <w:jc w:val="center"/>
        <w:rPr>
          <w:i/>
          <w:sz w:val="20"/>
          <w:szCs w:val="20"/>
          <w:lang w:val="lt-LT"/>
        </w:rPr>
      </w:pPr>
      <w:r w:rsidRPr="007E765F">
        <w:rPr>
          <w:i/>
          <w:sz w:val="20"/>
          <w:szCs w:val="20"/>
          <w:lang w:val="lt-LT"/>
        </w:rPr>
        <w:t xml:space="preserve">                                         </w:t>
      </w:r>
      <w:r>
        <w:rPr>
          <w:i/>
          <w:sz w:val="20"/>
          <w:szCs w:val="20"/>
          <w:lang w:val="lt-LT"/>
        </w:rPr>
        <w:t xml:space="preserve">                                                                          </w:t>
      </w:r>
    </w:p>
    <w:p w14:paraId="4C4CA965" w14:textId="77777777" w:rsidR="002F47B1" w:rsidRDefault="002F47B1" w:rsidP="001B1FDC">
      <w:pPr>
        <w:pStyle w:val="Betarp"/>
        <w:jc w:val="center"/>
        <w:rPr>
          <w:i/>
          <w:sz w:val="20"/>
          <w:szCs w:val="20"/>
          <w:lang w:val="lt-LT"/>
        </w:rPr>
      </w:pPr>
    </w:p>
    <w:p w14:paraId="340B59F7" w14:textId="77777777" w:rsidR="002F47B1" w:rsidRDefault="002F47B1" w:rsidP="001B1FDC">
      <w:pPr>
        <w:pStyle w:val="Betarp"/>
        <w:jc w:val="center"/>
        <w:rPr>
          <w:i/>
          <w:sz w:val="20"/>
          <w:szCs w:val="20"/>
          <w:lang w:val="lt-LT"/>
        </w:rPr>
      </w:pPr>
    </w:p>
    <w:p w14:paraId="7033E4F4" w14:textId="2E3A4038" w:rsidR="001B1FDC" w:rsidRPr="007E765F" w:rsidRDefault="001B1FDC" w:rsidP="001B1FDC">
      <w:pPr>
        <w:pStyle w:val="Body2"/>
        <w:jc w:val="right"/>
        <w:rPr>
          <w:i/>
          <w:color w:val="auto"/>
          <w:sz w:val="20"/>
          <w:szCs w:val="20"/>
        </w:rPr>
      </w:pPr>
      <w:r w:rsidRPr="007E765F">
        <w:rPr>
          <w:i/>
          <w:color w:val="auto"/>
          <w:sz w:val="20"/>
          <w:szCs w:val="20"/>
        </w:rPr>
        <w:t>Priedas Nr.</w:t>
      </w:r>
      <w:r w:rsidR="00A82527">
        <w:rPr>
          <w:i/>
          <w:color w:val="auto"/>
          <w:sz w:val="20"/>
          <w:szCs w:val="20"/>
        </w:rPr>
        <w:t>2</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77777777"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w:t>
      </w:r>
      <w:proofErr w:type="spellStart"/>
      <w:r>
        <w:t>ios</w:t>
      </w:r>
      <w:proofErr w:type="spellEnd"/>
      <w:r>
        <w:t>)</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w:t>
      </w:r>
      <w:proofErr w:type="spellStart"/>
      <w:r>
        <w:t>ios</w:t>
      </w:r>
      <w:proofErr w:type="spellEnd"/>
      <w:r>
        <w:t>)</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Lentelstinklelis"/>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4A3F6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4A3F66">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4A3F66">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4A3F6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4A3F66">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4A3F66">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4A3F66">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77777777" w:rsidR="001B1FDC" w:rsidRPr="00A523D9" w:rsidRDefault="001B1FDC" w:rsidP="004A3F66">
            <w:pPr>
              <w:tabs>
                <w:tab w:val="left" w:pos="1134"/>
              </w:tabs>
              <w:rPr>
                <w:sz w:val="22"/>
                <w:szCs w:val="22"/>
                <w:lang w:val="lt-LT"/>
              </w:rPr>
            </w:pPr>
            <w:r w:rsidRPr="00A523D9">
              <w:rPr>
                <w:sz w:val="22"/>
                <w:szCs w:val="22"/>
                <w:lang w:val="lt-LT"/>
              </w:rPr>
              <w:t>Šiltnamių g. 29, 04130 Vilnius</w:t>
            </w:r>
          </w:p>
        </w:tc>
      </w:tr>
      <w:tr w:rsidR="001B1FDC" w:rsidRPr="002123C4" w14:paraId="2E5ABAA7"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4A3F66">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4A3F66">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4A3F66">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4A3F66">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4A3F66">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77777777" w:rsidR="001B1FDC" w:rsidRPr="00A523D9" w:rsidRDefault="001B1FDC" w:rsidP="004A3F66">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1B1FDC" w:rsidRPr="002123C4" w14:paraId="5B03429C"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4A3F66">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4A3F66">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4A3F66">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4A3F66">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4A3F66">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4A3F66">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4A3F66">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4A3F6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4A3F66">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4A3F66">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77777777" w:rsidR="001B1FDC" w:rsidRDefault="001B1FDC" w:rsidP="001B1FDC">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0865" w14:textId="77777777" w:rsidR="000137E3" w:rsidRDefault="000137E3">
      <w:r>
        <w:separator/>
      </w:r>
    </w:p>
  </w:endnote>
  <w:endnote w:type="continuationSeparator" w:id="0">
    <w:p w14:paraId="6FE6F669" w14:textId="77777777" w:rsidR="000137E3" w:rsidRDefault="0001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A368" w14:textId="77777777" w:rsidR="000137E3" w:rsidRDefault="000137E3">
      <w:r>
        <w:separator/>
      </w:r>
    </w:p>
  </w:footnote>
  <w:footnote w:type="continuationSeparator" w:id="0">
    <w:p w14:paraId="56716569" w14:textId="77777777" w:rsidR="000137E3" w:rsidRDefault="0001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840B34">
      <w:rPr>
        <w:noProof/>
      </w:rPr>
      <w:t>3</w:t>
    </w:r>
    <w:r w:rsidR="00840B3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487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37E3"/>
    <w:rsid w:val="00017571"/>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37A5"/>
    <w:rsid w:val="000B6C27"/>
    <w:rsid w:val="000C2A6C"/>
    <w:rsid w:val="000C43A6"/>
    <w:rsid w:val="000D62C7"/>
    <w:rsid w:val="000D6EAB"/>
    <w:rsid w:val="000D72F3"/>
    <w:rsid w:val="000E18BC"/>
    <w:rsid w:val="000E3C87"/>
    <w:rsid w:val="000F4A26"/>
    <w:rsid w:val="001051A6"/>
    <w:rsid w:val="001068FC"/>
    <w:rsid w:val="001177FF"/>
    <w:rsid w:val="00122CEA"/>
    <w:rsid w:val="001236D6"/>
    <w:rsid w:val="00124351"/>
    <w:rsid w:val="00132C18"/>
    <w:rsid w:val="00132DB3"/>
    <w:rsid w:val="00133F17"/>
    <w:rsid w:val="00141BC4"/>
    <w:rsid w:val="00155F60"/>
    <w:rsid w:val="0016305D"/>
    <w:rsid w:val="00172CCC"/>
    <w:rsid w:val="00183D2E"/>
    <w:rsid w:val="001910DE"/>
    <w:rsid w:val="00191FE9"/>
    <w:rsid w:val="00192941"/>
    <w:rsid w:val="00194495"/>
    <w:rsid w:val="00196C12"/>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4302"/>
    <w:rsid w:val="00234CB6"/>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347"/>
    <w:rsid w:val="00306F16"/>
    <w:rsid w:val="00315215"/>
    <w:rsid w:val="0033520E"/>
    <w:rsid w:val="003379D8"/>
    <w:rsid w:val="00337AE7"/>
    <w:rsid w:val="00355A2A"/>
    <w:rsid w:val="00360DDC"/>
    <w:rsid w:val="00361F84"/>
    <w:rsid w:val="00371CF0"/>
    <w:rsid w:val="003742CE"/>
    <w:rsid w:val="00377484"/>
    <w:rsid w:val="0037791B"/>
    <w:rsid w:val="00390EDF"/>
    <w:rsid w:val="0039444C"/>
    <w:rsid w:val="003969E1"/>
    <w:rsid w:val="003A3BAE"/>
    <w:rsid w:val="003A7078"/>
    <w:rsid w:val="003C0ACD"/>
    <w:rsid w:val="003C66BC"/>
    <w:rsid w:val="003C7625"/>
    <w:rsid w:val="003D0298"/>
    <w:rsid w:val="003D3864"/>
    <w:rsid w:val="003E3D32"/>
    <w:rsid w:val="003F7B09"/>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84496"/>
    <w:rsid w:val="004859D1"/>
    <w:rsid w:val="00491299"/>
    <w:rsid w:val="004A2E84"/>
    <w:rsid w:val="004A3F66"/>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4C78"/>
    <w:rsid w:val="006064F8"/>
    <w:rsid w:val="00611E76"/>
    <w:rsid w:val="00630333"/>
    <w:rsid w:val="0063281F"/>
    <w:rsid w:val="00663E32"/>
    <w:rsid w:val="006708AE"/>
    <w:rsid w:val="006722CE"/>
    <w:rsid w:val="00675A5D"/>
    <w:rsid w:val="00685DCF"/>
    <w:rsid w:val="006A21B2"/>
    <w:rsid w:val="006C0648"/>
    <w:rsid w:val="006C413A"/>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A42BC"/>
    <w:rsid w:val="007A51CE"/>
    <w:rsid w:val="007A53C5"/>
    <w:rsid w:val="007B0EAD"/>
    <w:rsid w:val="007B6F0D"/>
    <w:rsid w:val="007D63A4"/>
    <w:rsid w:val="007D6F27"/>
    <w:rsid w:val="007E3427"/>
    <w:rsid w:val="007E7364"/>
    <w:rsid w:val="007F60BC"/>
    <w:rsid w:val="007F6E3E"/>
    <w:rsid w:val="00810317"/>
    <w:rsid w:val="008129F7"/>
    <w:rsid w:val="00832DE2"/>
    <w:rsid w:val="00835DBE"/>
    <w:rsid w:val="00840B34"/>
    <w:rsid w:val="008423E4"/>
    <w:rsid w:val="00846D7E"/>
    <w:rsid w:val="00852933"/>
    <w:rsid w:val="00856548"/>
    <w:rsid w:val="00856AFF"/>
    <w:rsid w:val="00856E13"/>
    <w:rsid w:val="00860789"/>
    <w:rsid w:val="00865E1D"/>
    <w:rsid w:val="00870104"/>
    <w:rsid w:val="0087263F"/>
    <w:rsid w:val="00877316"/>
    <w:rsid w:val="008825A1"/>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2F2F"/>
    <w:rsid w:val="009C4EED"/>
    <w:rsid w:val="009F001E"/>
    <w:rsid w:val="00A05664"/>
    <w:rsid w:val="00A1367B"/>
    <w:rsid w:val="00A14157"/>
    <w:rsid w:val="00A325FF"/>
    <w:rsid w:val="00A366BB"/>
    <w:rsid w:val="00A37B97"/>
    <w:rsid w:val="00A42AAF"/>
    <w:rsid w:val="00A510C8"/>
    <w:rsid w:val="00A53D20"/>
    <w:rsid w:val="00A61A53"/>
    <w:rsid w:val="00A724E5"/>
    <w:rsid w:val="00A80809"/>
    <w:rsid w:val="00A82527"/>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7526C"/>
    <w:rsid w:val="00B86C48"/>
    <w:rsid w:val="00B87958"/>
    <w:rsid w:val="00B92A81"/>
    <w:rsid w:val="00B92E22"/>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13BCB"/>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84FC9"/>
    <w:rsid w:val="00E95942"/>
    <w:rsid w:val="00EA0F92"/>
    <w:rsid w:val="00EB1731"/>
    <w:rsid w:val="00EB609E"/>
    <w:rsid w:val="00EB62B0"/>
    <w:rsid w:val="00ED199E"/>
    <w:rsid w:val="00EF1F71"/>
    <w:rsid w:val="00EF2A07"/>
    <w:rsid w:val="00EF313E"/>
    <w:rsid w:val="00EF4CFE"/>
    <w:rsid w:val="00F00E3C"/>
    <w:rsid w:val="00F0228D"/>
    <w:rsid w:val="00F02DAB"/>
    <w:rsid w:val="00F06C68"/>
    <w:rsid w:val="00F07726"/>
    <w:rsid w:val="00F1631A"/>
    <w:rsid w:val="00F33120"/>
    <w:rsid w:val="00F4582D"/>
    <w:rsid w:val="00F5549D"/>
    <w:rsid w:val="00F56633"/>
    <w:rsid w:val="00F65A7C"/>
    <w:rsid w:val="00F7618A"/>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CA5367CC-1B37-46D1-A7D3-60CAEE79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FDEB4044-2F21-4400-911F-323AEB540475}">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16675</Words>
  <Characters>95053</Characters>
  <Application>Microsoft Office Word</Application>
  <DocSecurity>0</DocSecurity>
  <Lines>792</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Irmina Galdikienė</cp:lastModifiedBy>
  <cp:revision>2</cp:revision>
  <cp:lastPrinted>2024-03-12T12:16:00Z</cp:lastPrinted>
  <dcterms:created xsi:type="dcterms:W3CDTF">2026-02-11T06:35:00Z</dcterms:created>
  <dcterms:modified xsi:type="dcterms:W3CDTF">2026-02-11T06:35:00Z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