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B02EBE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2EBE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 w:rsidRPr="00B02EBE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7A2D7F87" w14:textId="77777777" w:rsidR="00B02EBE" w:rsidRPr="00825E20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B02EBE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DĖL </w:t>
      </w:r>
      <w:r w:rsidR="00FF36C0" w:rsidRPr="00B02EBE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2E4C92B9" w:rsidR="00A12F2C" w:rsidRPr="00B02EBE" w:rsidRDefault="006D152B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MITYBINIŲ TERPIŲ </w:t>
      </w:r>
      <w:r w:rsidR="00FF36C0" w:rsidRPr="00B02EBE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B02EBE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5F93976D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>VŠĮ Respublikinės Vilniaus universitetinės</w:t>
      </w:r>
      <w:r w:rsidR="006D152B">
        <w:rPr>
          <w:rFonts w:ascii="Times New Roman" w:eastAsia="Times New Roman" w:hAnsi="Times New Roman" w:cs="Times New Roman"/>
          <w:color w:val="000000"/>
        </w:rPr>
        <w:t xml:space="preserve"> ligoninės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D152B">
        <w:rPr>
          <w:rFonts w:ascii="Times New Roman" w:eastAsia="Times New Roman" w:hAnsi="Times New Roman" w:cs="Times New Roman"/>
          <w:color w:val="000000"/>
        </w:rPr>
        <w:t xml:space="preserve">mitybinių terpių </w:t>
      </w:r>
      <w:r w:rsidR="00B02EBE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796230A9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6D152B">
        <w:rPr>
          <w:rFonts w:ascii="Times New Roman" w:eastAsia="Times New Roman" w:hAnsi="Times New Roman" w:cs="Times New Roman"/>
          <w:i/>
          <w:lang w:eastAsia="lt-LT"/>
        </w:rPr>
        <w:t>mitybines terpes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5097"/>
        <w:gridCol w:w="6"/>
      </w:tblGrid>
      <w:tr w:rsidR="00505923" w:rsidRPr="00FE40E0" w14:paraId="66E947C1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DC0F05C" w14:textId="1AACF8E5" w:rsidR="00FD21A1" w:rsidRDefault="00FD21A1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BA3F0" w14:textId="77777777" w:rsidR="00FD21A1" w:rsidRDefault="00510F8D" w:rsidP="00510F8D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F73DF9B" w14:textId="119B781D" w:rsidR="00510F8D" w:rsidRPr="00AD7116" w:rsidRDefault="00510F8D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B02EBE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365355F7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1E72AB54" w14:textId="23467775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5BCCD6C2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 pirkimo objektas tinkamai suskaidytas į dalis?</w:t>
            </w:r>
          </w:p>
          <w:p w14:paraId="5DAA19F7" w14:textId="5C57B481" w:rsidR="00505923" w:rsidRPr="00B02EBE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Jeigu, Jūsų nuomone, techninės specifikacijos projekte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5097" w:type="dxa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615A672" w14:textId="774B9CBE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779F225A" w14:textId="71204760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</w:t>
            </w:r>
            <w:r w:rsidR="00DE561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Kokias sąlygas papildomai patartumėte įtraukti į techninę specifikaciją, arba kurių reikėtų atsisakyti?</w:t>
            </w:r>
            <w:r w:rsidR="00666038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B02EBE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2BD5E30C" w14:textId="01CE3203" w:rsidR="00505923" w:rsidRPr="00713207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4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403CEDDA" w:rsidR="00505923" w:rsidRPr="00B02EBE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8F2D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darbo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8F2D11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nuo užsakymo pateikimo dienos. Ar toks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B02E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097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517174FF" w14:textId="54711277" w:rsidR="00505923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32E591FC" w14:textId="394443AE" w:rsidR="00505923" w:rsidRPr="00B02EBE" w:rsidRDefault="00505923" w:rsidP="008F2D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</w:t>
            </w:r>
            <w:r w:rsidR="008F2D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?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Jei taip, prašome nurodyti kurių ir pateikti savo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097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8F2D11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07BAB4D1" w14:textId="3800FC0F" w:rsidR="00251F8C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69686E53" w:rsidR="00251F8C" w:rsidRPr="00B02EBE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097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8F2D11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65DD03DF" w14:textId="6B4587E9" w:rsidR="00075EAA" w:rsidRPr="00A65101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6AEA66DD" w14:textId="07F81FB7" w:rsidR="00075EAA" w:rsidRPr="00D24287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D24287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097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609212C3" w14:textId="77777777" w:rsidTr="008F2D11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419E9336" w14:textId="5EE69C01" w:rsidR="00B02EBE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  <w:vAlign w:val="center"/>
          </w:tcPr>
          <w:p w14:paraId="64BCA86E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7B8257DA" w14:textId="34966FEF" w:rsidR="00B02EBE" w:rsidRPr="00A65101" w:rsidRDefault="00B02EBE" w:rsidP="00B02EBE">
            <w:pPr>
              <w:jc w:val="both"/>
              <w:rPr>
                <w:rFonts w:ascii="Times New Roman" w:hAnsi="Times New Roman" w:cs="Times New Roman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097" w:type="dxa"/>
            <w:vAlign w:val="center"/>
          </w:tcPr>
          <w:p w14:paraId="52715336" w14:textId="608009AC" w:rsidR="00B02EBE" w:rsidRPr="00D24287" w:rsidRDefault="00B02EBE" w:rsidP="00DA3D8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Preliminarius prekių (1 vnt.) įkainius be PVM  įrašykite, prašom, Priede Nr.1 „Techninės  specifikacijos projektas“.</w:t>
            </w:r>
          </w:p>
        </w:tc>
      </w:tr>
      <w:tr w:rsidR="000E75FB" w:rsidRPr="00825E20" w14:paraId="51AD7647" w14:textId="77777777" w:rsidTr="008F2D11">
        <w:trPr>
          <w:gridAfter w:val="1"/>
          <w:wAfter w:w="6" w:type="dxa"/>
          <w:trHeight w:val="508"/>
        </w:trPr>
        <w:tc>
          <w:tcPr>
            <w:tcW w:w="709" w:type="dxa"/>
            <w:vAlign w:val="center"/>
          </w:tcPr>
          <w:p w14:paraId="3CB6D396" w14:textId="1271DBCC" w:rsidR="000E75FB" w:rsidRPr="00B02EBE" w:rsidRDefault="00B02EBE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0E75FB"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CDFED2B" w14:textId="55CE0525" w:rsidR="000E75FB" w:rsidRPr="00B02EBE" w:rsidRDefault="000E75FB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Ar  prekės šiuo metu yra prieinamos tiekimo grandinėje?</w:t>
            </w:r>
          </w:p>
        </w:tc>
        <w:tc>
          <w:tcPr>
            <w:tcW w:w="5097" w:type="dxa"/>
            <w:vAlign w:val="center"/>
          </w:tcPr>
          <w:p w14:paraId="459A75FE" w14:textId="77777777" w:rsidR="000E75FB" w:rsidRPr="00825E20" w:rsidRDefault="000E75F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05FEFCB7" w14:textId="77777777" w:rsidTr="008F2D11">
        <w:trPr>
          <w:trHeight w:val="508"/>
        </w:trPr>
        <w:tc>
          <w:tcPr>
            <w:tcW w:w="709" w:type="dxa"/>
            <w:vAlign w:val="center"/>
          </w:tcPr>
          <w:p w14:paraId="1A0E5F0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</w:p>
        </w:tc>
        <w:tc>
          <w:tcPr>
            <w:tcW w:w="9497" w:type="dxa"/>
            <w:gridSpan w:val="3"/>
            <w:vAlign w:val="center"/>
          </w:tcPr>
          <w:p w14:paraId="3460F0B4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B02EBE" w:rsidRPr="00C351D4" w14:paraId="0BF0C354" w14:textId="77777777" w:rsidTr="00DE561A">
        <w:trPr>
          <w:trHeight w:val="2391"/>
        </w:trPr>
        <w:tc>
          <w:tcPr>
            <w:tcW w:w="709" w:type="dxa"/>
            <w:vAlign w:val="center"/>
          </w:tcPr>
          <w:p w14:paraId="2231AB5C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4394" w:type="dxa"/>
            <w:vAlign w:val="center"/>
          </w:tcPr>
          <w:p w14:paraId="6687A8B5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D60221C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432A89C4" w14:textId="7E5F1F63" w:rsidR="00B02EBE" w:rsidRPr="00E64400" w:rsidRDefault="00B02EBE" w:rsidP="00DE56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? </w:t>
            </w:r>
          </w:p>
        </w:tc>
        <w:tc>
          <w:tcPr>
            <w:tcW w:w="5103" w:type="dxa"/>
            <w:gridSpan w:val="2"/>
            <w:vAlign w:val="center"/>
          </w:tcPr>
          <w:p w14:paraId="51F3FBA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1809C1CF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495CE602" w14:textId="77777777" w:rsidR="00B02EBE" w:rsidRPr="00E64400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B02EBE" w:rsidRPr="00C351D4" w14:paraId="5A8BA4C8" w14:textId="77777777" w:rsidTr="008F2D11">
        <w:trPr>
          <w:trHeight w:val="2400"/>
        </w:trPr>
        <w:tc>
          <w:tcPr>
            <w:tcW w:w="709" w:type="dxa"/>
            <w:vAlign w:val="center"/>
          </w:tcPr>
          <w:p w14:paraId="2E8236DF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4394" w:type="dxa"/>
            <w:vAlign w:val="center"/>
          </w:tcPr>
          <w:p w14:paraId="547FDC2E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482EC261" w14:textId="77777777" w:rsidR="00B02EBE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0D17CF" w14:textId="2244205D" w:rsidR="00B02EBE" w:rsidRPr="00E64400" w:rsidRDefault="00B02EBE" w:rsidP="00DE56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vAlign w:val="center"/>
          </w:tcPr>
          <w:p w14:paraId="7B5758D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F7CE4D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DB2419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dokumentus dėl 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B02EBE" w:rsidRPr="00C351D4" w14:paraId="0064A5B3" w14:textId="77777777" w:rsidTr="008F2D11">
        <w:trPr>
          <w:trHeight w:val="2400"/>
        </w:trPr>
        <w:tc>
          <w:tcPr>
            <w:tcW w:w="709" w:type="dxa"/>
            <w:vAlign w:val="center"/>
          </w:tcPr>
          <w:p w14:paraId="3A3D85D1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4394" w:type="dxa"/>
            <w:vAlign w:val="center"/>
          </w:tcPr>
          <w:p w14:paraId="654371C0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676FAFE2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42BB68D6" w14:textId="77777777" w:rsidR="00B02EBE" w:rsidRDefault="00B02EBE" w:rsidP="00733A6D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2AB1BDA0" w14:textId="77777777" w:rsidR="00B02EBE" w:rsidRPr="00A0717A" w:rsidRDefault="00B02EBE" w:rsidP="00733A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14:paraId="7FC45B78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F5FB36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39B320C2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7FC79A9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 nurodykite, prašom, kokius prekės (-ių) antrinės (-ių) pakuotės (-čių) tinkamumą perdirbti (perdirbamumą) patvirtinančius dokumentus prekių perdavimo metu galėtumėte pateikti pateikti:</w:t>
            </w:r>
          </w:p>
          <w:p w14:paraId="1BD4114D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1A886B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29443EB2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(https://aaa.lrv.lt/) skelbiamame atliekų tvarkytojų, turinčių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eksportuotojų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3A25F8F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5DCC444A" w14:textId="77777777" w:rsidR="00B02EBE" w:rsidRPr="0066648B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02EBE" w:rsidRPr="00C351D4" w14:paraId="14B80FB4" w14:textId="77777777" w:rsidTr="008F2D11">
        <w:trPr>
          <w:trHeight w:val="129"/>
        </w:trPr>
        <w:tc>
          <w:tcPr>
            <w:tcW w:w="709" w:type="dxa"/>
            <w:vAlign w:val="center"/>
          </w:tcPr>
          <w:p w14:paraId="30357D33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394" w:type="dxa"/>
            <w:vAlign w:val="center"/>
          </w:tcPr>
          <w:p w14:paraId="0F10D7B6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14301C3D" w14:textId="77777777" w:rsidR="00B02EBE" w:rsidRPr="00C351D4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EBE" w:rsidRPr="00825E20" w14:paraId="6F09EE9F" w14:textId="77777777" w:rsidTr="008F2D11">
        <w:trPr>
          <w:trHeight w:val="508"/>
        </w:trPr>
        <w:tc>
          <w:tcPr>
            <w:tcW w:w="709" w:type="dxa"/>
            <w:vAlign w:val="center"/>
          </w:tcPr>
          <w:p w14:paraId="743F2110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12. </w:t>
            </w:r>
          </w:p>
        </w:tc>
        <w:tc>
          <w:tcPr>
            <w:tcW w:w="4394" w:type="dxa"/>
            <w:vAlign w:val="center"/>
          </w:tcPr>
          <w:p w14:paraId="34E45741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6F41694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D130DEC" w14:textId="77777777" w:rsidR="00B02EBE" w:rsidRPr="00825E2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6F" w14:textId="77777777" w:rsidR="00B02EBE" w:rsidRPr="002671CF" w:rsidRDefault="00B02EBE" w:rsidP="00B02EBE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70A0579" w14:textId="6E889B0A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</w:p>
    <w:sectPr w:rsidR="00A12F2C" w:rsidRPr="008576DC" w:rsidSect="00B02EBE">
      <w:pgSz w:w="11906" w:h="16838"/>
      <w:pgMar w:top="709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3EE"/>
    <w:multiLevelType w:val="hybridMultilevel"/>
    <w:tmpl w:val="609A7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5EAA"/>
    <w:rsid w:val="000869F9"/>
    <w:rsid w:val="000A3A6C"/>
    <w:rsid w:val="000E75FB"/>
    <w:rsid w:val="000F7127"/>
    <w:rsid w:val="0010174B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5E6E85"/>
    <w:rsid w:val="00614B9F"/>
    <w:rsid w:val="00622D60"/>
    <w:rsid w:val="00646E43"/>
    <w:rsid w:val="00660A8D"/>
    <w:rsid w:val="0066155A"/>
    <w:rsid w:val="00666038"/>
    <w:rsid w:val="006A5148"/>
    <w:rsid w:val="006A52CF"/>
    <w:rsid w:val="006D152B"/>
    <w:rsid w:val="006F1AF6"/>
    <w:rsid w:val="00706C4B"/>
    <w:rsid w:val="00713207"/>
    <w:rsid w:val="0071626F"/>
    <w:rsid w:val="00717221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F0E80"/>
    <w:rsid w:val="008F2D11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2EBE"/>
    <w:rsid w:val="00B0345D"/>
    <w:rsid w:val="00B12D38"/>
    <w:rsid w:val="00B36B3C"/>
    <w:rsid w:val="00B53681"/>
    <w:rsid w:val="00B55087"/>
    <w:rsid w:val="00BC1112"/>
    <w:rsid w:val="00C01B99"/>
    <w:rsid w:val="00C07973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24287"/>
    <w:rsid w:val="00D30767"/>
    <w:rsid w:val="00D646E5"/>
    <w:rsid w:val="00DA3D88"/>
    <w:rsid w:val="00DC38DB"/>
    <w:rsid w:val="00DE561A"/>
    <w:rsid w:val="00E20AA7"/>
    <w:rsid w:val="00E36844"/>
    <w:rsid w:val="00E43EF4"/>
    <w:rsid w:val="00EF03DF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2636-C39C-4298-8A9D-041C1009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4308</Words>
  <Characters>2456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2026-02-11T07:13:00Z</dcterms:created>
  <dcterms:modified xsi:type="dcterms:W3CDTF">2026-02-11T07:13:00Z</dcterms:modified>
</cp:coreProperties>
</file>