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1EC35193" w:rsidR="00D8137B" w:rsidRPr="006B5C78" w:rsidRDefault="00D8137B" w:rsidP="00D8137B">
      <w:pPr>
        <w:jc w:val="center"/>
        <w:rPr>
          <w:szCs w:val="24"/>
          <w:lang w:eastAsia="lt-LT"/>
        </w:rPr>
      </w:pPr>
      <w:r w:rsidRPr="006B5C78">
        <w:rPr>
          <w:szCs w:val="24"/>
          <w:lang w:eastAsia="lt-LT"/>
        </w:rPr>
        <w:t>20</w:t>
      </w:r>
      <w:r>
        <w:rPr>
          <w:szCs w:val="24"/>
          <w:lang w:eastAsia="lt-LT"/>
        </w:rPr>
        <w:t>2</w:t>
      </w:r>
      <w:r w:rsidR="0001215E">
        <w:rPr>
          <w:szCs w:val="24"/>
          <w:lang w:eastAsia="lt-LT"/>
        </w:rPr>
        <w:t>6</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501D42">
      <w:pPr>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perdavimo-priėmimo aktas</w:t>
            </w:r>
            <w:r w:rsidRPr="00F15E3E">
              <w:rPr>
                <w:color w:val="000000" w:themeColor="text1"/>
                <w:szCs w:val="24"/>
                <w:lang w:eastAsia="lt-LT"/>
              </w:rPr>
              <w:t xml:space="preserve"> – dokumentas, patvirtinantis, kad Rangovas perdavė, o Užsakovas priėmė Darbus, pasirašomas vadovaujantis Sutarties sąlygų 7.2 papunkčiu.</w:t>
            </w:r>
            <w:r w:rsidRPr="00F15E3E" w:rsidDel="0043793F">
              <w:rPr>
                <w:color w:val="000000" w:themeColor="text1"/>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pradžia</w:t>
            </w:r>
            <w:r w:rsidRPr="00F15E3E">
              <w:rPr>
                <w:color w:val="000000" w:themeColor="text1"/>
                <w:szCs w:val="24"/>
                <w:lang w:eastAsia="lt-LT"/>
              </w:rPr>
              <w:t xml:space="preserve"> – Sutarties įsigaliojimo diena.</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00736F69"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w:t>
            </w:r>
            <w:r w:rsidRPr="00BA3C29">
              <w:rPr>
                <w:b/>
                <w:bCs/>
                <w:szCs w:val="24"/>
                <w:u w:val="single"/>
                <w:lang w:eastAsia="lt-LT"/>
              </w:rPr>
              <w:t xml:space="preserve">ilgiau kaip </w:t>
            </w:r>
            <w:r w:rsidR="00CA56F9">
              <w:rPr>
                <w:b/>
                <w:bCs/>
                <w:szCs w:val="24"/>
                <w:u w:val="single"/>
                <w:lang w:eastAsia="lt-LT"/>
              </w:rPr>
              <w:t xml:space="preserve">8 </w:t>
            </w:r>
            <w:r w:rsidRPr="00BA3C29">
              <w:rPr>
                <w:b/>
                <w:bCs/>
                <w:szCs w:val="24"/>
                <w:u w:val="single"/>
                <w:lang w:eastAsia="ar-SA"/>
              </w:rPr>
              <w:t>(</w:t>
            </w:r>
            <w:r w:rsidR="00CA56F9">
              <w:rPr>
                <w:b/>
                <w:bCs/>
                <w:szCs w:val="24"/>
                <w:u w:val="single"/>
                <w:lang w:eastAsia="ar-SA"/>
              </w:rPr>
              <w:t>aštuoni</w:t>
            </w:r>
            <w:r w:rsidRPr="00BA3C29">
              <w:rPr>
                <w:b/>
                <w:bCs/>
                <w:szCs w:val="24"/>
                <w:u w:val="single"/>
                <w:lang w:eastAsia="ar-SA"/>
              </w:rPr>
              <w:t>) mėnesi</w:t>
            </w:r>
            <w:r w:rsidR="004C0445" w:rsidRPr="00BA3C29">
              <w:rPr>
                <w:b/>
                <w:bCs/>
                <w:szCs w:val="24"/>
                <w:u w:val="single"/>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E919A1">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BD14C1E" w14:textId="77777777" w:rsidR="0001215E" w:rsidRDefault="00D8137B" w:rsidP="00E919A1">
            <w:pPr>
              <w:widowControl w:val="0"/>
              <w:tabs>
                <w:tab w:val="num" w:pos="993"/>
              </w:tabs>
              <w:jc w:val="both"/>
              <w:rPr>
                <w:szCs w:val="24"/>
                <w:lang w:eastAsia="lt-LT"/>
              </w:rPr>
            </w:pPr>
            <w:r w:rsidRPr="006B5C78">
              <w:rPr>
                <w:szCs w:val="22"/>
                <w:lang w:eastAsia="lt-LT"/>
              </w:rPr>
              <w:t xml:space="preserve">Šia Sutartimi Rangovas įsipareigoja per Sutartyje nustatytą Darbų atlikimo terminą ir Sutartyje nustatytomis sąlygomis atlikti ir perduoti šiuos </w:t>
            </w:r>
            <w:r w:rsidRPr="004C0445">
              <w:rPr>
                <w:szCs w:val="24"/>
                <w:lang w:eastAsia="lt-LT"/>
              </w:rPr>
              <w:t>Darbus:</w:t>
            </w:r>
          </w:p>
          <w:p w14:paraId="4BE3F61D" w14:textId="77777777" w:rsidR="0001215E" w:rsidRDefault="00CA56F9" w:rsidP="00E919A1">
            <w:pPr>
              <w:widowControl w:val="0"/>
              <w:tabs>
                <w:tab w:val="num" w:pos="993"/>
              </w:tabs>
              <w:jc w:val="both"/>
              <w:rPr>
                <w:rFonts w:eastAsia="Calibri"/>
                <w:b/>
                <w:bCs/>
                <w:color w:val="000000" w:themeColor="text1"/>
                <w:szCs w:val="24"/>
                <w14:ligatures w14:val="standardContextual"/>
              </w:rPr>
            </w:pPr>
            <w:r w:rsidRPr="00CA56F9">
              <w:rPr>
                <w:szCs w:val="24"/>
                <w:lang w:eastAsia="lt-LT"/>
              </w:rPr>
              <w:t>“</w:t>
            </w:r>
            <w:r w:rsidRPr="00CA56F9">
              <w:rPr>
                <w:rFonts w:eastAsia="Calibri"/>
                <w:b/>
                <w:bCs/>
                <w:color w:val="000000" w:themeColor="text1"/>
                <w:szCs w:val="24"/>
                <w14:ligatures w14:val="standardContextual"/>
              </w:rPr>
              <w:t>Mokslo paskirties pastato adresu Jaunimo g. 2, gydymo paskirties pastato adresu Krantinė g. 30, paprastojo remonto darbai su aprašo parengimu“</w:t>
            </w:r>
            <w:r w:rsidR="0062422D">
              <w:rPr>
                <w:rFonts w:eastAsia="Calibri"/>
                <w:b/>
                <w:bCs/>
                <w:color w:val="000000" w:themeColor="text1"/>
                <w:szCs w:val="24"/>
                <w14:ligatures w14:val="standardContextual"/>
              </w:rPr>
              <w:t xml:space="preserve"> </w:t>
            </w:r>
            <w:r w:rsidR="0062422D" w:rsidRPr="0062422D">
              <w:rPr>
                <w:rFonts w:eastAsia="Calibri"/>
                <w:b/>
                <w:bCs/>
                <w:color w:val="000000" w:themeColor="text1"/>
                <w:szCs w:val="24"/>
                <w:highlight w:val="yellow"/>
                <w14:ligatures w14:val="standardContextual"/>
              </w:rPr>
              <w:t>(pirkimo dalies pavadinimas)</w:t>
            </w:r>
            <w:r>
              <w:rPr>
                <w:rFonts w:eastAsia="Calibri"/>
                <w:b/>
                <w:bCs/>
                <w:color w:val="000000" w:themeColor="text1"/>
                <w:szCs w:val="24"/>
                <w14:ligatures w14:val="standardContextual"/>
              </w:rPr>
              <w:t>:</w:t>
            </w:r>
          </w:p>
          <w:p w14:paraId="276A426D" w14:textId="2B0EAFBD" w:rsidR="0001215E" w:rsidRDefault="0001215E" w:rsidP="0001215E">
            <w:pPr>
              <w:widowControl w:val="0"/>
              <w:tabs>
                <w:tab w:val="num" w:pos="993"/>
              </w:tabs>
              <w:ind w:firstLine="429"/>
              <w:jc w:val="both"/>
              <w:rPr>
                <w:color w:val="000000" w:themeColor="text1"/>
                <w:szCs w:val="24"/>
              </w:rPr>
            </w:pPr>
            <w:r>
              <w:rPr>
                <w:color w:val="000000" w:themeColor="text1"/>
                <w:szCs w:val="24"/>
              </w:rPr>
              <w:t>2.</w:t>
            </w:r>
            <w:r w:rsidR="00CA56F9" w:rsidRPr="00F15E3E">
              <w:rPr>
                <w:color w:val="000000" w:themeColor="text1"/>
                <w:szCs w:val="24"/>
              </w:rPr>
              <w:t>1</w:t>
            </w:r>
            <w:r>
              <w:rPr>
                <w:color w:val="000000" w:themeColor="text1"/>
                <w:szCs w:val="24"/>
              </w:rPr>
              <w:t>.1</w:t>
            </w:r>
            <w:r w:rsidR="00CA56F9" w:rsidRPr="00F15E3E">
              <w:rPr>
                <w:color w:val="000000" w:themeColor="text1"/>
                <w:szCs w:val="24"/>
              </w:rPr>
              <w:t xml:space="preserve"> </w:t>
            </w:r>
            <w:r w:rsidR="009A47FC">
              <w:rPr>
                <w:rFonts w:eastAsia="Calibri"/>
                <w:color w:val="000000" w:themeColor="text1"/>
                <w:bdr w:val="nil"/>
                <w:lang w:eastAsia="lt-LT"/>
              </w:rPr>
              <w:t>Paprastojo remonto aprašo</w:t>
            </w:r>
            <w:r w:rsidR="00CA56F9" w:rsidRPr="00F15E3E">
              <w:rPr>
                <w:rFonts w:eastAsia="Calibri"/>
                <w:color w:val="000000" w:themeColor="text1"/>
                <w:bdr w:val="nil"/>
                <w:lang w:eastAsia="lt-LT"/>
              </w:rPr>
              <w:t xml:space="preserve"> parengimas</w:t>
            </w:r>
            <w:r w:rsidR="00CA56F9" w:rsidRPr="00F15E3E">
              <w:rPr>
                <w:color w:val="000000" w:themeColor="text1"/>
                <w:szCs w:val="24"/>
              </w:rPr>
              <w:t xml:space="preserve"> </w:t>
            </w:r>
            <w:r w:rsidR="00CA56F9" w:rsidRPr="00F15E3E">
              <w:rPr>
                <w:rFonts w:eastAsia="Calibri"/>
                <w:color w:val="000000" w:themeColor="text1"/>
                <w:bdr w:val="nil"/>
                <w:lang w:eastAsia="lt-LT"/>
              </w:rPr>
              <w:t xml:space="preserve">pagal pateiktą </w:t>
            </w:r>
            <w:r w:rsidR="00F15E3E" w:rsidRPr="00F15E3E">
              <w:rPr>
                <w:rFonts w:eastAsia="Calibri"/>
                <w:color w:val="000000" w:themeColor="text1"/>
                <w:bdr w:val="nil"/>
                <w:lang w:eastAsia="lt-LT"/>
              </w:rPr>
              <w:t>Techninę specifikaciją</w:t>
            </w:r>
            <w:r w:rsidR="00E919A1">
              <w:rPr>
                <w:rFonts w:eastAsia="Calibri"/>
                <w:color w:val="000000" w:themeColor="text1"/>
                <w:bdr w:val="nil"/>
                <w:lang w:eastAsia="lt-LT"/>
              </w:rPr>
              <w:t xml:space="preserve"> priedas </w:t>
            </w:r>
            <w:proofErr w:type="spellStart"/>
            <w:r w:rsidR="00E919A1">
              <w:rPr>
                <w:rFonts w:eastAsia="Calibri"/>
                <w:color w:val="000000" w:themeColor="text1"/>
                <w:bdr w:val="nil"/>
                <w:lang w:eastAsia="lt-LT"/>
              </w:rPr>
              <w:t>nr.</w:t>
            </w:r>
            <w:proofErr w:type="spellEnd"/>
            <w:r w:rsidR="00E919A1">
              <w:rPr>
                <w:rFonts w:eastAsia="Calibri"/>
                <w:color w:val="000000" w:themeColor="text1"/>
                <w:bdr w:val="nil"/>
                <w:lang w:eastAsia="lt-LT"/>
              </w:rPr>
              <w:t xml:space="preserve"> 1</w:t>
            </w:r>
            <w:r w:rsidR="00CA56F9" w:rsidRPr="00F15E3E">
              <w:rPr>
                <w:rFonts w:eastAsia="Calibri"/>
                <w:color w:val="000000" w:themeColor="text1"/>
                <w:bdr w:val="nil"/>
                <w:lang w:eastAsia="lt-LT"/>
              </w:rPr>
              <w:t xml:space="preserve">, jo koregavimas pagal gautas ekspertizės pastabas, bei tinkamai parengto </w:t>
            </w:r>
            <w:r w:rsidR="00E919A1">
              <w:rPr>
                <w:rFonts w:eastAsia="Calibri"/>
                <w:color w:val="000000" w:themeColor="text1"/>
                <w:bdr w:val="nil"/>
                <w:lang w:eastAsia="lt-LT"/>
              </w:rPr>
              <w:t>d</w:t>
            </w:r>
            <w:r w:rsidR="00F15E3E" w:rsidRPr="00F15E3E">
              <w:rPr>
                <w:rFonts w:eastAsia="Calibri"/>
                <w:color w:val="000000" w:themeColor="text1"/>
                <w:bdr w:val="nil"/>
                <w:lang w:eastAsia="lt-LT"/>
              </w:rPr>
              <w:t>arbų aprašo</w:t>
            </w:r>
            <w:r w:rsidR="00CA56F9" w:rsidRPr="00F15E3E">
              <w:rPr>
                <w:rFonts w:eastAsia="Calibri"/>
                <w:color w:val="000000" w:themeColor="text1"/>
                <w:bdr w:val="nil"/>
                <w:lang w:eastAsia="lt-LT"/>
              </w:rPr>
              <w:t xml:space="preserve"> perdavimas perkančiajai organizacijai;</w:t>
            </w:r>
          </w:p>
          <w:p w14:paraId="7FA4439A" w14:textId="27EBBAFC" w:rsidR="0001215E" w:rsidRDefault="00CA56F9" w:rsidP="0001215E">
            <w:pPr>
              <w:widowControl w:val="0"/>
              <w:tabs>
                <w:tab w:val="num" w:pos="993"/>
              </w:tabs>
              <w:ind w:firstLine="429"/>
              <w:jc w:val="both"/>
              <w:rPr>
                <w:color w:val="000000" w:themeColor="text1"/>
                <w:szCs w:val="24"/>
              </w:rPr>
            </w:pPr>
            <w:r w:rsidRPr="00F15E3E">
              <w:rPr>
                <w:color w:val="000000" w:themeColor="text1"/>
                <w:szCs w:val="24"/>
              </w:rPr>
              <w:t>2</w:t>
            </w:r>
            <w:r w:rsidR="0001215E">
              <w:rPr>
                <w:color w:val="000000" w:themeColor="text1"/>
                <w:szCs w:val="24"/>
              </w:rPr>
              <w:t>.1.2.</w:t>
            </w:r>
            <w:r w:rsidRPr="00F15E3E">
              <w:rPr>
                <w:color w:val="000000" w:themeColor="text1"/>
                <w:szCs w:val="24"/>
              </w:rPr>
              <w:t xml:space="preserve"> </w:t>
            </w:r>
            <w:r w:rsidRPr="00F15E3E">
              <w:rPr>
                <w:rFonts w:eastAsia="Calibri"/>
                <w:color w:val="000000" w:themeColor="text1"/>
                <w:bdr w:val="nil"/>
                <w:lang w:eastAsia="lt-LT"/>
              </w:rPr>
              <w:t xml:space="preserve">paprastojo remonto </w:t>
            </w:r>
            <w:r w:rsidR="00E919A1">
              <w:rPr>
                <w:color w:val="000000" w:themeColor="text1"/>
                <w:szCs w:val="24"/>
              </w:rPr>
              <w:t>d</w:t>
            </w:r>
            <w:r w:rsidRPr="00F15E3E">
              <w:rPr>
                <w:color w:val="000000" w:themeColor="text1"/>
                <w:szCs w:val="24"/>
              </w:rPr>
              <w:t>arbų atlikimas;</w:t>
            </w:r>
          </w:p>
          <w:p w14:paraId="3ACDAB7B" w14:textId="4C359B19" w:rsidR="0001215E" w:rsidRDefault="0001215E" w:rsidP="0001215E">
            <w:pPr>
              <w:widowControl w:val="0"/>
              <w:tabs>
                <w:tab w:val="num" w:pos="993"/>
              </w:tabs>
              <w:ind w:firstLine="429"/>
              <w:jc w:val="both"/>
              <w:rPr>
                <w:color w:val="000000" w:themeColor="text1"/>
                <w:szCs w:val="24"/>
              </w:rPr>
            </w:pPr>
            <w:r>
              <w:rPr>
                <w:color w:val="000000" w:themeColor="text1"/>
                <w:szCs w:val="24"/>
              </w:rPr>
              <w:t>2.1.3.</w:t>
            </w:r>
            <w:r w:rsidR="00CA56F9" w:rsidRPr="00F15E3E">
              <w:rPr>
                <w:color w:val="000000" w:themeColor="text1"/>
                <w:szCs w:val="24"/>
              </w:rPr>
              <w:t xml:space="preserve"> </w:t>
            </w:r>
            <w:r w:rsidR="009A47FC">
              <w:rPr>
                <w:color w:val="000000" w:themeColor="text1"/>
                <w:szCs w:val="24"/>
              </w:rPr>
              <w:t>aprašo</w:t>
            </w:r>
            <w:r w:rsidR="00CA56F9" w:rsidRPr="00F15E3E">
              <w:rPr>
                <w:color w:val="000000" w:themeColor="text1"/>
                <w:szCs w:val="24"/>
              </w:rPr>
              <w:t xml:space="preserve"> vykdymo priežiūros atlikimas per visą paprastojo remonto darbų vykdymo terminą;</w:t>
            </w:r>
          </w:p>
          <w:p w14:paraId="68CEFBB9" w14:textId="2FE2CE3C" w:rsidR="0001215E" w:rsidRDefault="0001215E" w:rsidP="0001215E">
            <w:pPr>
              <w:widowControl w:val="0"/>
              <w:tabs>
                <w:tab w:val="num" w:pos="993"/>
              </w:tabs>
              <w:ind w:firstLine="429"/>
              <w:jc w:val="both"/>
              <w:rPr>
                <w:rFonts w:eastAsia="Calibri"/>
                <w:color w:val="000000" w:themeColor="text1"/>
              </w:rPr>
            </w:pPr>
            <w:r>
              <w:rPr>
                <w:color w:val="000000" w:themeColor="text1"/>
                <w:szCs w:val="24"/>
              </w:rPr>
              <w:t>2.1.4.</w:t>
            </w:r>
            <w:r w:rsidR="00CA56F9" w:rsidRPr="00F15E3E">
              <w:rPr>
                <w:color w:val="000000" w:themeColor="text1"/>
                <w:szCs w:val="24"/>
              </w:rPr>
              <w:t xml:space="preserve"> </w:t>
            </w:r>
            <w:r w:rsidR="00CA56F9" w:rsidRPr="00F15E3E">
              <w:rPr>
                <w:rFonts w:eastAsia="Calibri"/>
                <w:color w:val="000000" w:themeColor="text1"/>
              </w:rPr>
              <w:t>kadastrinių matavimų atlikimas ir nekilnojamojo daikto kadastrinių matavimų bylos parengimas (patikslinimas),</w:t>
            </w:r>
          </w:p>
          <w:p w14:paraId="44687118" w14:textId="4BF74997" w:rsidR="00D8137B" w:rsidRPr="00B30FBA" w:rsidRDefault="00CA56F9" w:rsidP="00E919A1">
            <w:pPr>
              <w:widowControl w:val="0"/>
              <w:tabs>
                <w:tab w:val="num" w:pos="993"/>
              </w:tabs>
              <w:jc w:val="both"/>
              <w:rPr>
                <w:color w:val="EE0000"/>
                <w:szCs w:val="24"/>
              </w:rPr>
            </w:pPr>
            <w:r w:rsidRPr="00F15E3E">
              <w:rPr>
                <w:rFonts w:eastAsia="Calibri"/>
                <w:color w:val="000000" w:themeColor="text1"/>
              </w:rPr>
              <w:t>pabaigtų darbų vykdomosios dokumentacijos perdavimas perkančiajai organizacijai, o taip pat visi reikalingi matavimo, išbandymų, defektų ištaisymo, valymo darbai ir visi kiti darbai, kurie yra</w:t>
            </w:r>
            <w:r w:rsidR="00D8137B" w:rsidRPr="00F15E3E">
              <w:rPr>
                <w:b/>
                <w:bCs/>
                <w:color w:val="000000" w:themeColor="text1"/>
                <w:szCs w:val="24"/>
                <w:lang w:eastAsia="lt-LT"/>
              </w:rPr>
              <w:t>,</w:t>
            </w:r>
            <w:r w:rsidR="00F04777" w:rsidRPr="00F15E3E">
              <w:rPr>
                <w:b/>
                <w:bCs/>
                <w:color w:val="000000" w:themeColor="text1"/>
                <w:szCs w:val="24"/>
                <w:lang w:eastAsia="lt-LT"/>
              </w:rPr>
              <w:t xml:space="preserve"> </w:t>
            </w:r>
            <w:r w:rsidR="00F04777" w:rsidRPr="00F15E3E">
              <w:rPr>
                <w:rFonts w:eastAsia="Calibri"/>
                <w:color w:val="000000" w:themeColor="text1"/>
              </w:rPr>
              <w:t>reikalingi, kad būtų pasirašytas darbų priėmimo-perdavimo aktas, ir patalpas būtų galima eksploatuoti</w:t>
            </w:r>
            <w:r w:rsidR="00D8137B" w:rsidRPr="00F15E3E">
              <w:rPr>
                <w:color w:val="000000" w:themeColor="text1"/>
                <w:szCs w:val="24"/>
                <w:lang w:eastAsia="lt-LT"/>
              </w:rPr>
              <w:t>, o</w:t>
            </w:r>
            <w:r w:rsidR="00D8137B" w:rsidRPr="00F15E3E">
              <w:rPr>
                <w:color w:val="000000" w:themeColor="text1"/>
                <w:szCs w:val="22"/>
                <w:lang w:eastAsia="lt-LT"/>
              </w:rPr>
              <w:t xml:space="preserve"> Užsakovas įsipareigoja sudaryti </w:t>
            </w:r>
            <w:r w:rsidR="00D8137B" w:rsidRPr="006B5C78">
              <w:rPr>
                <w:szCs w:val="22"/>
                <w:lang w:eastAsia="lt-LT"/>
              </w:rPr>
              <w:t xml:space="preserve">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E919A1">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5631AEC8" w14:textId="5F33B476" w:rsidR="00B30FBA" w:rsidRDefault="00B30FBA" w:rsidP="00D8137B">
            <w:pPr>
              <w:widowControl w:val="0"/>
              <w:numPr>
                <w:ilvl w:val="0"/>
                <w:numId w:val="7"/>
              </w:numPr>
              <w:contextualSpacing/>
              <w:jc w:val="both"/>
              <w:rPr>
                <w:szCs w:val="22"/>
                <w:lang w:eastAsia="lt-LT"/>
              </w:rPr>
            </w:pPr>
            <w:r>
              <w:rPr>
                <w:szCs w:val="22"/>
                <w:lang w:eastAsia="lt-LT"/>
              </w:rPr>
              <w:t>Techninė specifikacija (statinio darbų -techninė užduotis)</w:t>
            </w:r>
            <w:r w:rsidR="00E919A1">
              <w:rPr>
                <w:szCs w:val="22"/>
                <w:lang w:eastAsia="lt-LT"/>
              </w:rPr>
              <w:t xml:space="preserve"> (</w:t>
            </w:r>
            <w:r w:rsidR="006642A4">
              <w:rPr>
                <w:szCs w:val="22"/>
                <w:lang w:eastAsia="lt-LT"/>
              </w:rPr>
              <w:t>p</w:t>
            </w:r>
            <w:r w:rsidR="00E919A1">
              <w:rPr>
                <w:szCs w:val="22"/>
                <w:lang w:eastAsia="lt-LT"/>
              </w:rPr>
              <w:t xml:space="preserve">riedas </w:t>
            </w:r>
            <w:proofErr w:type="spellStart"/>
            <w:r w:rsidR="00E919A1">
              <w:rPr>
                <w:szCs w:val="22"/>
                <w:lang w:eastAsia="lt-LT"/>
              </w:rPr>
              <w:t>nr.</w:t>
            </w:r>
            <w:proofErr w:type="spellEnd"/>
            <w:r w:rsidR="00E919A1">
              <w:rPr>
                <w:szCs w:val="22"/>
                <w:lang w:eastAsia="lt-LT"/>
              </w:rPr>
              <w:t xml:space="preserve"> 1)</w:t>
            </w:r>
            <w:r>
              <w:rPr>
                <w:szCs w:val="22"/>
                <w:lang w:eastAsia="lt-LT"/>
              </w:rPr>
              <w:t>;</w:t>
            </w:r>
          </w:p>
          <w:p w14:paraId="2FCEC6EF" w14:textId="24847FC1" w:rsidR="00D8137B" w:rsidRPr="006642A4" w:rsidRDefault="006642A4" w:rsidP="006642A4">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 xml:space="preserve"> (priedas </w:t>
            </w:r>
            <w:proofErr w:type="spellStart"/>
            <w:r>
              <w:rPr>
                <w:szCs w:val="22"/>
                <w:lang w:eastAsia="lt-LT"/>
              </w:rPr>
              <w:t>nr.</w:t>
            </w:r>
            <w:proofErr w:type="spellEnd"/>
            <w:r>
              <w:rPr>
                <w:szCs w:val="22"/>
                <w:lang w:eastAsia="lt-LT"/>
              </w:rPr>
              <w:t xml:space="preserve"> 2)</w:t>
            </w:r>
            <w:r w:rsidRPr="00FF5E2D">
              <w:rPr>
                <w:szCs w:val="22"/>
                <w:lang w:eastAsia="lt-LT"/>
              </w:rPr>
              <w:t>;</w:t>
            </w:r>
          </w:p>
          <w:p w14:paraId="2AB27FCA" w14:textId="574DA7CC" w:rsidR="00D8137B" w:rsidRPr="008C5B79" w:rsidRDefault="00D8137B" w:rsidP="00D8137B">
            <w:pPr>
              <w:widowControl w:val="0"/>
              <w:numPr>
                <w:ilvl w:val="0"/>
                <w:numId w:val="7"/>
              </w:numPr>
              <w:contextualSpacing/>
              <w:jc w:val="both"/>
              <w:rPr>
                <w:szCs w:val="22"/>
                <w:lang w:eastAsia="lt-LT"/>
              </w:rPr>
            </w:pPr>
            <w:r>
              <w:rPr>
                <w:szCs w:val="22"/>
                <w:lang w:eastAsia="lt-LT"/>
              </w:rPr>
              <w:lastRenderedPageBreak/>
              <w:t>s</w:t>
            </w:r>
            <w:r w:rsidRPr="008C5B79">
              <w:rPr>
                <w:szCs w:val="22"/>
                <w:lang w:eastAsia="lt-LT"/>
              </w:rPr>
              <w:t>tatybvietės priėmimo – perdavimo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3)</w:t>
            </w:r>
            <w:r w:rsidRPr="008C5B79">
              <w:rPr>
                <w:szCs w:val="22"/>
                <w:lang w:eastAsia="lt-LT"/>
              </w:rPr>
              <w:t>;</w:t>
            </w:r>
          </w:p>
          <w:p w14:paraId="1CDD2E5E" w14:textId="743EB06A"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4)</w:t>
            </w:r>
            <w:r w:rsidRPr="008C5B79">
              <w:rPr>
                <w:szCs w:val="22"/>
                <w:lang w:eastAsia="lt-LT"/>
              </w:rPr>
              <w:t>;</w:t>
            </w:r>
          </w:p>
          <w:p w14:paraId="7AFAAA03" w14:textId="77777777" w:rsidR="002F1ED6" w:rsidRDefault="006642A4" w:rsidP="006642A4">
            <w:pPr>
              <w:widowControl w:val="0"/>
              <w:numPr>
                <w:ilvl w:val="0"/>
                <w:numId w:val="7"/>
              </w:numPr>
              <w:contextualSpacing/>
              <w:jc w:val="both"/>
              <w:rPr>
                <w:szCs w:val="22"/>
                <w:lang w:eastAsia="lt-LT"/>
              </w:rPr>
            </w:pPr>
            <w:r>
              <w:rPr>
                <w:szCs w:val="22"/>
                <w:lang w:eastAsia="lt-LT"/>
              </w:rPr>
              <w:t>s</w:t>
            </w:r>
            <w:r w:rsidRPr="008C5B79">
              <w:rPr>
                <w:szCs w:val="22"/>
                <w:lang w:eastAsia="lt-LT"/>
              </w:rPr>
              <w:t>ubrangovų sąrašas</w:t>
            </w:r>
            <w:r>
              <w:rPr>
                <w:szCs w:val="22"/>
                <w:lang w:eastAsia="lt-LT"/>
              </w:rPr>
              <w:t xml:space="preserve"> (jei taikoma)</w:t>
            </w:r>
            <w:r>
              <w:rPr>
                <w:szCs w:val="22"/>
                <w:lang w:eastAsia="lt-LT"/>
              </w:rPr>
              <w:t>.</w:t>
            </w:r>
          </w:p>
          <w:p w14:paraId="15BD5D74" w14:textId="0A25C85D" w:rsidR="006642A4" w:rsidRPr="002F1ED6" w:rsidRDefault="006642A4" w:rsidP="006642A4">
            <w:pPr>
              <w:widowControl w:val="0"/>
              <w:ind w:left="720"/>
              <w:contextualSpacing/>
              <w:jc w:val="both"/>
              <w:rPr>
                <w:szCs w:val="22"/>
                <w:lang w:eastAsia="lt-LT"/>
              </w:rPr>
            </w:pP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3B25D886" w14:textId="23376FD5" w:rsidR="00A157ED" w:rsidRPr="006B5C78"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3AAD2201" w14:textId="70738DB7" w:rsidR="00D8137B" w:rsidRDefault="00D8137B" w:rsidP="00380255">
                  <w:pPr>
                    <w:widowControl w:val="0"/>
                    <w:rPr>
                      <w:szCs w:val="22"/>
                      <w:lang w:eastAsia="lt-LT"/>
                    </w:rPr>
                  </w:pPr>
                  <w:r w:rsidRPr="006B5C78">
                    <w:rPr>
                      <w:szCs w:val="22"/>
                      <w:lang w:eastAsia="lt-LT"/>
                    </w:rPr>
                    <w:t>Darbų atlikimo terminas</w:t>
                  </w:r>
                </w:p>
                <w:p w14:paraId="0846987C" w14:textId="77777777" w:rsidR="00B30FBA" w:rsidRPr="006B5C78" w:rsidRDefault="00B30FBA" w:rsidP="00380255">
                  <w:pPr>
                    <w:widowControl w:val="0"/>
                    <w:rPr>
                      <w:szCs w:val="22"/>
                      <w:lang w:eastAsia="lt-LT"/>
                    </w:rPr>
                  </w:pP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55C9AA49" w14:textId="75D66650" w:rsidR="00B30FBA" w:rsidRPr="00444989" w:rsidRDefault="00B30FBA" w:rsidP="00380255">
                  <w:pPr>
                    <w:widowControl w:val="0"/>
                    <w:rPr>
                      <w:color w:val="000000" w:themeColor="text1"/>
                      <w:szCs w:val="24"/>
                      <w:lang w:eastAsia="lt-LT"/>
                    </w:rPr>
                  </w:pPr>
                  <w:r w:rsidRPr="00444989">
                    <w:rPr>
                      <w:color w:val="000000" w:themeColor="text1"/>
                      <w:szCs w:val="24"/>
                      <w:lang w:eastAsia="lt-LT"/>
                    </w:rPr>
                    <w:t>Aprašo parengimas:</w:t>
                  </w:r>
                </w:p>
                <w:p w14:paraId="4C74CD52" w14:textId="57B5AF7A" w:rsidR="00B30FBA" w:rsidRPr="00444989" w:rsidRDefault="00B30FBA" w:rsidP="00B30FBA">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60 kalendorinių dienų (nuo sutarties pasirašymo dienos, be statybos leidimo);</w:t>
                  </w:r>
                </w:p>
                <w:p w14:paraId="096F1CA0" w14:textId="6CF84A83" w:rsidR="00444989" w:rsidRPr="00444989" w:rsidRDefault="00444989" w:rsidP="00444989">
                  <w:pPr>
                    <w:ind w:left="360"/>
                    <w:rPr>
                      <w:color w:val="000000" w:themeColor="text1"/>
                      <w:szCs w:val="24"/>
                      <w:lang w:eastAsia="lt-LT"/>
                    </w:rPr>
                  </w:pPr>
                  <w:r w:rsidRPr="00444989">
                    <w:rPr>
                      <w:color w:val="000000" w:themeColor="text1"/>
                      <w:szCs w:val="24"/>
                      <w:lang w:eastAsia="lt-LT"/>
                    </w:rPr>
                    <w:t>Aprašo pataisymai po ekspertizės pastabų atliekamai per 14 dienų.</w:t>
                  </w:r>
                </w:p>
                <w:p w14:paraId="36786159" w14:textId="400A7A08" w:rsidR="00444989" w:rsidRPr="00444989" w:rsidRDefault="00444989" w:rsidP="00444989">
                  <w:pPr>
                    <w:ind w:left="360"/>
                    <w:rPr>
                      <w:color w:val="000000" w:themeColor="text1"/>
                      <w:szCs w:val="24"/>
                      <w:lang w:eastAsia="lt-LT"/>
                    </w:rPr>
                  </w:pPr>
                  <w:r w:rsidRPr="00444989">
                    <w:rPr>
                      <w:color w:val="000000" w:themeColor="text1"/>
                      <w:szCs w:val="24"/>
                      <w:lang w:eastAsia="lt-LT"/>
                    </w:rPr>
                    <w:t>Aprašas (ištaisytas po ekspertų pastabų ir gauto statybos leidimo)</w:t>
                  </w:r>
                </w:p>
                <w:p w14:paraId="5CEA355D" w14:textId="2E53E6A3" w:rsidR="00B30FBA" w:rsidRPr="00444989" w:rsidRDefault="00B30FBA" w:rsidP="00B30FBA">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 xml:space="preserve">90 kalendorinių dienų </w:t>
                  </w:r>
                  <w:r w:rsidR="00FA59B2">
                    <w:rPr>
                      <w:rFonts w:ascii="Times New Roman" w:hAnsi="Times New Roman"/>
                      <w:color w:val="000000" w:themeColor="text1"/>
                      <w:sz w:val="24"/>
                      <w:lang w:eastAsia="lt-LT"/>
                    </w:rPr>
                    <w:t>galutinio</w:t>
                  </w:r>
                  <w:r w:rsidRPr="00444989">
                    <w:rPr>
                      <w:rFonts w:ascii="Times New Roman" w:hAnsi="Times New Roman"/>
                      <w:color w:val="000000" w:themeColor="text1"/>
                      <w:sz w:val="24"/>
                      <w:lang w:eastAsia="lt-LT"/>
                    </w:rPr>
                    <w:t xml:space="preserve"> Aprašo parengimas (statybos leidimo gavimu);</w:t>
                  </w:r>
                </w:p>
                <w:p w14:paraId="48947C74" w14:textId="08650243" w:rsidR="00B30FBA" w:rsidRPr="00444989" w:rsidRDefault="00B30FBA" w:rsidP="00380255">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210 kalendorinių dienų</w:t>
                  </w:r>
                  <w:r w:rsidR="00444989" w:rsidRPr="00444989">
                    <w:rPr>
                      <w:rFonts w:ascii="Times New Roman" w:hAnsi="Times New Roman"/>
                      <w:color w:val="000000" w:themeColor="text1"/>
                      <w:sz w:val="24"/>
                      <w:lang w:eastAsia="lt-LT"/>
                    </w:rPr>
                    <w:t xml:space="preserve"> Rangos darbų atlikimas (nuo sutarties pasirašymo dienos)</w:t>
                  </w: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206C1230" w:rsidR="00D8137B" w:rsidRPr="00EC27E3" w:rsidRDefault="00066176"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nenumatytas</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772CB4" w:rsidRDefault="00D8137B" w:rsidP="00380255">
                  <w:pPr>
                    <w:widowControl w:val="0"/>
                    <w:jc w:val="both"/>
                    <w:rPr>
                      <w:color w:val="000000" w:themeColor="text1"/>
                      <w:szCs w:val="22"/>
                      <w:lang w:eastAsia="lt-LT"/>
                    </w:rPr>
                  </w:pPr>
                  <w:r w:rsidRPr="00772CB4">
                    <w:rPr>
                      <w:color w:val="000000" w:themeColor="text1"/>
                      <w:szCs w:val="22"/>
                      <w:lang w:eastAsia="lt-LT"/>
                    </w:rPr>
                    <w:t xml:space="preserve">10.2 </w:t>
                  </w:r>
                </w:p>
              </w:tc>
              <w:tc>
                <w:tcPr>
                  <w:tcW w:w="4212" w:type="dxa"/>
                </w:tcPr>
                <w:p w14:paraId="40543B2C" w14:textId="77777777" w:rsidR="00D8137B" w:rsidRPr="00772CB4" w:rsidRDefault="00D8137B" w:rsidP="00380255">
                  <w:pPr>
                    <w:widowControl w:val="0"/>
                    <w:rPr>
                      <w:color w:val="000000" w:themeColor="text1"/>
                      <w:szCs w:val="22"/>
                      <w:lang w:eastAsia="lt-LT"/>
                    </w:rPr>
                  </w:pPr>
                  <w:r w:rsidRPr="00772CB4">
                    <w:rPr>
                      <w:color w:val="000000" w:themeColor="text1"/>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 xml:space="preserve">Statybvietė yra perduodama Šalims pasirašant Statybvietės perdavimo ir priėmimo aktą STR 1.06.01:2016 „Statybos darbai. Statinio statybos priežiūra“ nustatyta tvarka. Jeigu Užsakovas šiame punkte nustatyta tvarka laiku neperdavė Statybvietės Rangovui, Rangovas turi teisę </w:t>
            </w:r>
            <w:r w:rsidRPr="006B5C78">
              <w:rPr>
                <w:szCs w:val="22"/>
                <w:lang w:eastAsia="lt-LT"/>
              </w:rPr>
              <w:lastRenderedPageBreak/>
              <w:t>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287B185F" w14:textId="77777777" w:rsidR="00D8137B" w:rsidRDefault="00D8137B" w:rsidP="00D8137B">
            <w:pPr>
              <w:widowControl w:val="0"/>
              <w:numPr>
                <w:ilvl w:val="0"/>
                <w:numId w:val="29"/>
              </w:numPr>
              <w:ind w:left="994" w:hanging="788"/>
              <w:jc w:val="both"/>
              <w:rPr>
                <w:szCs w:val="22"/>
                <w:lang w:eastAsia="lt-LT"/>
              </w:rPr>
            </w:pPr>
            <w:r w:rsidRPr="006B5C78">
              <w:rPr>
                <w:szCs w:val="22"/>
                <w:lang w:eastAsia="lt-LT"/>
              </w:rPr>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w:t>
            </w:r>
            <w:r w:rsidRPr="006B5C78">
              <w:rPr>
                <w:szCs w:val="22"/>
                <w:lang w:eastAsia="lt-LT"/>
              </w:rPr>
              <w:lastRenderedPageBreak/>
              <w:t>veiksmų.</w:t>
            </w:r>
          </w:p>
          <w:p w14:paraId="0A57AF91" w14:textId="77777777" w:rsidR="006202B1" w:rsidRPr="006B5C78" w:rsidRDefault="006202B1" w:rsidP="006202B1">
            <w:pPr>
              <w:widowControl w:val="0"/>
              <w:ind w:left="994"/>
              <w:jc w:val="both"/>
              <w:rPr>
                <w:szCs w:val="22"/>
                <w:lang w:eastAsia="lt-LT"/>
              </w:rPr>
            </w:pP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 xml:space="preserve">konkretūs modeliai, konkretus procesas ar prekės ženklas, patentas, tipas, konkretaus gamintojo ar kilmės Medžiagos, Įranga ar Mechanizmai, galima naudoti analogiškus, ne prastesnių parametrų ir kokybės Medžiagas, </w:t>
            </w:r>
            <w:r w:rsidRPr="006B5C78">
              <w:rPr>
                <w:color w:val="000000"/>
                <w:lang w:eastAsia="lt-LT"/>
              </w:rPr>
              <w:lastRenderedPageBreak/>
              <w:t>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4FD9BB2F" w:rsidR="00D8137B" w:rsidRPr="00FF5E2D" w:rsidRDefault="00D8137B" w:rsidP="00380255">
            <w:pPr>
              <w:widowControl w:val="0"/>
              <w:jc w:val="both"/>
              <w:rPr>
                <w:szCs w:val="24"/>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lastRenderedPageBreak/>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69F51E5" w14:textId="77777777" w:rsidR="00D8137B"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6051746B" w14:textId="77777777" w:rsidR="006202B1" w:rsidRPr="006B5C78" w:rsidRDefault="006202B1" w:rsidP="00380255">
            <w:pPr>
              <w:widowControl w:val="0"/>
              <w:jc w:val="both"/>
              <w:rPr>
                <w:szCs w:val="22"/>
                <w:lang w:eastAsia="lt-LT"/>
              </w:rPr>
            </w:pP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FF5E2D">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FF5E2D">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FF5E2D">
        <w:tc>
          <w:tcPr>
            <w:tcW w:w="741" w:type="dxa"/>
            <w:tcBorders>
              <w:top w:val="nil"/>
              <w:left w:val="nil"/>
              <w:bottom w:val="nil"/>
              <w:right w:val="nil"/>
            </w:tcBorders>
          </w:tcPr>
          <w:p w14:paraId="7CF04979" w14:textId="77777777" w:rsidR="00FF5E2D" w:rsidRDefault="00FF5E2D" w:rsidP="00FF5E2D">
            <w:pPr>
              <w:widowControl w:val="0"/>
              <w:jc w:val="both"/>
              <w:rPr>
                <w:szCs w:val="24"/>
                <w:lang w:eastAsia="lt-LT"/>
              </w:rPr>
            </w:pPr>
            <w:r>
              <w:rPr>
                <w:szCs w:val="24"/>
                <w:lang w:eastAsia="lt-LT"/>
              </w:rPr>
              <w:t>7.3</w:t>
            </w:r>
          </w:p>
          <w:p w14:paraId="18566843" w14:textId="77777777" w:rsidR="00FF5E2D" w:rsidRDefault="00FF5E2D" w:rsidP="00FF5E2D">
            <w:pPr>
              <w:widowControl w:val="0"/>
              <w:jc w:val="both"/>
              <w:rPr>
                <w:szCs w:val="24"/>
                <w:lang w:eastAsia="lt-LT"/>
              </w:rPr>
            </w:pPr>
          </w:p>
          <w:p w14:paraId="51CEAC94" w14:textId="77777777" w:rsidR="00FF5E2D" w:rsidRDefault="00FF5E2D" w:rsidP="00FF5E2D">
            <w:pPr>
              <w:widowControl w:val="0"/>
              <w:jc w:val="both"/>
              <w:rPr>
                <w:szCs w:val="24"/>
                <w:lang w:eastAsia="lt-LT"/>
              </w:rPr>
            </w:pPr>
          </w:p>
          <w:p w14:paraId="500B8D41" w14:textId="77777777" w:rsidR="00FF5E2D" w:rsidRDefault="00FF5E2D" w:rsidP="00FF5E2D">
            <w:pPr>
              <w:widowControl w:val="0"/>
              <w:jc w:val="both"/>
              <w:rPr>
                <w:szCs w:val="24"/>
                <w:lang w:eastAsia="lt-LT"/>
              </w:rPr>
            </w:pPr>
          </w:p>
          <w:p w14:paraId="47F5F28B" w14:textId="00BF9032" w:rsidR="00FF5E2D" w:rsidRDefault="00FF5E2D" w:rsidP="00FF5E2D">
            <w:pPr>
              <w:widowControl w:val="0"/>
              <w:jc w:val="both"/>
              <w:rPr>
                <w:szCs w:val="24"/>
                <w:lang w:eastAsia="lt-LT"/>
              </w:rPr>
            </w:pPr>
            <w:r>
              <w:rPr>
                <w:szCs w:val="24"/>
                <w:lang w:eastAsia="lt-LT"/>
              </w:rPr>
              <w:t>7.4</w:t>
            </w:r>
          </w:p>
          <w:p w14:paraId="6F58C76E" w14:textId="2E273D0A" w:rsidR="00FF5E2D" w:rsidRPr="006B5C78" w:rsidRDefault="00FF5E2D" w:rsidP="00FF5E2D">
            <w:pPr>
              <w:widowControl w:val="0"/>
              <w:jc w:val="both"/>
              <w:rPr>
                <w:szCs w:val="24"/>
                <w:lang w:eastAsia="lt-LT"/>
              </w:rPr>
            </w:pPr>
          </w:p>
        </w:tc>
        <w:tc>
          <w:tcPr>
            <w:tcW w:w="9182" w:type="dxa"/>
            <w:gridSpan w:val="2"/>
            <w:tcBorders>
              <w:top w:val="nil"/>
              <w:left w:val="nil"/>
              <w:bottom w:val="nil"/>
              <w:right w:val="nil"/>
            </w:tcBorders>
          </w:tcPr>
          <w:p w14:paraId="29E940D3" w14:textId="77777777" w:rsidR="00FF5E2D" w:rsidRDefault="00D8137B" w:rsidP="00380255">
            <w:pPr>
              <w:widowControl w:val="0"/>
              <w:jc w:val="both"/>
              <w:rPr>
                <w:szCs w:val="22"/>
                <w:lang w:eastAsia="lt-LT"/>
              </w:rPr>
            </w:pPr>
            <w:r w:rsidRPr="006B5C78">
              <w:rPr>
                <w:szCs w:val="22"/>
                <w:lang w:eastAsia="lt-LT"/>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3BE7C38F" w14:textId="33C86576" w:rsidR="00FF5E2D" w:rsidRPr="006B5C78" w:rsidRDefault="00FF5E2D" w:rsidP="00380255">
            <w:pPr>
              <w:widowControl w:val="0"/>
              <w:jc w:val="both"/>
              <w:rPr>
                <w:szCs w:val="22"/>
                <w:lang w:eastAsia="lt-LT"/>
              </w:rPr>
            </w:pPr>
            <w:r w:rsidRPr="006B5C78">
              <w:rPr>
                <w:szCs w:val="22"/>
                <w:lang w:eastAsia="lt-LT"/>
              </w:rPr>
              <w:t xml:space="preserve">Rangovas iki </w:t>
            </w:r>
            <w:r>
              <w:rPr>
                <w:szCs w:val="22"/>
                <w:lang w:eastAsia="lt-LT"/>
              </w:rPr>
              <w:t xml:space="preserve">pirmo </w:t>
            </w:r>
            <w:r w:rsidRPr="006B5C78">
              <w:rPr>
                <w:szCs w:val="22"/>
                <w:lang w:eastAsia="lt-LT"/>
              </w:rPr>
              <w:t>Darbų perdavimo-priėmimo akto</w:t>
            </w:r>
            <w:r>
              <w:rPr>
                <w:szCs w:val="22"/>
                <w:lang w:eastAsia="lt-LT"/>
              </w:rPr>
              <w:t xml:space="preserve"> privalo pateikti darbų kiekių žiniaraščius.</w:t>
            </w:r>
          </w:p>
        </w:tc>
      </w:tr>
      <w:tr w:rsidR="00D8137B" w:rsidRPr="006B5C78" w14:paraId="2703037C" w14:textId="77777777" w:rsidTr="00FF5E2D">
        <w:tc>
          <w:tcPr>
            <w:tcW w:w="741" w:type="dxa"/>
            <w:tcBorders>
              <w:top w:val="nil"/>
              <w:left w:val="nil"/>
              <w:bottom w:val="nil"/>
              <w:right w:val="nil"/>
            </w:tcBorders>
          </w:tcPr>
          <w:p w14:paraId="2C3512C8" w14:textId="77777777" w:rsidR="00D8137B" w:rsidRPr="006B5C78" w:rsidRDefault="00D8137B" w:rsidP="00FF5E2D">
            <w:pPr>
              <w:widowControl w:val="0"/>
              <w:numPr>
                <w:ilvl w:val="0"/>
                <w:numId w:val="39"/>
              </w:numPr>
              <w:rPr>
                <w:szCs w:val="24"/>
                <w:lang w:eastAsia="lt-LT"/>
              </w:rPr>
            </w:pPr>
          </w:p>
        </w:tc>
        <w:tc>
          <w:tcPr>
            <w:tcW w:w="9182" w:type="dxa"/>
            <w:gridSpan w:val="2"/>
            <w:tcBorders>
              <w:top w:val="nil"/>
              <w:left w:val="nil"/>
              <w:bottom w:val="nil"/>
              <w:right w:val="nil"/>
            </w:tcBorders>
          </w:tcPr>
          <w:p w14:paraId="0B1E5DD9" w14:textId="2DDD4A9E" w:rsidR="00D8137B" w:rsidRPr="006B5C78" w:rsidRDefault="00D8137B" w:rsidP="00FF5E2D">
            <w:pPr>
              <w:widowControl w:val="0"/>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w:t>
            </w:r>
            <w:r w:rsidRPr="006B5C78">
              <w:rPr>
                <w:szCs w:val="22"/>
                <w:lang w:eastAsia="lt-LT"/>
              </w:rPr>
              <w:lastRenderedPageBreak/>
              <w:t xml:space="preserve">apžiūrėti, skirti būtiną reikalingą transportą bei specialią aprangą, pateikti statinio statybos dokumentaciją. </w:t>
            </w:r>
          </w:p>
        </w:tc>
      </w:tr>
      <w:tr w:rsidR="00D8137B" w:rsidRPr="006B5C78" w14:paraId="1A041007" w14:textId="77777777" w:rsidTr="00FF5E2D">
        <w:tc>
          <w:tcPr>
            <w:tcW w:w="741" w:type="dxa"/>
            <w:tcBorders>
              <w:top w:val="nil"/>
              <w:left w:val="nil"/>
              <w:bottom w:val="nil"/>
              <w:right w:val="nil"/>
            </w:tcBorders>
          </w:tcPr>
          <w:p w14:paraId="39A9619F"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221CDA4A" w14:textId="77777777" w:rsidR="00D8137B" w:rsidRDefault="00D8137B" w:rsidP="00380255">
            <w:pPr>
              <w:widowControl w:val="0"/>
              <w:jc w:val="both"/>
              <w:rPr>
                <w:szCs w:val="22"/>
                <w:lang w:eastAsia="lt-LT"/>
              </w:rPr>
            </w:pPr>
            <w:r w:rsidRPr="006B5C78">
              <w:rPr>
                <w:szCs w:val="22"/>
                <w:lang w:eastAsia="lt-LT"/>
              </w:rPr>
              <w:t>Statybos pabaiga bus laikomas momentas, kai bus ištaisyti defektai (jei reikia) ir Užsakovo surašyta Deklaracija apie statybos užbaigimą, bei Užsakovui bus perduoti visi su statybos užbaigimu susiję dokumentai, kuriuos privalo saugoti Užsakovas.</w:t>
            </w:r>
          </w:p>
          <w:p w14:paraId="7F931D70" w14:textId="29156A07" w:rsidR="006202B1" w:rsidRPr="006B5C78" w:rsidRDefault="006202B1"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w:t>
            </w:r>
            <w:r w:rsidRPr="006B5C78">
              <w:rPr>
                <w:szCs w:val="22"/>
                <w:lang w:eastAsia="lt-LT"/>
              </w:rPr>
              <w:lastRenderedPageBreak/>
              <w:t xml:space="preserve">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772CB4">
            <w:pPr>
              <w:widowControl w:val="0"/>
              <w:ind w:left="571"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32225739"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32225740"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32225741"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32225742"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32225743"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 xml:space="preserve">Darbų kaina pagal bendro kainų lygio kitimą ar darbų grupių kainų pokyčius </w:t>
            </w:r>
            <w:r w:rsidRPr="007D6427">
              <w:rPr>
                <w:szCs w:val="24"/>
              </w:rPr>
              <w:lastRenderedPageBreak/>
              <w:t>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5B62D60E" w14:textId="77777777" w:rsidR="00772CB4" w:rsidRDefault="00772CB4" w:rsidP="00380255">
            <w:pPr>
              <w:widowControl w:val="0"/>
              <w:ind w:left="1082" w:hanging="360"/>
              <w:jc w:val="center"/>
              <w:rPr>
                <w:b/>
                <w:szCs w:val="22"/>
                <w:lang w:eastAsia="lt-LT"/>
              </w:rPr>
            </w:pPr>
          </w:p>
          <w:p w14:paraId="0ADA3D7F" w14:textId="77777777" w:rsidR="00772CB4" w:rsidRDefault="00772CB4" w:rsidP="00380255">
            <w:pPr>
              <w:widowControl w:val="0"/>
              <w:ind w:left="1082" w:hanging="360"/>
              <w:jc w:val="center"/>
              <w:rPr>
                <w:b/>
                <w:szCs w:val="22"/>
                <w:lang w:eastAsia="lt-LT"/>
              </w:rPr>
            </w:pPr>
          </w:p>
          <w:p w14:paraId="537CA4F2" w14:textId="77777777" w:rsidR="00772CB4" w:rsidRDefault="00772CB4" w:rsidP="00380255">
            <w:pPr>
              <w:widowControl w:val="0"/>
              <w:ind w:left="1082" w:hanging="360"/>
              <w:jc w:val="center"/>
              <w:rPr>
                <w:b/>
                <w:szCs w:val="22"/>
                <w:lang w:eastAsia="lt-LT"/>
              </w:rPr>
            </w:pPr>
          </w:p>
          <w:p w14:paraId="04B6E2B3" w14:textId="7175E91B"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w:t>
            </w:r>
            <w:r w:rsidRPr="006B5C78">
              <w:rPr>
                <w:szCs w:val="22"/>
                <w:lang w:eastAsia="lt-LT"/>
              </w:rPr>
              <w:lastRenderedPageBreak/>
              <w:t xml:space="preserve">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lastRenderedPageBreak/>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w:t>
            </w:r>
            <w:r w:rsidRPr="006B5C78">
              <w:rPr>
                <w:szCs w:val="22"/>
                <w:lang w:eastAsia="lt-LT"/>
              </w:rPr>
              <w:lastRenderedPageBreak/>
              <w:t>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0A427BE1"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01F4E910" w:rsidR="00D8137B" w:rsidRPr="002378FE" w:rsidRDefault="00D8137B" w:rsidP="00380255">
            <w:pPr>
              <w:widowControl w:val="0"/>
            </w:pPr>
            <w:proofErr w:type="spellStart"/>
            <w:r w:rsidRPr="002378FE">
              <w:t>a.s</w:t>
            </w:r>
            <w:proofErr w:type="spellEnd"/>
            <w:r>
              <w:t>.</w:t>
            </w:r>
            <w:r w:rsidRPr="002378FE">
              <w:t xml:space="preserve"> LT</w:t>
            </w:r>
            <w:r w:rsidR="009645E3">
              <w:t>74 4010 0510 0434 5343</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4F4DBE4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0728B4DF"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sidR="0049090D">
        <w:rPr>
          <w:sz w:val="22"/>
          <w:szCs w:val="24"/>
          <w:lang w:eastAsia="lt-LT"/>
        </w:rPr>
        <w:t>3</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lastRenderedPageBreak/>
        <w:t xml:space="preserve">202__ m. __________ d. rangos </w:t>
      </w:r>
    </w:p>
    <w:p w14:paraId="3973ECC0" w14:textId="3829646C"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sidR="0049090D">
        <w:rPr>
          <w:sz w:val="22"/>
          <w:szCs w:val="24"/>
          <w:lang w:eastAsia="lt-LT"/>
        </w:rPr>
        <w:t>4</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bookmarkEnd w:id="0"/>
    </w:tbl>
    <w:p w14:paraId="640BB1FE" w14:textId="3108ED90" w:rsidR="0049090D" w:rsidRPr="002C4A46" w:rsidRDefault="0049090D" w:rsidP="00501D42">
      <w:pPr>
        <w:pStyle w:val="Antrat2"/>
        <w:spacing w:before="0"/>
        <w:rPr>
          <w:sz w:val="22"/>
          <w:szCs w:val="22"/>
          <w:lang w:val="x-none"/>
        </w:rPr>
      </w:pPr>
    </w:p>
    <w:sectPr w:rsidR="0049090D" w:rsidRPr="002C4A46" w:rsidSect="00501D42">
      <w:headerReference w:type="default" r:id="rId18"/>
      <w:footerReference w:type="even" r:id="rId19"/>
      <w:footerReference w:type="default" r:id="rId20"/>
      <w:pgSz w:w="11907" w:h="16840" w:code="9"/>
      <w:pgMar w:top="425" w:right="709"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DA78FB"/>
    <w:multiLevelType w:val="hybridMultilevel"/>
    <w:tmpl w:val="1338CC20"/>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86B00AA"/>
    <w:multiLevelType w:val="hybridMultilevel"/>
    <w:tmpl w:val="3BD244BA"/>
    <w:lvl w:ilvl="0" w:tplc="F02E9ED0">
      <w:start w:val="5"/>
      <w:numFmt w:val="decimal"/>
      <w:lvlText w:val="7.%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2"/>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8"/>
  </w:num>
  <w:num w:numId="12" w16cid:durableId="1388256630">
    <w:abstractNumId w:val="17"/>
  </w:num>
  <w:num w:numId="13" w16cid:durableId="1756510029">
    <w:abstractNumId w:val="27"/>
  </w:num>
  <w:num w:numId="14" w16cid:durableId="960650965">
    <w:abstractNumId w:val="31"/>
  </w:num>
  <w:num w:numId="15" w16cid:durableId="1232698000">
    <w:abstractNumId w:val="36"/>
  </w:num>
  <w:num w:numId="16" w16cid:durableId="694161922">
    <w:abstractNumId w:val="7"/>
  </w:num>
  <w:num w:numId="17" w16cid:durableId="163513285">
    <w:abstractNumId w:val="34"/>
  </w:num>
  <w:num w:numId="18" w16cid:durableId="1149127152">
    <w:abstractNumId w:val="16"/>
  </w:num>
  <w:num w:numId="19" w16cid:durableId="1018850576">
    <w:abstractNumId w:val="0"/>
  </w:num>
  <w:num w:numId="20" w16cid:durableId="1483622815">
    <w:abstractNumId w:val="23"/>
  </w:num>
  <w:num w:numId="21" w16cid:durableId="171340353">
    <w:abstractNumId w:val="6"/>
  </w:num>
  <w:num w:numId="22" w16cid:durableId="1793858532">
    <w:abstractNumId w:val="35"/>
  </w:num>
  <w:num w:numId="23" w16cid:durableId="1446542180">
    <w:abstractNumId w:val="38"/>
  </w:num>
  <w:num w:numId="24" w16cid:durableId="2026054524">
    <w:abstractNumId w:val="25"/>
  </w:num>
  <w:num w:numId="25" w16cid:durableId="48313104">
    <w:abstractNumId w:val="19"/>
  </w:num>
  <w:num w:numId="26" w16cid:durableId="847670665">
    <w:abstractNumId w:val="29"/>
  </w:num>
  <w:num w:numId="27" w16cid:durableId="1947468493">
    <w:abstractNumId w:val="30"/>
  </w:num>
  <w:num w:numId="28" w16cid:durableId="788474984">
    <w:abstractNumId w:val="26"/>
  </w:num>
  <w:num w:numId="29" w16cid:durableId="1014068125">
    <w:abstractNumId w:val="9"/>
  </w:num>
  <w:num w:numId="30" w16cid:durableId="312374026">
    <w:abstractNumId w:val="33"/>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4"/>
  </w:num>
  <w:num w:numId="38" w16cid:durableId="852299561">
    <w:abstractNumId w:val="22"/>
  </w:num>
  <w:num w:numId="39" w16cid:durableId="443619595">
    <w:abstractNumId w:val="37"/>
  </w:num>
  <w:num w:numId="40" w16cid:durableId="20751980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07D03"/>
    <w:rsid w:val="0001215E"/>
    <w:rsid w:val="00042C6A"/>
    <w:rsid w:val="00066176"/>
    <w:rsid w:val="000B3A12"/>
    <w:rsid w:val="000B5FCF"/>
    <w:rsid w:val="000C36E2"/>
    <w:rsid w:val="000F2EF4"/>
    <w:rsid w:val="0017748F"/>
    <w:rsid w:val="001B00D5"/>
    <w:rsid w:val="001B0693"/>
    <w:rsid w:val="001F13D8"/>
    <w:rsid w:val="00201B6D"/>
    <w:rsid w:val="00201DF7"/>
    <w:rsid w:val="00241D85"/>
    <w:rsid w:val="00242DC2"/>
    <w:rsid w:val="00273E85"/>
    <w:rsid w:val="00284668"/>
    <w:rsid w:val="002C2A6E"/>
    <w:rsid w:val="002C2E85"/>
    <w:rsid w:val="002F1ED6"/>
    <w:rsid w:val="0030166F"/>
    <w:rsid w:val="00397EF4"/>
    <w:rsid w:val="003A53DD"/>
    <w:rsid w:val="003F7155"/>
    <w:rsid w:val="00422844"/>
    <w:rsid w:val="00444989"/>
    <w:rsid w:val="004864ED"/>
    <w:rsid w:val="0049090D"/>
    <w:rsid w:val="004B0D0F"/>
    <w:rsid w:val="004C0445"/>
    <w:rsid w:val="00501D42"/>
    <w:rsid w:val="00514C1E"/>
    <w:rsid w:val="0054560D"/>
    <w:rsid w:val="00555B8D"/>
    <w:rsid w:val="0057406F"/>
    <w:rsid w:val="005C6957"/>
    <w:rsid w:val="006202B1"/>
    <w:rsid w:val="00620C3B"/>
    <w:rsid w:val="0062422D"/>
    <w:rsid w:val="006642A4"/>
    <w:rsid w:val="00686791"/>
    <w:rsid w:val="006B0B81"/>
    <w:rsid w:val="00722477"/>
    <w:rsid w:val="00772CB4"/>
    <w:rsid w:val="007B7EAA"/>
    <w:rsid w:val="00802F08"/>
    <w:rsid w:val="008170BA"/>
    <w:rsid w:val="0085168F"/>
    <w:rsid w:val="008656F7"/>
    <w:rsid w:val="00897D79"/>
    <w:rsid w:val="009645E3"/>
    <w:rsid w:val="009A47FC"/>
    <w:rsid w:val="009A55BD"/>
    <w:rsid w:val="00A157ED"/>
    <w:rsid w:val="00A2310D"/>
    <w:rsid w:val="00A44449"/>
    <w:rsid w:val="00A4570F"/>
    <w:rsid w:val="00A71A51"/>
    <w:rsid w:val="00B30FBA"/>
    <w:rsid w:val="00B32B8F"/>
    <w:rsid w:val="00BA3C29"/>
    <w:rsid w:val="00BB0DD3"/>
    <w:rsid w:val="00BB1BCD"/>
    <w:rsid w:val="00BC125E"/>
    <w:rsid w:val="00BE2222"/>
    <w:rsid w:val="00C179C1"/>
    <w:rsid w:val="00C36363"/>
    <w:rsid w:val="00CA56F9"/>
    <w:rsid w:val="00CE595B"/>
    <w:rsid w:val="00D66F1D"/>
    <w:rsid w:val="00D80B79"/>
    <w:rsid w:val="00D8137B"/>
    <w:rsid w:val="00D87FB6"/>
    <w:rsid w:val="00DF5364"/>
    <w:rsid w:val="00DF5F7B"/>
    <w:rsid w:val="00E3123F"/>
    <w:rsid w:val="00E919A1"/>
    <w:rsid w:val="00E92696"/>
    <w:rsid w:val="00EC27E3"/>
    <w:rsid w:val="00EF7845"/>
    <w:rsid w:val="00F04777"/>
    <w:rsid w:val="00F15E3E"/>
    <w:rsid w:val="00FA59B2"/>
    <w:rsid w:val="00FF5E2D"/>
    <w:rsid w:val="00FF6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aliases w:val="Title Header2"/>
    <w:basedOn w:val="prastasis"/>
    <w:next w:val="prastasis"/>
    <w:link w:val="Antrat2Diagrama"/>
    <w:unhideWhenUsed/>
    <w:qFormat/>
    <w:rsid w:val="0049090D"/>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 w:type="character" w:customStyle="1" w:styleId="Antrat2Diagrama">
    <w:name w:val="Antraštė 2 Diagrama"/>
    <w:aliases w:val="Title Header2 Diagrama"/>
    <w:basedOn w:val="Numatytasispastraiposriftas"/>
    <w:link w:val="Antrat2"/>
    <w:rsid w:val="0049090D"/>
    <w:rPr>
      <w:rFonts w:asciiTheme="majorHAnsi" w:eastAsiaTheme="majorEastAsia" w:hAnsiTheme="majorHAnsi" w:cstheme="majorBidi"/>
      <w:color w:val="2F5496" w:themeColor="accent1" w:themeShade="BF"/>
      <w:kern w:val="0"/>
      <w:sz w:val="32"/>
      <w:szCs w:val="32"/>
      <w:lang w:eastAsia="lt-LT"/>
      <w14:ligatures w14:val="none"/>
    </w:rPr>
  </w:style>
  <w:style w:type="character" w:styleId="Komentaronuoroda">
    <w:name w:val="annotation reference"/>
    <w:basedOn w:val="Numatytasispastraiposriftas"/>
    <w:uiPriority w:val="99"/>
    <w:semiHidden/>
    <w:unhideWhenUsed/>
    <w:rsid w:val="00501D42"/>
    <w:rPr>
      <w:sz w:val="16"/>
      <w:szCs w:val="16"/>
    </w:rPr>
  </w:style>
  <w:style w:type="paragraph" w:styleId="Komentarotekstas">
    <w:name w:val="annotation text"/>
    <w:basedOn w:val="prastasis"/>
    <w:link w:val="KomentarotekstasDiagrama"/>
    <w:uiPriority w:val="99"/>
    <w:semiHidden/>
    <w:unhideWhenUsed/>
    <w:rsid w:val="00501D42"/>
    <w:rPr>
      <w:sz w:val="20"/>
    </w:rPr>
  </w:style>
  <w:style w:type="character" w:customStyle="1" w:styleId="KomentarotekstasDiagrama">
    <w:name w:val="Komentaro tekstas Diagrama"/>
    <w:basedOn w:val="Numatytasispastraiposriftas"/>
    <w:link w:val="Komentarotekstas"/>
    <w:uiPriority w:val="99"/>
    <w:semiHidden/>
    <w:rsid w:val="00501D4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01D42"/>
    <w:rPr>
      <w:b/>
      <w:bCs/>
    </w:rPr>
  </w:style>
  <w:style w:type="character" w:customStyle="1" w:styleId="KomentarotemaDiagrama">
    <w:name w:val="Komentaro tema Diagrama"/>
    <w:basedOn w:val="KomentarotekstasDiagrama"/>
    <w:link w:val="Komentarotema"/>
    <w:uiPriority w:val="99"/>
    <w:semiHidden/>
    <w:rsid w:val="00501D4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15</Pages>
  <Words>32647</Words>
  <Characters>18610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Aistė Petrulienė</cp:lastModifiedBy>
  <cp:revision>38</cp:revision>
  <dcterms:created xsi:type="dcterms:W3CDTF">2025-01-14T15:48:00Z</dcterms:created>
  <dcterms:modified xsi:type="dcterms:W3CDTF">2026-02-10T08:49:00Z</dcterms:modified>
</cp:coreProperties>
</file>