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D929" w14:textId="697DFAEB" w:rsidR="0081019B" w:rsidRPr="0081019B" w:rsidRDefault="00254F4A" w:rsidP="0081019B">
      <w:pPr>
        <w:tabs>
          <w:tab w:val="left" w:pos="5812"/>
          <w:tab w:val="left" w:pos="5954"/>
          <w:tab w:val="left" w:pos="6096"/>
          <w:tab w:val="left" w:pos="6237"/>
          <w:tab w:val="left" w:pos="6521"/>
        </w:tabs>
        <w:suppressAutoHyphens/>
        <w:autoSpaceDN w:val="0"/>
        <w:spacing w:after="0" w:line="240" w:lineRule="auto"/>
        <w:ind w:firstLine="486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smallCaps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>Pirkimo sąlygų</w:t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  <w:t>2 priedas</w:t>
      </w:r>
    </w:p>
    <w:p w14:paraId="4DD1B51E" w14:textId="5F496E94" w:rsidR="00AF168C" w:rsidRDefault="0081019B" w:rsidP="0081019B">
      <w:pPr>
        <w:tabs>
          <w:tab w:val="left" w:pos="5812"/>
          <w:tab w:val="left" w:pos="5954"/>
          <w:tab w:val="left" w:pos="6096"/>
          <w:tab w:val="left" w:pos="6237"/>
          <w:tab w:val="left" w:pos="6521"/>
        </w:tabs>
        <w:suppressAutoHyphens/>
        <w:autoSpaceDN w:val="0"/>
        <w:spacing w:after="0" w:line="240" w:lineRule="auto"/>
        <w:ind w:firstLine="486"/>
        <w:textAlignment w:val="baseline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81019B">
        <w:rPr>
          <w:rFonts w:ascii="Times New Roman" w:eastAsia="Times New Roman" w:hAnsi="Times New Roman" w:cs="Times New Roman"/>
          <w:kern w:val="0"/>
          <w14:ligatures w14:val="none"/>
        </w:rPr>
        <w:tab/>
        <w:t>Techninė specifikacija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9F0E349" w14:textId="77777777" w:rsidR="00AF168C" w:rsidRPr="00EA75F3" w:rsidRDefault="00AF168C" w:rsidP="00AF168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bCs/>
          <w:caps/>
          <w:smallCaps/>
          <w:kern w:val="0"/>
          <w14:ligatures w14:val="none"/>
        </w:rPr>
      </w:pPr>
    </w:p>
    <w:p w14:paraId="11337BF2" w14:textId="77777777" w:rsidR="00EA75F3" w:rsidRPr="00EA75F3" w:rsidRDefault="00EA75F3" w:rsidP="00AF168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 Bold" w:hAnsi="Times New Roman Bold" w:cs="Times New Roman"/>
          <w:b/>
          <w:bCs/>
          <w:caps/>
          <w:color w:val="555555"/>
          <w:shd w:val="clear" w:color="auto" w:fill="FFFFFF"/>
        </w:rPr>
      </w:pPr>
      <w:r w:rsidRPr="00EA75F3">
        <w:rPr>
          <w:rFonts w:ascii="Times New Roman Bold" w:hAnsi="Times New Roman Bold" w:cs="Times New Roman"/>
          <w:b/>
          <w:bCs/>
          <w:caps/>
          <w:color w:val="555555"/>
          <w:shd w:val="clear" w:color="auto" w:fill="FFFFFF"/>
        </w:rPr>
        <w:t>Priešgaisrinės signalizacijos sistemų priežiūros paslaugos</w:t>
      </w:r>
    </w:p>
    <w:p w14:paraId="3A5209C6" w14:textId="04C19310" w:rsidR="00AF168C" w:rsidRDefault="00AF168C" w:rsidP="00AF168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kern w:val="0"/>
          <w:highlight w:val="white"/>
          <w14:ligatures w14:val="none"/>
        </w:rPr>
      </w:pPr>
      <w:r w:rsidRPr="00AF168C">
        <w:rPr>
          <w:rFonts w:ascii="Times New Roman" w:eastAsia="Times New Roman" w:hAnsi="Times New Roman" w:cs="Times New Roman"/>
          <w:b/>
          <w:smallCaps/>
          <w:kern w:val="0"/>
          <w:highlight w:val="white"/>
          <w14:ligatures w14:val="none"/>
        </w:rPr>
        <w:t>TECHNINĖ SPECIFIKACIJA</w:t>
      </w:r>
    </w:p>
    <w:p w14:paraId="707E41ED" w14:textId="77777777" w:rsidR="005531C5" w:rsidRPr="005531C5" w:rsidRDefault="005531C5" w:rsidP="005531C5">
      <w:pPr>
        <w:jc w:val="both"/>
        <w:rPr>
          <w:rFonts w:ascii="Times New Roman" w:hAnsi="Times New Roman" w:cs="Times New Roman"/>
          <w:sz w:val="22"/>
          <w:szCs w:val="22"/>
        </w:rPr>
      </w:pPr>
      <w:r w:rsidRPr="005531C5">
        <w:rPr>
          <w:rFonts w:ascii="Times New Roman" w:hAnsi="Times New Roman" w:cs="Times New Roman"/>
          <w:sz w:val="22"/>
          <w:szCs w:val="22"/>
        </w:rPr>
        <w:t>Apsaugos ir gaisrinės signalizacijos, patalpų apsaugos sistemų įrangos patikrinimo, techninės profilaktikos, techninio aptarnavimo, gedimų šalinimo paslaugos 36 mėnesių laikotarpiui.</w:t>
      </w:r>
    </w:p>
    <w:p w14:paraId="36B41EE7" w14:textId="404FD2A0" w:rsidR="005531C5" w:rsidRPr="005531C5" w:rsidRDefault="005531C5" w:rsidP="005531C5">
      <w:pPr>
        <w:jc w:val="both"/>
        <w:rPr>
          <w:rFonts w:ascii="Times New Roman" w:hAnsi="Times New Roman" w:cs="Times New Roman"/>
          <w:sz w:val="22"/>
          <w:szCs w:val="22"/>
        </w:rPr>
      </w:pPr>
      <w:r w:rsidRPr="005531C5">
        <w:rPr>
          <w:rFonts w:ascii="Times New Roman" w:hAnsi="Times New Roman" w:cs="Times New Roman"/>
          <w:sz w:val="22"/>
          <w:szCs w:val="22"/>
        </w:rPr>
        <w:t xml:space="preserve">Prižiūrimo objekto </w:t>
      </w:r>
      <w:r>
        <w:rPr>
          <w:rFonts w:ascii="Times New Roman" w:hAnsi="Times New Roman" w:cs="Times New Roman"/>
          <w:sz w:val="22"/>
          <w:szCs w:val="22"/>
        </w:rPr>
        <w:t xml:space="preserve">pagrindinis </w:t>
      </w:r>
      <w:r w:rsidRPr="005531C5">
        <w:rPr>
          <w:rFonts w:ascii="Times New Roman" w:hAnsi="Times New Roman" w:cs="Times New Roman"/>
          <w:sz w:val="22"/>
          <w:szCs w:val="22"/>
        </w:rPr>
        <w:t>adresas: Prūdiškių g. 59, Prūdiškių k., Vilniaus r.</w:t>
      </w:r>
    </w:p>
    <w:p w14:paraId="37125CDC" w14:textId="77777777" w:rsidR="005531C5" w:rsidRPr="005531C5" w:rsidRDefault="005531C5" w:rsidP="005531C5">
      <w:pPr>
        <w:jc w:val="both"/>
        <w:rPr>
          <w:rFonts w:ascii="Times New Roman" w:hAnsi="Times New Roman" w:cs="Times New Roman"/>
          <w:sz w:val="22"/>
          <w:szCs w:val="22"/>
        </w:rPr>
      </w:pPr>
      <w:r w:rsidRPr="005531C5">
        <w:rPr>
          <w:rFonts w:ascii="Times New Roman" w:hAnsi="Times New Roman" w:cs="Times New Roman"/>
          <w:sz w:val="22"/>
          <w:szCs w:val="22"/>
        </w:rPr>
        <w:t>Techninis aptarnavimas atliekamas laikantis iš anksto sudaryto grafiko, 1 kartą per mėnesį.</w:t>
      </w:r>
    </w:p>
    <w:p w14:paraId="504564A1" w14:textId="77777777" w:rsidR="005531C5" w:rsidRDefault="005531C5" w:rsidP="005531C5">
      <w:pPr>
        <w:jc w:val="both"/>
        <w:rPr>
          <w:rFonts w:ascii="Times New Roman" w:hAnsi="Times New Roman" w:cs="Times New Roman"/>
          <w:sz w:val="22"/>
          <w:szCs w:val="22"/>
        </w:rPr>
      </w:pPr>
      <w:r w:rsidRPr="005531C5">
        <w:rPr>
          <w:rFonts w:ascii="Times New Roman" w:hAnsi="Times New Roman" w:cs="Times New Roman"/>
          <w:sz w:val="22"/>
          <w:szCs w:val="22"/>
        </w:rPr>
        <w:t xml:space="preserve">Jei patikrinimo metu nustatoma, kad reikalingas remontas, </w:t>
      </w:r>
      <w:r>
        <w:rPr>
          <w:rFonts w:ascii="Times New Roman" w:hAnsi="Times New Roman" w:cs="Times New Roman"/>
          <w:sz w:val="22"/>
          <w:szCs w:val="22"/>
        </w:rPr>
        <w:t xml:space="preserve">tiekėjas pateikia gedimo aprašymą su remonto sąmatą. Perkančioji organizacija atlieka papildomas viešųjų prkimų procedūras ir </w:t>
      </w:r>
      <w:r w:rsidRPr="005531C5">
        <w:rPr>
          <w:rFonts w:ascii="Times New Roman" w:hAnsi="Times New Roman" w:cs="Times New Roman"/>
          <w:sz w:val="22"/>
          <w:szCs w:val="22"/>
        </w:rPr>
        <w:t xml:space="preserve">už paslaugas ir medžiagas sumokama </w:t>
      </w:r>
      <w:r>
        <w:rPr>
          <w:rFonts w:ascii="Times New Roman" w:hAnsi="Times New Roman" w:cs="Times New Roman"/>
          <w:sz w:val="22"/>
          <w:szCs w:val="22"/>
        </w:rPr>
        <w:t>ekonomiškai naudingiausią pasiūlymą pateikusiam Tiekėjui.</w:t>
      </w:r>
    </w:p>
    <w:p w14:paraId="2259938A" w14:textId="5F9ACA07" w:rsidR="005531C5" w:rsidRPr="005531C5" w:rsidRDefault="005531C5" w:rsidP="005531C5">
      <w:pPr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5531C5">
        <w:rPr>
          <w:rFonts w:ascii="Times New Roman" w:hAnsi="Times New Roman" w:cs="Times New Roman"/>
          <w:sz w:val="22"/>
          <w:szCs w:val="22"/>
        </w:rPr>
        <w:t>Apsaugos ir gaisrinės signalizacijos sistemos ir prižiūrimos įrangos kiekis</w:t>
      </w:r>
      <w:r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5511"/>
        <w:gridCol w:w="1129"/>
        <w:gridCol w:w="2536"/>
      </w:tblGrid>
      <w:tr w:rsidR="00EA75F3" w:rsidRPr="00EA75F3" w14:paraId="464F1E7F" w14:textId="77777777" w:rsidTr="0044604C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247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5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22F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Įrangos techninio aptarnavimo darbai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B5A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Mato vnt.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740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Prižiūrimos įrangos kiekis</w:t>
            </w:r>
          </w:p>
        </w:tc>
      </w:tr>
      <w:tr w:rsidR="00EA75F3" w:rsidRPr="00EA75F3" w14:paraId="4EBAE63F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BDB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C53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Gyvenamas korpusas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772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87B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2F357F23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E16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9A3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Gaisro signalizacijos sistema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046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DE7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6895583B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22C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1310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Centralė PC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3B8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A269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6098D7F5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6B137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6665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Dūmų davikliai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FB3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6F77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</w:tc>
      </w:tr>
      <w:tr w:rsidR="00EA75F3" w:rsidRPr="00EA75F3" w14:paraId="324AF5FE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C6E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0073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Gaisro pavojaus mygtukai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4400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B702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EA75F3" w:rsidRPr="00EA75F3" w14:paraId="47773FF7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D92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A83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Apsauginė signalizacija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49E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560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3C7A4B22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AF90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F012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Centralė PC (vaistų sandėlis)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A45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F06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629BBC0B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2068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1371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Judesio daviklis (vaistų sandėlis)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B1D7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4C2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A75F3" w:rsidRPr="00EA75F3" w14:paraId="0E90871D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9F05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5836F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Magnetinis kontaktas (vaistų sandėlis)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06A7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F988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2141E7B2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198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5B5D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Centralė PC 16 zonų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E58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AD8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38DACB11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5999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3CCA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Judesio daviklis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F51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2A6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EA75F3" w:rsidRPr="00EA75F3" w14:paraId="3B1FFA16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205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A424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Magnetinis kontaktas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EBC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A81C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EA75F3" w:rsidRPr="00EA75F3" w14:paraId="2B944228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F58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5C0F" w14:textId="77777777" w:rsidR="00EA75F3" w:rsidRPr="00EA75F3" w:rsidRDefault="00EA75F3" w:rsidP="00EA75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Viso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918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C47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77B8E0B8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B718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F074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Valgykla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4C6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456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352D11DC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F96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3A0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Gaisro signalizacijos sistema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660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FC1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4E32E5D1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FE2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518B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Centralė PC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3BD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0BD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737FDE3D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562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1A841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Dūmų davikliai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B06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B999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EA75F3" w:rsidRPr="00EA75F3" w14:paraId="15BB9DDC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DC6C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29BD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Temperatūriniai davikliai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1E0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Vnt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37B9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45</w:t>
            </w:r>
          </w:p>
        </w:tc>
      </w:tr>
      <w:tr w:rsidR="00EA75F3" w:rsidRPr="00EA75F3" w14:paraId="7CC34B3E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B8B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3739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Gaisro pavojaus mygtukai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7C9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B9D6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EA75F3" w:rsidRPr="00EA75F3" w14:paraId="757FC84D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71E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5F7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Apsauginė signalizacija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58A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E58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43253884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198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04B7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Centralė PC 16 zonų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D4E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1F8C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385BAA1C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072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5B66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Judesio daviklis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2CC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Vnt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278A8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EA75F3" w:rsidRPr="00EA75F3" w14:paraId="5957016B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CF49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F890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Magnetinis kontaktas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98C5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ED1C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EA75F3" w:rsidRPr="00EA75F3" w14:paraId="04101C02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5330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592A" w14:textId="77777777" w:rsidR="00EA75F3" w:rsidRPr="00EA75F3" w:rsidRDefault="00EA75F3" w:rsidP="00EA75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Viso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7C7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DE9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206AEFE4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2C9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III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F7E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Gevenamas korpusas (senas)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B73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297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72FD4CBC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AFF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115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Gaisro signalizacijos sistema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E71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FE7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04A06808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ADE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4479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Centralė gaisrinė BENTEL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896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D3900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3D1CB496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A2C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2B52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Dūmų davikliai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2B4C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A417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42</w:t>
            </w:r>
          </w:p>
        </w:tc>
      </w:tr>
      <w:tr w:rsidR="00EA75F3" w:rsidRPr="00EA75F3" w14:paraId="213C1FBF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BB1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C1C4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Autonominiai dūmų davikliai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569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Vnt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D4C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EA75F3" w:rsidRPr="00EA75F3" w14:paraId="133E5BC6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B33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DE43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Gaisro pavojaus mygtukai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8588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A068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EA75F3" w:rsidRPr="00EA75F3" w14:paraId="6864D3F2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71E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7760" w14:textId="77777777" w:rsidR="00EA75F3" w:rsidRPr="00EA75F3" w:rsidRDefault="00EA75F3" w:rsidP="00EA75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Viso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756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5D29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14DD0EA7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E24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IV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7ED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Administracinis pastatas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7E5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4B4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1C021C1E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D0D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2CBF4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Apsauginės gaisro signalizacijos centralė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040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E60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6F2B8BAF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7D9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9049D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Judesio daviklis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02A8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9B82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EA75F3" w:rsidRPr="00EA75F3" w14:paraId="5BC59612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AA3A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E082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Magnetinis kontaktas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5C6E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Vnt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402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A75F3" w:rsidRPr="00EA75F3" w14:paraId="2E8FCAA8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071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B829A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Dūmų davikliai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1CD9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6E9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EA75F3" w:rsidRPr="00EA75F3" w14:paraId="219FD920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4CEC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D4ED" w14:textId="77777777" w:rsidR="00EA75F3" w:rsidRPr="00EA75F3" w:rsidRDefault="00EA75F3" w:rsidP="00EA75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Viso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3DB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A45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1E538B4C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535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87E9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Vidaus sirenos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DE087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8C5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EA75F3" w:rsidRPr="00EA75F3" w14:paraId="2CF202AA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A41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237B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Lauko sirenos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FBB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EFF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EA75F3" w:rsidRPr="00EA75F3" w14:paraId="61CC0A51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EEE0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ED48" w14:textId="77777777" w:rsidR="00EA75F3" w:rsidRPr="00EA75F3" w:rsidRDefault="00EA75F3" w:rsidP="00EA75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Viso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97D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947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6434BF5A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C00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ECD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Gyvenamas korpusas (naujas)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8F90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4069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74103D05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DD4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B0C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Gaisro signalizacijos sistema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AC49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53F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55984007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CB6C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C993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Centralė gaisrinė SmartLine 36 zonų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CFF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F09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151</w:t>
            </w:r>
          </w:p>
        </w:tc>
      </w:tr>
      <w:tr w:rsidR="00EA75F3" w:rsidRPr="00EA75F3" w14:paraId="573A9454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D1E97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5CB9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Dūmų davikliai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053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F66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EA75F3" w:rsidRPr="00EA75F3" w14:paraId="1CD1C1E9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477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6623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Gaisro pavojaus mygtukai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38B0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87F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6998A071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8BD7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81EE" w14:textId="77777777" w:rsidR="00EA75F3" w:rsidRPr="00EA75F3" w:rsidRDefault="00EA75F3" w:rsidP="00EA75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Viso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2DD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D17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5FAEDD8C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0EC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C30F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           Vaistų sandėlis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089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6EA8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3BA89490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3EB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1D4AB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Apsauginės signalizacijos centralė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6F3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D18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41015ABC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297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B62D7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Judesio davikliai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BD2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56D7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EA75F3" w:rsidRPr="00EA75F3" w14:paraId="6777FDB8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B609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6C02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629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265A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03563E74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7070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VII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1E14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           Katilinė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B13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83E9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72FFC05C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97D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A499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sz w:val="22"/>
                <w:szCs w:val="22"/>
              </w:rPr>
              <w:t>Centralė ESIM 384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7E7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E38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0F37BB41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7A5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2B41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sz w:val="22"/>
                <w:szCs w:val="22"/>
              </w:rPr>
              <w:t>Dūmų jutiklis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39AC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Vnt.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6C4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</w:tr>
      <w:tr w:rsidR="00EA75F3" w:rsidRPr="00EA75F3" w14:paraId="47257C9D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649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9C44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  <w:t>Gaisro</w:t>
            </w:r>
            <w:proofErr w:type="spellEnd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  <w:t>pavojaus</w:t>
            </w:r>
            <w:proofErr w:type="spellEnd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  <w:t>mygtukai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CB5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E037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A75F3" w:rsidRPr="00EA75F3" w14:paraId="1B56D482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7CB0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23C2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  <w:t>Judesio</w:t>
            </w:r>
            <w:proofErr w:type="spellEnd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  <w:t>jutikliai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AFA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76C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EA75F3" w:rsidRPr="00EA75F3" w14:paraId="61F3931A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458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7499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  <w:t>Sirena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12D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5BF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64D1F93F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493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13ED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423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018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364C93F0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CCFC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VIII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DD5A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EA7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/>
                <w14:ligatures w14:val="none"/>
              </w:rPr>
              <w:t>Gyvenamasis</w:t>
            </w:r>
            <w:proofErr w:type="spellEnd"/>
            <w:r w:rsidRPr="00EA7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EA7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/>
                <w14:ligatures w14:val="none"/>
              </w:rPr>
              <w:t>namas</w:t>
            </w:r>
            <w:proofErr w:type="spellEnd"/>
            <w:r w:rsidRPr="00EA7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A75F3">
              <w:rPr>
                <w:rFonts w:ascii="Times New Roman" w:eastAsia="Calibri" w:hAnsi="Times New Roman" w:cs="Times New Roman"/>
                <w:sz w:val="22"/>
                <w:szCs w:val="22"/>
              </w:rPr>
              <w:t>Palevičiaus g.20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9E8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BE1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64B6058C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2E83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26A4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2D4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01F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338467B8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C65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DD50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sz w:val="22"/>
                <w:szCs w:val="22"/>
              </w:rPr>
              <w:t>Gaisrinė centralė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25B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E88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16E4453F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C2ED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EA13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sz w:val="22"/>
                <w:szCs w:val="22"/>
              </w:rPr>
              <w:t>Dūmų davikliai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84A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41B9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</w:tr>
      <w:tr w:rsidR="00EA75F3" w:rsidRPr="00EA75F3" w14:paraId="13901D83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2D6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502B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437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B8EC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4860F0B1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F406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IX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3DF5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75F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Gyvenamasis namas</w:t>
            </w:r>
            <w:r w:rsidRPr="00EA75F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Gairinės g. 5-1,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A72F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A557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7118E245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9A54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7529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8E4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C7E1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A75F3" w:rsidRPr="00EA75F3" w14:paraId="58E95750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619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70EB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75F3">
              <w:rPr>
                <w:rFonts w:ascii="Times New Roman" w:eastAsia="Calibri" w:hAnsi="Times New Roman" w:cs="Times New Roman"/>
                <w:sz w:val="22"/>
                <w:szCs w:val="22"/>
              </w:rPr>
              <w:t>Gaisrinė centralė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B9A5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B35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A75F3" w:rsidRPr="00EA75F3" w14:paraId="710E7799" w14:textId="77777777" w:rsidTr="0044604C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8D2E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CD84" w14:textId="77777777" w:rsidR="00EA75F3" w:rsidRPr="00EA75F3" w:rsidRDefault="00EA75F3" w:rsidP="00EA75F3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Dūmų</w:t>
            </w:r>
            <w:proofErr w:type="spellEnd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davikliai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1672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Vnt</w:t>
            </w:r>
            <w:proofErr w:type="spellEnd"/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F6EB" w14:textId="77777777" w:rsidR="00EA75F3" w:rsidRPr="00EA75F3" w:rsidRDefault="00EA75F3" w:rsidP="00EA7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A75F3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</w:tbl>
    <w:p w14:paraId="7B645392" w14:textId="77777777" w:rsidR="00FF2B24" w:rsidRPr="00FF2B24" w:rsidRDefault="00FF2B24" w:rsidP="00EA75F3">
      <w:pPr>
        <w:tabs>
          <w:tab w:val="left" w:pos="4080"/>
        </w:tabs>
        <w:jc w:val="both"/>
        <w:rPr>
          <w:rFonts w:ascii="Times New Roman" w:eastAsia="Times New Roman" w:hAnsi="Times New Roman" w:cs="Times New Roman"/>
          <w:highlight w:val="white"/>
        </w:rPr>
      </w:pPr>
    </w:p>
    <w:sectPr w:rsidR="00FF2B24" w:rsidRPr="00FF2B24" w:rsidSect="00254F4A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0828"/>
    <w:multiLevelType w:val="multilevel"/>
    <w:tmpl w:val="3D7AD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</w:lvl>
    <w:lvl w:ilvl="2">
      <w:start w:val="1"/>
      <w:numFmt w:val="decimal"/>
      <w:lvlText w:val="%1.%2.%3."/>
      <w:lvlJc w:val="left"/>
      <w:pPr>
        <w:ind w:left="1531" w:hanging="811"/>
      </w:pPr>
    </w:lvl>
    <w:lvl w:ilvl="3">
      <w:start w:val="1"/>
      <w:numFmt w:val="decimal"/>
      <w:lvlText w:val="%1.%2.%3.%4."/>
      <w:lvlJc w:val="left"/>
      <w:pPr>
        <w:ind w:left="2041" w:hanging="961"/>
      </w:pPr>
    </w:lvl>
    <w:lvl w:ilvl="4">
      <w:start w:val="1"/>
      <w:numFmt w:val="decimal"/>
      <w:lvlText w:val="%1.%2.%3.%4.%5."/>
      <w:lvlJc w:val="left"/>
      <w:pPr>
        <w:ind w:left="2495" w:hanging="1055"/>
      </w:pPr>
    </w:lvl>
    <w:lvl w:ilvl="5">
      <w:start w:val="1"/>
      <w:numFmt w:val="decimal"/>
      <w:lvlText w:val="%1.%2.%3.%4.%5.%6."/>
      <w:lvlJc w:val="left"/>
      <w:pPr>
        <w:ind w:left="3005" w:hanging="120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54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C"/>
    <w:rsid w:val="00003D1D"/>
    <w:rsid w:val="00006656"/>
    <w:rsid w:val="000D28DC"/>
    <w:rsid w:val="000E16E1"/>
    <w:rsid w:val="00152002"/>
    <w:rsid w:val="00254F4A"/>
    <w:rsid w:val="00255F50"/>
    <w:rsid w:val="002571CD"/>
    <w:rsid w:val="005531C5"/>
    <w:rsid w:val="00560EAD"/>
    <w:rsid w:val="00624ABD"/>
    <w:rsid w:val="0081019B"/>
    <w:rsid w:val="00890A77"/>
    <w:rsid w:val="009571AE"/>
    <w:rsid w:val="00AF168C"/>
    <w:rsid w:val="00BA0739"/>
    <w:rsid w:val="00CE5E68"/>
    <w:rsid w:val="00EA75F3"/>
    <w:rsid w:val="00F15882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C909"/>
  <w15:chartTrackingRefBased/>
  <w15:docId w15:val="{7B9A06FF-BD77-4CC1-9671-650C3BCF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68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5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Ignotienė</dc:creator>
  <cp:keywords/>
  <dc:description/>
  <cp:lastModifiedBy>Julija Tinčurinienė</cp:lastModifiedBy>
  <cp:revision>2</cp:revision>
  <dcterms:created xsi:type="dcterms:W3CDTF">2026-02-11T14:02:00Z</dcterms:created>
  <dcterms:modified xsi:type="dcterms:W3CDTF">2026-02-11T14:02:00Z</dcterms:modified>
</cp:coreProperties>
</file>