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56CF4" w14:textId="77777777" w:rsidR="00FD1EDC" w:rsidRPr="00AB36C8" w:rsidRDefault="00FD1EDC" w:rsidP="00FD1EDC">
      <w:pPr>
        <w:spacing w:after="0" w:line="240" w:lineRule="auto"/>
        <w:jc w:val="center"/>
        <w:rPr>
          <w:b/>
          <w:szCs w:val="24"/>
        </w:rPr>
      </w:pPr>
    </w:p>
    <w:p w14:paraId="4AE9EF08" w14:textId="77777777" w:rsidR="00507FA5" w:rsidRPr="00AB36C8" w:rsidRDefault="00507FA5" w:rsidP="00507FA5">
      <w:pPr>
        <w:spacing w:after="0" w:line="240" w:lineRule="auto"/>
        <w:jc w:val="center"/>
        <w:rPr>
          <w:b/>
          <w:bCs/>
          <w:caps/>
          <w:color w:val="000000"/>
          <w:szCs w:val="24"/>
          <w:lang w:eastAsia="en-US"/>
        </w:rPr>
      </w:pPr>
      <w:r w:rsidRPr="00507FA5">
        <w:rPr>
          <w:b/>
          <w:bCs/>
          <w:caps/>
          <w:color w:val="000000"/>
          <w:szCs w:val="24"/>
          <w:lang w:eastAsia="en-US"/>
        </w:rPr>
        <w:t>Operacinės stalas traumatologinėms operacijoms</w:t>
      </w:r>
    </w:p>
    <w:p w14:paraId="6DCE0F70" w14:textId="77777777" w:rsidR="000739FB" w:rsidRPr="00AB36C8" w:rsidRDefault="000739FB" w:rsidP="00FD1EDC">
      <w:pPr>
        <w:spacing w:after="0" w:line="240" w:lineRule="auto"/>
        <w:jc w:val="center"/>
        <w:rPr>
          <w:b/>
          <w:caps/>
          <w:szCs w:val="24"/>
        </w:rPr>
      </w:pPr>
    </w:p>
    <w:p w14:paraId="42004A52" w14:textId="77777777" w:rsidR="00FD1EDC" w:rsidRPr="00AB36C8" w:rsidRDefault="00FD1EDC" w:rsidP="00FD1EDC">
      <w:pPr>
        <w:spacing w:after="0" w:line="240" w:lineRule="auto"/>
        <w:jc w:val="center"/>
        <w:rPr>
          <w:b/>
          <w:szCs w:val="24"/>
        </w:rPr>
      </w:pPr>
      <w:r w:rsidRPr="00AB36C8">
        <w:rPr>
          <w:b/>
          <w:szCs w:val="24"/>
        </w:rPr>
        <w:t xml:space="preserve">Techninė specifikacija </w:t>
      </w:r>
    </w:p>
    <w:p w14:paraId="20300568" w14:textId="77777777" w:rsidR="00FD1EDC" w:rsidRPr="00AB36C8" w:rsidRDefault="00FD1EDC" w:rsidP="00FD1EDC">
      <w:pPr>
        <w:spacing w:after="0" w:line="240" w:lineRule="auto"/>
        <w:jc w:val="center"/>
        <w:rPr>
          <w:b/>
          <w:szCs w:val="24"/>
        </w:rPr>
      </w:pPr>
    </w:p>
    <w:p w14:paraId="6D4C238C" w14:textId="77777777" w:rsidR="00FD1EDC" w:rsidRPr="00AB36C8" w:rsidRDefault="00FD1EDC" w:rsidP="00FD1EDC">
      <w:pPr>
        <w:autoSpaceDN w:val="0"/>
        <w:spacing w:after="0" w:line="240" w:lineRule="auto"/>
        <w:ind w:firstLine="851"/>
        <w:jc w:val="both"/>
        <w:rPr>
          <w:rFonts w:eastAsia="Calibri"/>
          <w:szCs w:val="24"/>
        </w:rPr>
      </w:pPr>
      <w:r w:rsidRPr="00AB36C8">
        <w:rPr>
          <w:rFonts w:eastAsia="Calibri"/>
          <w:szCs w:val="24"/>
        </w:rPr>
        <w:t>1.</w:t>
      </w:r>
      <w:r w:rsidRPr="00AB36C8">
        <w:rPr>
          <w:rFonts w:eastAsia="Calibri"/>
          <w:b/>
          <w:szCs w:val="24"/>
        </w:rPr>
        <w:t xml:space="preserve"> </w:t>
      </w:r>
      <w:r w:rsidRPr="00AB36C8">
        <w:rPr>
          <w:rFonts w:eastAsia="Calibri"/>
          <w:szCs w:val="24"/>
        </w:rPr>
        <w:t xml:space="preserve">Jei techninėje specifikacijoje nurodytas standartas, techninis liudijimas ar bendrosios techninės specifikacijos, tiekėjas gali siūlyti </w:t>
      </w:r>
      <w:r w:rsidRPr="00AB36C8">
        <w:rPr>
          <w:rFonts w:eastAsia="Calibri"/>
          <w:i/>
          <w:szCs w:val="24"/>
        </w:rPr>
        <w:t>lygiaverčius</w:t>
      </w:r>
      <w:r w:rsidRPr="00AB36C8">
        <w:rPr>
          <w:rFonts w:eastAsia="Calibri"/>
          <w:szCs w:val="24"/>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AB36C8">
        <w:rPr>
          <w:rFonts w:eastAsia="Calibri"/>
          <w:i/>
          <w:szCs w:val="24"/>
        </w:rPr>
        <w:t>lygiaverčius</w:t>
      </w:r>
      <w:r w:rsidRPr="00AB36C8">
        <w:rPr>
          <w:rFonts w:eastAsia="Calibri"/>
          <w:szCs w:val="24"/>
        </w:rPr>
        <w:t>.</w:t>
      </w:r>
    </w:p>
    <w:p w14:paraId="1CFC979D" w14:textId="77777777" w:rsidR="00FD1EDC" w:rsidRPr="00AB36C8" w:rsidRDefault="00FD1EDC" w:rsidP="00FD1EDC">
      <w:pPr>
        <w:suppressAutoHyphens/>
        <w:spacing w:after="0" w:line="240" w:lineRule="auto"/>
        <w:ind w:firstLine="709"/>
        <w:jc w:val="both"/>
        <w:rPr>
          <w:rFonts w:eastAsia="Arial Unicode MS"/>
          <w:szCs w:val="24"/>
          <w:u w:val="single"/>
        </w:rPr>
      </w:pPr>
      <w:r w:rsidRPr="00AB36C8">
        <w:rPr>
          <w:rFonts w:eastAsia="Calibri"/>
          <w:color w:val="000000"/>
          <w:szCs w:val="24"/>
        </w:rPr>
        <w:t xml:space="preserve">2. Tiekėjo siūlomos prekės turi atitikti techninės specifikacijos reikalaujamas charakteristikas. Įrodymui, </w:t>
      </w:r>
      <w:r w:rsidRPr="00AB36C8">
        <w:rPr>
          <w:rFonts w:eastAsia="Calibri"/>
          <w:b/>
          <w:i/>
          <w:color w:val="FF0000"/>
          <w:szCs w:val="24"/>
        </w:rPr>
        <w:t>kartu su pasiūlymu</w:t>
      </w:r>
      <w:r w:rsidRPr="00AB36C8">
        <w:rPr>
          <w:rFonts w:eastAsia="Calibri"/>
          <w:color w:val="FF0000"/>
          <w:szCs w:val="24"/>
        </w:rPr>
        <w:t>,</w:t>
      </w:r>
      <w:r w:rsidRPr="00AB36C8">
        <w:rPr>
          <w:rFonts w:eastAsia="Calibri"/>
          <w:color w:val="000000"/>
          <w:szCs w:val="24"/>
        </w:rPr>
        <w:t xml:space="preserve"> </w:t>
      </w:r>
      <w:r w:rsidRPr="00AB36C8">
        <w:rPr>
          <w:rFonts w:eastAsia="Calibri"/>
          <w:color w:val="000000"/>
          <w:szCs w:val="24"/>
          <w:u w:val="single"/>
        </w:rPr>
        <w:t xml:space="preserve">pateikiama </w:t>
      </w:r>
      <w:r w:rsidRPr="00AB36C8">
        <w:rPr>
          <w:rFonts w:eastAsia="Calibri"/>
          <w:b/>
          <w:bCs/>
          <w:color w:val="000000"/>
          <w:szCs w:val="24"/>
          <w:u w:val="single"/>
        </w:rPr>
        <w:t>gamintojų</w:t>
      </w:r>
      <w:r w:rsidRPr="00AB36C8">
        <w:rPr>
          <w:rFonts w:eastAsia="Calibri"/>
          <w:color w:val="000000"/>
          <w:szCs w:val="24"/>
          <w:u w:val="single"/>
        </w:rPr>
        <w:t xml:space="preserve"> siūlomų prekių katalogai arba kiti prekių techninių charakteristikų aprašymai, </w:t>
      </w:r>
      <w:r w:rsidRPr="00AB36C8">
        <w:rPr>
          <w:rFonts w:eastAsia="Calibri"/>
          <w:b/>
          <w:bCs/>
          <w:color w:val="000000"/>
          <w:szCs w:val="24"/>
          <w:u w:val="single"/>
        </w:rPr>
        <w:t xml:space="preserve">patvirtinti gamintojo </w:t>
      </w:r>
      <w:r w:rsidRPr="00AB36C8">
        <w:rPr>
          <w:rFonts w:eastAsia="Arial Unicode MS"/>
          <w:color w:val="000000"/>
          <w:szCs w:val="24"/>
          <w:u w:val="single"/>
          <w:bdr w:val="none" w:sz="0" w:space="0" w:color="auto" w:frame="1"/>
        </w:rPr>
        <w:t>(jei gamintojo kataloge neišsamiai atsispindi siūlomos prekės atitikimas techninės specifikacijos reikalavimams)</w:t>
      </w:r>
      <w:r w:rsidRPr="00AB36C8">
        <w:rPr>
          <w:rFonts w:eastAsia="Arial Unicode MS"/>
          <w:color w:val="FF0000"/>
          <w:szCs w:val="24"/>
          <w:u w:val="single"/>
        </w:rPr>
        <w:t xml:space="preserve"> </w:t>
      </w:r>
      <w:r w:rsidRPr="00AB36C8">
        <w:rPr>
          <w:rFonts w:eastAsia="Arial Unicode MS"/>
          <w:szCs w:val="24"/>
          <w:u w:val="single"/>
        </w:rPr>
        <w:t>su vertimu į lietuvių kalbą dėl</w:t>
      </w:r>
      <w:r w:rsidRPr="00AB36C8">
        <w:rPr>
          <w:rFonts w:eastAsia="Arial Unicode MS"/>
          <w:color w:val="000000"/>
          <w:szCs w:val="24"/>
          <w:u w:val="single"/>
        </w:rPr>
        <w:t xml:space="preserve"> prekių reikalaujamų techninių parametrų aprašymų, </w:t>
      </w:r>
      <w:r w:rsidRPr="00AB36C8">
        <w:rPr>
          <w:rFonts w:eastAsia="Arial Unicode MS"/>
          <w:b/>
          <w:bCs/>
          <w:szCs w:val="24"/>
          <w:u w:val="single"/>
        </w:rPr>
        <w:t>sertifikatai</w:t>
      </w:r>
      <w:r w:rsidRPr="00AB36C8">
        <w:rPr>
          <w:rFonts w:eastAsia="Arial Unicode MS"/>
          <w:color w:val="000000"/>
          <w:szCs w:val="24"/>
          <w:u w:val="single"/>
        </w:rPr>
        <w:t xml:space="preserve">.  </w:t>
      </w:r>
      <w:r w:rsidRPr="00AB36C8">
        <w:rPr>
          <w:rFonts w:eastAsia="Calibri"/>
          <w:color w:val="000000"/>
          <w:szCs w:val="24"/>
        </w:rPr>
        <w:t>Papildomai gali būti p</w:t>
      </w:r>
      <w:r w:rsidRPr="00AB36C8">
        <w:rPr>
          <w:rFonts w:eastAsia="Calibri"/>
          <w:bCs/>
          <w:iCs/>
          <w:color w:val="000000"/>
          <w:szCs w:val="24"/>
        </w:rPr>
        <w:t>ateikiama nuoroda į gamintojo interneto puslapį, kuriame išdėstyta visa informacija apie siūlomą prekę.</w:t>
      </w:r>
      <w:r w:rsidRPr="00AB36C8">
        <w:rPr>
          <w:rFonts w:eastAsia="Arial Unicode MS"/>
          <w:color w:val="000000"/>
          <w:szCs w:val="24"/>
        </w:rPr>
        <w:t xml:space="preserve"> </w:t>
      </w:r>
      <w:r w:rsidRPr="00AB36C8">
        <w:rPr>
          <w:rFonts w:eastAsia="Arial Unicode MS"/>
          <w:szCs w:val="24"/>
        </w:rPr>
        <w:t xml:space="preserve">Teikiamuose dokumentuose tiekėjas turi </w:t>
      </w:r>
      <w:r w:rsidRPr="00AB36C8">
        <w:rPr>
          <w:rFonts w:eastAsia="Arial Unicode MS"/>
          <w:b/>
          <w:i/>
          <w:szCs w:val="24"/>
        </w:rPr>
        <w:t>grafiškai nurodyti (pažymėti)</w:t>
      </w:r>
      <w:r w:rsidRPr="00AB36C8">
        <w:rPr>
          <w:rFonts w:eastAsia="Arial Unicode MS"/>
          <w:szCs w:val="24"/>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Pr="00AB36C8">
        <w:rPr>
          <w:szCs w:val="24"/>
        </w:rPr>
        <w:t xml:space="preserve"> </w:t>
      </w:r>
      <w:r w:rsidRPr="00AB36C8">
        <w:rPr>
          <w:rFonts w:eastAsia="Arial Unicode MS"/>
          <w:szCs w:val="24"/>
          <w:u w:val="single"/>
        </w:rPr>
        <w:t>Kiti gamintojo dokumentai, nenurodyti šiame punkte, nebus laikomi pakankama ir patikima informacija vertinimui atlikti.</w:t>
      </w:r>
    </w:p>
    <w:p w14:paraId="21512F4A" w14:textId="77777777" w:rsidR="00FD1EDC" w:rsidRPr="00AB36C8" w:rsidRDefault="00FD1EDC" w:rsidP="00FD1EDC">
      <w:pPr>
        <w:suppressAutoHyphens/>
        <w:spacing w:after="0" w:line="240" w:lineRule="auto"/>
        <w:ind w:firstLine="709"/>
        <w:jc w:val="both"/>
        <w:rPr>
          <w:b/>
          <w:bCs/>
          <w:szCs w:val="24"/>
          <w:u w:val="single"/>
        </w:rPr>
      </w:pPr>
      <w:r w:rsidRPr="00AB36C8">
        <w:rPr>
          <w:rFonts w:eastAsia="Arial Unicode MS"/>
          <w:szCs w:val="24"/>
        </w:rPr>
        <w:t xml:space="preserve">3. </w:t>
      </w:r>
      <w:r w:rsidRPr="00AB36C8">
        <w:rPr>
          <w:b/>
          <w:bCs/>
          <w:szCs w:val="24"/>
        </w:rPr>
        <w:t>Pirkimo dalyvis kartu su pasiūlymu turi pateikti visus dokumentus lietuvių k., įrodančius prekės atitiktį nustatytiems 1 punkto reikalavimams</w:t>
      </w:r>
      <w:r w:rsidRPr="00AB36C8">
        <w:rPr>
          <w:b/>
          <w:bCs/>
          <w:szCs w:val="24"/>
          <w:u w:val="single"/>
        </w:rPr>
        <w:t>. Atitiktis 2 punkte nustatytiems reikalavimams bus tikrinama sutarties vykdymo metu (prekės perdavimo metu).</w:t>
      </w:r>
    </w:p>
    <w:p w14:paraId="6EB4DB42" w14:textId="77777777" w:rsidR="000739FB" w:rsidRPr="00AB36C8" w:rsidRDefault="000739FB" w:rsidP="00FD1EDC">
      <w:pPr>
        <w:suppressAutoHyphens/>
        <w:spacing w:after="0" w:line="240" w:lineRule="auto"/>
        <w:ind w:firstLine="709"/>
        <w:jc w:val="both"/>
        <w:rPr>
          <w:rFonts w:eastAsia="Arial Unicode MS"/>
          <w:szCs w:val="24"/>
          <w:u w:val="single"/>
        </w:rPr>
      </w:pPr>
    </w:p>
    <w:p w14:paraId="3BCC503F" w14:textId="6E3651C8" w:rsidR="00233EFE" w:rsidRPr="00AB36C8" w:rsidRDefault="00FD1EDC" w:rsidP="00FD1EDC">
      <w:pPr>
        <w:rPr>
          <w:szCs w:val="24"/>
          <w:u w:val="single"/>
        </w:rPr>
      </w:pPr>
      <w:r w:rsidRPr="00AB36C8">
        <w:rPr>
          <w:szCs w:val="24"/>
        </w:rPr>
        <w:t xml:space="preserve">1 lentelė. </w:t>
      </w:r>
      <w:r w:rsidRPr="00AB36C8">
        <w:rPr>
          <w:szCs w:val="24"/>
          <w:u w:val="single"/>
        </w:rPr>
        <w:t>Privalomieji reikalavimai prekėms:</w:t>
      </w:r>
    </w:p>
    <w:tbl>
      <w:tblPr>
        <w:tblW w:w="9303" w:type="dxa"/>
        <w:tblLook w:val="04A0" w:firstRow="1" w:lastRow="0" w:firstColumn="1" w:lastColumn="0" w:noHBand="0" w:noVBand="1"/>
      </w:tblPr>
      <w:tblGrid>
        <w:gridCol w:w="1527"/>
        <w:gridCol w:w="2437"/>
        <w:gridCol w:w="5103"/>
        <w:gridCol w:w="236"/>
      </w:tblGrid>
      <w:tr w:rsidR="00507FA5" w:rsidRPr="00507FA5" w14:paraId="468C9D4E" w14:textId="77777777" w:rsidTr="00507FA5">
        <w:trPr>
          <w:gridAfter w:val="1"/>
          <w:wAfter w:w="236" w:type="dxa"/>
          <w:trHeight w:val="1215"/>
        </w:trPr>
        <w:tc>
          <w:tcPr>
            <w:tcW w:w="152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068E3E2" w14:textId="30A914EF" w:rsidR="00507FA5" w:rsidRPr="00507FA5" w:rsidRDefault="00507FA5" w:rsidP="00507FA5">
            <w:pPr>
              <w:spacing w:after="0" w:line="240" w:lineRule="auto"/>
              <w:jc w:val="center"/>
              <w:rPr>
                <w:b/>
                <w:bCs/>
                <w:color w:val="000000"/>
                <w:sz w:val="22"/>
                <w:szCs w:val="22"/>
                <w:lang w:eastAsia="en-US"/>
              </w:rPr>
            </w:pPr>
            <w:r w:rsidRPr="00507FA5">
              <w:rPr>
                <w:b/>
                <w:bCs/>
                <w:color w:val="000000"/>
                <w:sz w:val="22"/>
                <w:szCs w:val="22"/>
                <w:lang w:eastAsia="en-US"/>
              </w:rPr>
              <w:t>Eil.</w:t>
            </w:r>
            <w:r w:rsidRPr="00AB36C8">
              <w:rPr>
                <w:b/>
                <w:bCs/>
                <w:color w:val="000000"/>
                <w:sz w:val="22"/>
                <w:szCs w:val="22"/>
                <w:lang w:eastAsia="en-US"/>
              </w:rPr>
              <w:t xml:space="preserve"> Nr.</w:t>
            </w:r>
          </w:p>
        </w:tc>
        <w:tc>
          <w:tcPr>
            <w:tcW w:w="2437" w:type="dxa"/>
            <w:tcBorders>
              <w:top w:val="single" w:sz="4" w:space="0" w:color="auto"/>
              <w:left w:val="nil"/>
              <w:bottom w:val="single" w:sz="4" w:space="0" w:color="auto"/>
              <w:right w:val="single" w:sz="4" w:space="0" w:color="auto"/>
            </w:tcBorders>
            <w:shd w:val="clear" w:color="000000" w:fill="D9D9D9"/>
            <w:vAlign w:val="center"/>
            <w:hideMark/>
          </w:tcPr>
          <w:p w14:paraId="12FB1B9D" w14:textId="1DEB5939" w:rsidR="00507FA5" w:rsidRPr="00507FA5" w:rsidRDefault="00BF1BC2" w:rsidP="00507FA5">
            <w:pPr>
              <w:spacing w:after="0" w:line="240" w:lineRule="auto"/>
              <w:jc w:val="center"/>
              <w:rPr>
                <w:b/>
                <w:bCs/>
                <w:color w:val="000000"/>
                <w:sz w:val="22"/>
                <w:szCs w:val="22"/>
                <w:lang w:eastAsia="en-US"/>
              </w:rPr>
            </w:pPr>
            <w:r w:rsidRPr="00AB36C8">
              <w:rPr>
                <w:b/>
                <w:bCs/>
                <w:sz w:val="22"/>
                <w:szCs w:val="22"/>
              </w:rPr>
              <w:t>Parametrai</w:t>
            </w:r>
          </w:p>
        </w:tc>
        <w:tc>
          <w:tcPr>
            <w:tcW w:w="5103" w:type="dxa"/>
            <w:tcBorders>
              <w:top w:val="single" w:sz="4" w:space="0" w:color="auto"/>
              <w:left w:val="nil"/>
              <w:bottom w:val="single" w:sz="4" w:space="0" w:color="auto"/>
              <w:right w:val="single" w:sz="4" w:space="0" w:color="auto"/>
            </w:tcBorders>
            <w:shd w:val="clear" w:color="000000" w:fill="D9D9D9"/>
            <w:vAlign w:val="center"/>
            <w:hideMark/>
          </w:tcPr>
          <w:p w14:paraId="465F0697" w14:textId="7D56EA28" w:rsidR="00507FA5" w:rsidRPr="00507FA5" w:rsidRDefault="00BF1BC2" w:rsidP="00507FA5">
            <w:pPr>
              <w:spacing w:after="0" w:line="240" w:lineRule="auto"/>
              <w:jc w:val="center"/>
              <w:rPr>
                <w:b/>
                <w:bCs/>
                <w:color w:val="000000"/>
                <w:sz w:val="22"/>
                <w:szCs w:val="22"/>
                <w:lang w:eastAsia="en-US"/>
              </w:rPr>
            </w:pPr>
            <w:r w:rsidRPr="00AB36C8">
              <w:rPr>
                <w:b/>
                <w:color w:val="000000"/>
                <w:sz w:val="22"/>
                <w:szCs w:val="22"/>
              </w:rPr>
              <w:t>Parametrų reikšmės</w:t>
            </w:r>
          </w:p>
        </w:tc>
      </w:tr>
      <w:tr w:rsidR="00507FA5" w:rsidRPr="00507FA5" w14:paraId="00C9C5EF" w14:textId="77777777" w:rsidTr="00AB36C8">
        <w:trPr>
          <w:gridAfter w:val="1"/>
          <w:wAfter w:w="236" w:type="dxa"/>
          <w:trHeight w:val="1200"/>
        </w:trPr>
        <w:tc>
          <w:tcPr>
            <w:tcW w:w="1527" w:type="dxa"/>
            <w:tcBorders>
              <w:top w:val="single" w:sz="4" w:space="0" w:color="auto"/>
              <w:left w:val="single" w:sz="4" w:space="0" w:color="auto"/>
              <w:bottom w:val="single" w:sz="4" w:space="0" w:color="auto"/>
              <w:right w:val="single" w:sz="4" w:space="0" w:color="auto"/>
            </w:tcBorders>
            <w:vAlign w:val="center"/>
            <w:hideMark/>
          </w:tcPr>
          <w:p w14:paraId="1B7B99FF" w14:textId="01C9E380" w:rsidR="00507FA5" w:rsidRPr="00507FA5" w:rsidRDefault="00507FA5" w:rsidP="00507FA5">
            <w:pPr>
              <w:spacing w:after="0" w:line="240" w:lineRule="auto"/>
              <w:jc w:val="both"/>
              <w:rPr>
                <w:color w:val="000000"/>
                <w:sz w:val="22"/>
                <w:szCs w:val="22"/>
                <w:lang w:eastAsia="en-US"/>
              </w:rPr>
            </w:pPr>
            <w:r w:rsidRPr="00507FA5">
              <w:rPr>
                <w:color w:val="000000"/>
                <w:sz w:val="22"/>
                <w:szCs w:val="22"/>
                <w:lang w:eastAsia="en-US"/>
              </w:rPr>
              <w:t> </w:t>
            </w:r>
            <w:r w:rsidRPr="00AB36C8">
              <w:rPr>
                <w:color w:val="000000"/>
                <w:sz w:val="22"/>
                <w:szCs w:val="22"/>
                <w:lang w:eastAsia="en-US"/>
              </w:rPr>
              <w:t>1.</w:t>
            </w:r>
          </w:p>
        </w:tc>
        <w:tc>
          <w:tcPr>
            <w:tcW w:w="2437" w:type="dxa"/>
            <w:tcBorders>
              <w:top w:val="single" w:sz="4" w:space="0" w:color="auto"/>
              <w:left w:val="nil"/>
              <w:bottom w:val="single" w:sz="4" w:space="0" w:color="auto"/>
              <w:right w:val="single" w:sz="4" w:space="0" w:color="auto"/>
            </w:tcBorders>
            <w:vAlign w:val="center"/>
            <w:hideMark/>
          </w:tcPr>
          <w:p w14:paraId="6FCF8B40" w14:textId="77777777" w:rsidR="00507FA5" w:rsidRPr="00507FA5" w:rsidRDefault="00507FA5" w:rsidP="00507FA5">
            <w:pPr>
              <w:spacing w:after="0" w:line="240" w:lineRule="auto"/>
              <w:jc w:val="both"/>
              <w:rPr>
                <w:color w:val="000000"/>
                <w:sz w:val="22"/>
                <w:szCs w:val="22"/>
                <w:lang w:eastAsia="en-US"/>
              </w:rPr>
            </w:pPr>
            <w:r w:rsidRPr="00507FA5">
              <w:rPr>
                <w:color w:val="000000"/>
                <w:sz w:val="22"/>
                <w:szCs w:val="22"/>
                <w:lang w:eastAsia="en-US"/>
              </w:rPr>
              <w:t xml:space="preserve">Operacinis stalas traumatologinėms operacijoms </w:t>
            </w:r>
          </w:p>
        </w:tc>
        <w:tc>
          <w:tcPr>
            <w:tcW w:w="5103" w:type="dxa"/>
            <w:tcBorders>
              <w:top w:val="single" w:sz="4" w:space="0" w:color="auto"/>
              <w:left w:val="nil"/>
              <w:bottom w:val="single" w:sz="4" w:space="0" w:color="auto"/>
              <w:right w:val="single" w:sz="4" w:space="0" w:color="auto"/>
            </w:tcBorders>
            <w:vAlign w:val="center"/>
            <w:hideMark/>
          </w:tcPr>
          <w:p w14:paraId="081DF843" w14:textId="551C0F03" w:rsidR="00507FA5" w:rsidRPr="00507FA5" w:rsidRDefault="00507FA5" w:rsidP="00507FA5">
            <w:pPr>
              <w:spacing w:after="0" w:line="240" w:lineRule="auto"/>
              <w:jc w:val="both"/>
              <w:rPr>
                <w:color w:val="000000"/>
                <w:sz w:val="22"/>
                <w:szCs w:val="22"/>
                <w:lang w:eastAsia="en-US"/>
              </w:rPr>
            </w:pPr>
            <w:r w:rsidRPr="00507FA5">
              <w:rPr>
                <w:color w:val="000000"/>
                <w:sz w:val="22"/>
                <w:szCs w:val="22"/>
                <w:lang w:eastAsia="en-US"/>
              </w:rPr>
              <w:t>1. Tinkamas naudoti įvairių operacijų metu: bendroji chirurgija                                                              2. Pritaikytas traumatologinėms operacijoms - privalumas</w:t>
            </w:r>
          </w:p>
        </w:tc>
      </w:tr>
      <w:tr w:rsidR="00507FA5" w:rsidRPr="00507FA5" w14:paraId="39486750" w14:textId="77777777" w:rsidTr="00AB36C8">
        <w:trPr>
          <w:gridAfter w:val="1"/>
          <w:wAfter w:w="236" w:type="dxa"/>
          <w:trHeight w:val="600"/>
        </w:trPr>
        <w:tc>
          <w:tcPr>
            <w:tcW w:w="1527" w:type="dxa"/>
            <w:vMerge w:val="restart"/>
            <w:tcBorders>
              <w:top w:val="single" w:sz="4" w:space="0" w:color="auto"/>
              <w:left w:val="single" w:sz="4" w:space="0" w:color="auto"/>
              <w:right w:val="single" w:sz="8" w:space="0" w:color="auto"/>
            </w:tcBorders>
            <w:vAlign w:val="center"/>
            <w:hideMark/>
          </w:tcPr>
          <w:p w14:paraId="57BB2003" w14:textId="77777777" w:rsidR="00507FA5" w:rsidRPr="00507FA5" w:rsidRDefault="00507FA5" w:rsidP="00507FA5">
            <w:pPr>
              <w:spacing w:after="0" w:line="240" w:lineRule="auto"/>
              <w:jc w:val="both"/>
              <w:rPr>
                <w:color w:val="000000"/>
                <w:sz w:val="22"/>
                <w:szCs w:val="22"/>
                <w:lang w:eastAsia="en-US"/>
              </w:rPr>
            </w:pPr>
            <w:r w:rsidRPr="00507FA5">
              <w:rPr>
                <w:color w:val="000000"/>
                <w:sz w:val="22"/>
                <w:szCs w:val="22"/>
                <w:lang w:eastAsia="en-US"/>
              </w:rPr>
              <w:t>2.</w:t>
            </w:r>
          </w:p>
        </w:tc>
        <w:tc>
          <w:tcPr>
            <w:tcW w:w="2437" w:type="dxa"/>
            <w:vMerge w:val="restart"/>
            <w:tcBorders>
              <w:top w:val="single" w:sz="4" w:space="0" w:color="auto"/>
              <w:left w:val="single" w:sz="8" w:space="0" w:color="auto"/>
              <w:right w:val="single" w:sz="8" w:space="0" w:color="auto"/>
            </w:tcBorders>
            <w:hideMark/>
          </w:tcPr>
          <w:p w14:paraId="5BA62E74" w14:textId="77777777" w:rsidR="00AB36C8" w:rsidRPr="00AB36C8" w:rsidRDefault="00AB36C8" w:rsidP="00AB36C8">
            <w:pPr>
              <w:spacing w:after="0" w:line="240" w:lineRule="auto"/>
              <w:rPr>
                <w:color w:val="000000"/>
                <w:sz w:val="22"/>
                <w:szCs w:val="22"/>
                <w:lang w:eastAsia="en-US"/>
              </w:rPr>
            </w:pPr>
          </w:p>
          <w:p w14:paraId="6CF7D278" w14:textId="77777777" w:rsidR="00AB36C8" w:rsidRPr="00AB36C8" w:rsidRDefault="00AB36C8" w:rsidP="00AB36C8">
            <w:pPr>
              <w:spacing w:after="0" w:line="240" w:lineRule="auto"/>
              <w:rPr>
                <w:color w:val="000000"/>
                <w:sz w:val="22"/>
                <w:szCs w:val="22"/>
                <w:lang w:eastAsia="en-US"/>
              </w:rPr>
            </w:pPr>
          </w:p>
          <w:p w14:paraId="3F134E77" w14:textId="77777777" w:rsidR="00AB36C8" w:rsidRPr="00AB36C8" w:rsidRDefault="00AB36C8" w:rsidP="00AB36C8">
            <w:pPr>
              <w:spacing w:after="0" w:line="240" w:lineRule="auto"/>
              <w:rPr>
                <w:color w:val="000000"/>
                <w:sz w:val="22"/>
                <w:szCs w:val="22"/>
                <w:lang w:eastAsia="en-US"/>
              </w:rPr>
            </w:pPr>
          </w:p>
          <w:p w14:paraId="78B73A32" w14:textId="77777777" w:rsidR="00AB36C8" w:rsidRPr="00AB36C8" w:rsidRDefault="00AB36C8" w:rsidP="00AB36C8">
            <w:pPr>
              <w:spacing w:after="0" w:line="240" w:lineRule="auto"/>
              <w:rPr>
                <w:color w:val="000000"/>
                <w:sz w:val="22"/>
                <w:szCs w:val="22"/>
                <w:lang w:eastAsia="en-US"/>
              </w:rPr>
            </w:pPr>
          </w:p>
          <w:p w14:paraId="40C80A27" w14:textId="62B5EFA3" w:rsidR="00507FA5" w:rsidRPr="00507FA5" w:rsidRDefault="00507FA5" w:rsidP="00AB36C8">
            <w:pPr>
              <w:spacing w:after="0" w:line="240" w:lineRule="auto"/>
              <w:rPr>
                <w:color w:val="000000"/>
                <w:sz w:val="22"/>
                <w:szCs w:val="22"/>
                <w:lang w:eastAsia="en-US"/>
              </w:rPr>
            </w:pPr>
            <w:r w:rsidRPr="00507FA5">
              <w:rPr>
                <w:color w:val="000000"/>
                <w:sz w:val="22"/>
                <w:szCs w:val="22"/>
                <w:lang w:eastAsia="en-US"/>
              </w:rPr>
              <w:t>Bendrieji reikalavimai stalui:</w:t>
            </w:r>
          </w:p>
        </w:tc>
        <w:tc>
          <w:tcPr>
            <w:tcW w:w="5103" w:type="dxa"/>
            <w:tcBorders>
              <w:top w:val="single" w:sz="4" w:space="0" w:color="auto"/>
              <w:left w:val="nil"/>
              <w:bottom w:val="nil"/>
              <w:right w:val="single" w:sz="4" w:space="0" w:color="auto"/>
            </w:tcBorders>
            <w:vAlign w:val="center"/>
            <w:hideMark/>
          </w:tcPr>
          <w:p w14:paraId="4B430840" w14:textId="77777777" w:rsidR="00AB36C8" w:rsidRPr="00AB36C8" w:rsidRDefault="00507FA5" w:rsidP="00AB36C8">
            <w:pPr>
              <w:spacing w:after="0" w:line="240" w:lineRule="auto"/>
              <w:jc w:val="both"/>
              <w:rPr>
                <w:color w:val="000000"/>
                <w:sz w:val="22"/>
                <w:szCs w:val="22"/>
                <w:lang w:eastAsia="en-US"/>
              </w:rPr>
            </w:pPr>
            <w:r w:rsidRPr="00507FA5">
              <w:rPr>
                <w:color w:val="000000"/>
                <w:sz w:val="22"/>
                <w:szCs w:val="22"/>
                <w:lang w:eastAsia="en-US"/>
              </w:rPr>
              <w:t>1.</w:t>
            </w:r>
            <w:r w:rsidRPr="00507FA5">
              <w:rPr>
                <w:color w:val="000000"/>
                <w:sz w:val="14"/>
                <w:szCs w:val="14"/>
                <w:lang w:eastAsia="en-US"/>
              </w:rPr>
              <w:t xml:space="preserve">     </w:t>
            </w:r>
            <w:r w:rsidRPr="00507FA5">
              <w:rPr>
                <w:color w:val="000000"/>
                <w:sz w:val="22"/>
                <w:szCs w:val="22"/>
                <w:lang w:eastAsia="en-US"/>
              </w:rPr>
              <w:t>Stalas mobilus, su ratukais.</w:t>
            </w:r>
          </w:p>
          <w:p w14:paraId="771E40E3" w14:textId="65A06560" w:rsidR="00AB36C8" w:rsidRPr="00AB36C8" w:rsidRDefault="00AB36C8" w:rsidP="00AB36C8">
            <w:pPr>
              <w:spacing w:after="0" w:line="240" w:lineRule="auto"/>
              <w:jc w:val="both"/>
              <w:rPr>
                <w:color w:val="000000"/>
                <w:sz w:val="22"/>
                <w:szCs w:val="22"/>
                <w:lang w:eastAsia="en-US"/>
              </w:rPr>
            </w:pPr>
            <w:r w:rsidRPr="00507FA5">
              <w:rPr>
                <w:color w:val="000000"/>
                <w:sz w:val="22"/>
                <w:szCs w:val="22"/>
                <w:lang w:eastAsia="en-US"/>
              </w:rPr>
              <w:t>2.</w:t>
            </w:r>
            <w:r w:rsidRPr="00507FA5">
              <w:rPr>
                <w:color w:val="000000"/>
                <w:sz w:val="14"/>
                <w:szCs w:val="14"/>
                <w:lang w:eastAsia="en-US"/>
              </w:rPr>
              <w:t xml:space="preserve">     </w:t>
            </w:r>
            <w:r w:rsidRPr="00507FA5">
              <w:rPr>
                <w:color w:val="000000"/>
                <w:sz w:val="22"/>
                <w:szCs w:val="22"/>
                <w:lang w:eastAsia="en-US"/>
              </w:rPr>
              <w:t>Darbinėje padėtyje stabilizuojamas iš stalo pagrindo nuleidžiamomis specialiomis atramomis arba korpuse integruotais ratukais, su elektriniu stabdžiu blokuojant ratukus.</w:t>
            </w:r>
          </w:p>
          <w:p w14:paraId="12C55101" w14:textId="77777777" w:rsidR="00AB36C8" w:rsidRPr="00AB36C8" w:rsidRDefault="00AB36C8" w:rsidP="00AB36C8">
            <w:pPr>
              <w:spacing w:after="0" w:line="240" w:lineRule="auto"/>
              <w:jc w:val="both"/>
              <w:rPr>
                <w:color w:val="000000"/>
                <w:sz w:val="22"/>
                <w:szCs w:val="22"/>
                <w:lang w:eastAsia="en-US"/>
              </w:rPr>
            </w:pPr>
            <w:r w:rsidRPr="00507FA5">
              <w:rPr>
                <w:color w:val="000000"/>
                <w:sz w:val="22"/>
                <w:szCs w:val="22"/>
                <w:lang w:eastAsia="en-US"/>
              </w:rPr>
              <w:t>3.</w:t>
            </w:r>
            <w:r w:rsidRPr="00507FA5">
              <w:rPr>
                <w:color w:val="000000"/>
                <w:sz w:val="14"/>
                <w:szCs w:val="14"/>
                <w:lang w:eastAsia="en-US"/>
              </w:rPr>
              <w:t xml:space="preserve">     </w:t>
            </w:r>
            <w:r w:rsidRPr="00507FA5">
              <w:rPr>
                <w:color w:val="000000"/>
                <w:sz w:val="22"/>
                <w:szCs w:val="22"/>
                <w:lang w:eastAsia="en-US"/>
              </w:rPr>
              <w:t>Stalo aukščio, pasvirimo kampų ir pozicijų reguliavimas elektrinis arba elektrinis – hidraulinis (arba lygiavertis).</w:t>
            </w:r>
            <w:r w:rsidRPr="00AB36C8">
              <w:rPr>
                <w:color w:val="000000"/>
                <w:sz w:val="22"/>
                <w:szCs w:val="22"/>
                <w:lang w:eastAsia="en-US"/>
              </w:rPr>
              <w:t xml:space="preserve"> </w:t>
            </w:r>
          </w:p>
          <w:p w14:paraId="317F43FE" w14:textId="77777777" w:rsidR="00AB36C8" w:rsidRPr="00AB36C8" w:rsidRDefault="00AB36C8" w:rsidP="00AB36C8">
            <w:pPr>
              <w:spacing w:after="0" w:line="240" w:lineRule="auto"/>
              <w:jc w:val="both"/>
              <w:rPr>
                <w:color w:val="000000"/>
                <w:sz w:val="22"/>
                <w:szCs w:val="22"/>
                <w:lang w:eastAsia="en-US"/>
              </w:rPr>
            </w:pPr>
            <w:r w:rsidRPr="00507FA5">
              <w:rPr>
                <w:color w:val="000000"/>
                <w:sz w:val="22"/>
                <w:szCs w:val="22"/>
                <w:lang w:eastAsia="en-US"/>
              </w:rPr>
              <w:t>4.</w:t>
            </w:r>
            <w:r w:rsidRPr="00507FA5">
              <w:rPr>
                <w:color w:val="000000"/>
                <w:sz w:val="14"/>
                <w:szCs w:val="14"/>
                <w:lang w:eastAsia="en-US"/>
              </w:rPr>
              <w:t xml:space="preserve">     </w:t>
            </w:r>
            <w:r w:rsidRPr="00507FA5">
              <w:rPr>
                <w:color w:val="000000"/>
                <w:sz w:val="22"/>
                <w:szCs w:val="22"/>
                <w:lang w:eastAsia="en-US"/>
              </w:rPr>
              <w:t>Operacinio stalo padėčių keitimo valdymas valdymo pulteliu arba kolonoje integruotu elektriniu valdymo pultu</w:t>
            </w:r>
            <w:r w:rsidRPr="00AB36C8">
              <w:rPr>
                <w:color w:val="000000"/>
                <w:sz w:val="22"/>
                <w:szCs w:val="22"/>
                <w:lang w:eastAsia="en-US"/>
              </w:rPr>
              <w:t xml:space="preserve"> </w:t>
            </w:r>
          </w:p>
          <w:p w14:paraId="76CB16DA" w14:textId="36C1524E" w:rsidR="00AB36C8" w:rsidRPr="00AB36C8" w:rsidRDefault="00AB36C8" w:rsidP="00AB36C8">
            <w:pPr>
              <w:spacing w:after="0" w:line="240" w:lineRule="auto"/>
              <w:jc w:val="both"/>
              <w:rPr>
                <w:color w:val="000000"/>
                <w:sz w:val="22"/>
                <w:szCs w:val="22"/>
                <w:lang w:eastAsia="en-US"/>
              </w:rPr>
            </w:pPr>
            <w:r w:rsidRPr="00507FA5">
              <w:rPr>
                <w:color w:val="000000"/>
                <w:sz w:val="22"/>
                <w:szCs w:val="22"/>
                <w:lang w:eastAsia="en-US"/>
              </w:rPr>
              <w:lastRenderedPageBreak/>
              <w:t>5.</w:t>
            </w:r>
            <w:r w:rsidRPr="00507FA5">
              <w:rPr>
                <w:color w:val="000000"/>
                <w:sz w:val="14"/>
                <w:szCs w:val="14"/>
                <w:lang w:eastAsia="en-US"/>
              </w:rPr>
              <w:t xml:space="preserve">   </w:t>
            </w:r>
            <w:r w:rsidRPr="00507FA5">
              <w:rPr>
                <w:color w:val="000000"/>
                <w:sz w:val="22"/>
                <w:szCs w:val="22"/>
                <w:lang w:eastAsia="en-US"/>
              </w:rPr>
              <w:t>Didžiausia leistina stalo darbinė apkrova ne mažiau kaip 400 kg.</w:t>
            </w:r>
          </w:p>
          <w:p w14:paraId="5EAC45DD" w14:textId="36D1FF7B" w:rsidR="00AB36C8" w:rsidRPr="00AB36C8" w:rsidRDefault="00AB36C8" w:rsidP="00AB36C8">
            <w:pPr>
              <w:spacing w:after="0" w:line="240" w:lineRule="auto"/>
              <w:jc w:val="both"/>
              <w:rPr>
                <w:color w:val="000000"/>
                <w:sz w:val="22"/>
                <w:szCs w:val="22"/>
                <w:lang w:eastAsia="en-US"/>
              </w:rPr>
            </w:pPr>
            <w:r w:rsidRPr="00AB36C8">
              <w:rPr>
                <w:color w:val="000000"/>
                <w:sz w:val="22"/>
                <w:szCs w:val="22"/>
                <w:lang w:eastAsia="en-US"/>
              </w:rPr>
              <w:t>6.   Išoriniai (</w:t>
            </w:r>
            <w:proofErr w:type="spellStart"/>
            <w:r w:rsidRPr="00AB36C8">
              <w:rPr>
                <w:color w:val="000000"/>
                <w:sz w:val="22"/>
                <w:szCs w:val="22"/>
                <w:lang w:eastAsia="en-US"/>
              </w:rPr>
              <w:t>gabaritiniai</w:t>
            </w:r>
            <w:proofErr w:type="spellEnd"/>
            <w:r w:rsidRPr="00AB36C8">
              <w:rPr>
                <w:color w:val="000000"/>
                <w:sz w:val="22"/>
                <w:szCs w:val="22"/>
                <w:lang w:eastAsia="en-US"/>
              </w:rPr>
              <w:t>) matmenys:</w:t>
            </w:r>
          </w:p>
          <w:p w14:paraId="7087477C" w14:textId="64608C55" w:rsidR="00AB36C8" w:rsidRPr="00AB36C8" w:rsidRDefault="00AB36C8" w:rsidP="00AB36C8">
            <w:pPr>
              <w:spacing w:after="0" w:line="240" w:lineRule="auto"/>
              <w:jc w:val="both"/>
              <w:rPr>
                <w:color w:val="000000"/>
                <w:sz w:val="22"/>
                <w:szCs w:val="22"/>
                <w:lang w:eastAsia="en-US"/>
              </w:rPr>
            </w:pPr>
            <w:r w:rsidRPr="00AB36C8">
              <w:rPr>
                <w:color w:val="000000"/>
                <w:sz w:val="22"/>
                <w:szCs w:val="22"/>
                <w:lang w:eastAsia="en-US"/>
              </w:rPr>
              <w:t>6.1.  Ilgis  ≥ 2000 mm.</w:t>
            </w:r>
          </w:p>
          <w:p w14:paraId="4B438A1E" w14:textId="656EB9AC" w:rsidR="00AB36C8" w:rsidRPr="00AB36C8" w:rsidRDefault="00AB36C8" w:rsidP="00AB36C8">
            <w:pPr>
              <w:spacing w:after="0" w:line="240" w:lineRule="auto"/>
              <w:jc w:val="both"/>
              <w:rPr>
                <w:color w:val="000000"/>
                <w:sz w:val="22"/>
                <w:szCs w:val="22"/>
                <w:lang w:eastAsia="en-US"/>
              </w:rPr>
            </w:pPr>
            <w:r w:rsidRPr="00AB36C8">
              <w:rPr>
                <w:color w:val="000000"/>
                <w:sz w:val="22"/>
                <w:szCs w:val="22"/>
                <w:lang w:eastAsia="en-US"/>
              </w:rPr>
              <w:t>6.2. Plotis (įskaitant prie stalviršio kraštų primontuotus šoninius europinio tipo bėgelius, bėgelis stalo priedams tvirtinti) ≥ 550 mm.</w:t>
            </w:r>
          </w:p>
          <w:p w14:paraId="553A5129" w14:textId="120123CD" w:rsidR="00507FA5" w:rsidRPr="00507FA5" w:rsidRDefault="00507FA5" w:rsidP="00507FA5">
            <w:pPr>
              <w:spacing w:after="0" w:line="240" w:lineRule="auto"/>
              <w:jc w:val="both"/>
              <w:rPr>
                <w:color w:val="000000"/>
                <w:sz w:val="22"/>
                <w:szCs w:val="22"/>
                <w:lang w:eastAsia="en-US"/>
              </w:rPr>
            </w:pPr>
          </w:p>
        </w:tc>
      </w:tr>
      <w:tr w:rsidR="00507FA5" w:rsidRPr="00507FA5" w14:paraId="5C2953EC" w14:textId="77777777" w:rsidTr="00AB36C8">
        <w:trPr>
          <w:gridAfter w:val="1"/>
          <w:wAfter w:w="236" w:type="dxa"/>
          <w:trHeight w:val="175"/>
        </w:trPr>
        <w:tc>
          <w:tcPr>
            <w:tcW w:w="1527" w:type="dxa"/>
            <w:vMerge/>
            <w:tcBorders>
              <w:left w:val="single" w:sz="4" w:space="0" w:color="auto"/>
              <w:right w:val="single" w:sz="8" w:space="0" w:color="auto"/>
            </w:tcBorders>
            <w:vAlign w:val="center"/>
            <w:hideMark/>
          </w:tcPr>
          <w:p w14:paraId="69CE6422" w14:textId="77777777" w:rsidR="00507FA5" w:rsidRPr="00507FA5" w:rsidRDefault="00507FA5" w:rsidP="00507FA5">
            <w:pPr>
              <w:spacing w:after="0" w:line="240" w:lineRule="auto"/>
              <w:rPr>
                <w:color w:val="000000"/>
                <w:sz w:val="22"/>
                <w:szCs w:val="22"/>
                <w:lang w:eastAsia="en-US"/>
              </w:rPr>
            </w:pPr>
          </w:p>
        </w:tc>
        <w:tc>
          <w:tcPr>
            <w:tcW w:w="2437" w:type="dxa"/>
            <w:vMerge/>
            <w:tcBorders>
              <w:left w:val="single" w:sz="8" w:space="0" w:color="auto"/>
              <w:right w:val="single" w:sz="8" w:space="0" w:color="auto"/>
            </w:tcBorders>
            <w:vAlign w:val="center"/>
            <w:hideMark/>
          </w:tcPr>
          <w:p w14:paraId="2DE46344" w14:textId="77777777" w:rsidR="00507FA5" w:rsidRPr="00507FA5" w:rsidRDefault="00507FA5" w:rsidP="00507FA5">
            <w:pPr>
              <w:spacing w:after="0" w:line="240" w:lineRule="auto"/>
              <w:rPr>
                <w:color w:val="000000"/>
                <w:sz w:val="22"/>
                <w:szCs w:val="22"/>
                <w:lang w:eastAsia="en-US"/>
              </w:rPr>
            </w:pPr>
          </w:p>
        </w:tc>
        <w:tc>
          <w:tcPr>
            <w:tcW w:w="5103" w:type="dxa"/>
            <w:tcBorders>
              <w:top w:val="nil"/>
              <w:left w:val="nil"/>
              <w:bottom w:val="single" w:sz="4" w:space="0" w:color="auto"/>
              <w:right w:val="single" w:sz="4" w:space="0" w:color="auto"/>
            </w:tcBorders>
            <w:vAlign w:val="center"/>
            <w:hideMark/>
          </w:tcPr>
          <w:p w14:paraId="2DC0E54C" w14:textId="0426573E" w:rsidR="00507FA5" w:rsidRPr="00507FA5" w:rsidRDefault="00507FA5" w:rsidP="00507FA5">
            <w:pPr>
              <w:spacing w:after="0" w:line="240" w:lineRule="auto"/>
              <w:contextualSpacing/>
              <w:jc w:val="both"/>
              <w:rPr>
                <w:color w:val="000000"/>
                <w:sz w:val="22"/>
                <w:szCs w:val="22"/>
                <w:lang w:eastAsia="en-US"/>
              </w:rPr>
            </w:pPr>
          </w:p>
        </w:tc>
      </w:tr>
      <w:tr w:rsidR="00507FA5" w:rsidRPr="00507FA5" w14:paraId="2F0DEF1C" w14:textId="77777777" w:rsidTr="00AB36C8">
        <w:trPr>
          <w:gridAfter w:val="1"/>
          <w:wAfter w:w="236" w:type="dxa"/>
          <w:trHeight w:val="900"/>
        </w:trPr>
        <w:tc>
          <w:tcPr>
            <w:tcW w:w="1527" w:type="dxa"/>
            <w:tcBorders>
              <w:top w:val="single" w:sz="4" w:space="0" w:color="auto"/>
              <w:left w:val="single" w:sz="4" w:space="0" w:color="auto"/>
              <w:bottom w:val="single" w:sz="4" w:space="0" w:color="auto"/>
              <w:right w:val="single" w:sz="8" w:space="0" w:color="auto"/>
            </w:tcBorders>
            <w:vAlign w:val="center"/>
            <w:hideMark/>
          </w:tcPr>
          <w:p w14:paraId="3885713B" w14:textId="77777777" w:rsidR="00507FA5" w:rsidRPr="00507FA5" w:rsidRDefault="00507FA5" w:rsidP="00507FA5">
            <w:pPr>
              <w:spacing w:after="0" w:line="240" w:lineRule="auto"/>
              <w:jc w:val="both"/>
              <w:rPr>
                <w:color w:val="000000"/>
                <w:sz w:val="22"/>
                <w:szCs w:val="22"/>
                <w:lang w:eastAsia="en-US"/>
              </w:rPr>
            </w:pPr>
            <w:r w:rsidRPr="00507FA5">
              <w:rPr>
                <w:color w:val="000000"/>
                <w:sz w:val="22"/>
                <w:szCs w:val="22"/>
                <w:lang w:eastAsia="en-US"/>
              </w:rPr>
              <w:t>3.</w:t>
            </w:r>
          </w:p>
        </w:tc>
        <w:tc>
          <w:tcPr>
            <w:tcW w:w="2437" w:type="dxa"/>
            <w:tcBorders>
              <w:top w:val="single" w:sz="4" w:space="0" w:color="auto"/>
              <w:left w:val="nil"/>
              <w:bottom w:val="single" w:sz="4" w:space="0" w:color="auto"/>
              <w:right w:val="nil"/>
            </w:tcBorders>
            <w:vAlign w:val="center"/>
            <w:hideMark/>
          </w:tcPr>
          <w:p w14:paraId="7255BEDF" w14:textId="77777777" w:rsidR="00507FA5" w:rsidRPr="00507FA5" w:rsidRDefault="00507FA5" w:rsidP="00507FA5">
            <w:pPr>
              <w:spacing w:after="0" w:line="240" w:lineRule="auto"/>
              <w:jc w:val="both"/>
              <w:rPr>
                <w:color w:val="000000"/>
                <w:sz w:val="22"/>
                <w:szCs w:val="22"/>
                <w:lang w:eastAsia="en-US"/>
              </w:rPr>
            </w:pPr>
            <w:r w:rsidRPr="00507FA5">
              <w:rPr>
                <w:color w:val="000000"/>
                <w:sz w:val="22"/>
                <w:szCs w:val="22"/>
                <w:lang w:eastAsia="en-US"/>
              </w:rPr>
              <w:t>Reikalavimai stalviršiui:</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E885411" w14:textId="77777777" w:rsidR="00507FA5" w:rsidRPr="00507FA5" w:rsidRDefault="00507FA5" w:rsidP="00507FA5">
            <w:pPr>
              <w:spacing w:after="0" w:line="240" w:lineRule="auto"/>
              <w:jc w:val="both"/>
              <w:rPr>
                <w:color w:val="000000"/>
                <w:sz w:val="22"/>
                <w:szCs w:val="22"/>
                <w:lang w:eastAsia="en-US"/>
              </w:rPr>
            </w:pPr>
            <w:r w:rsidRPr="00507FA5">
              <w:rPr>
                <w:color w:val="000000"/>
                <w:sz w:val="22"/>
                <w:szCs w:val="22"/>
                <w:lang w:eastAsia="en-US"/>
              </w:rPr>
              <w:t>Sudarytas iš šių atskirai valdomų ≥ 4 sekcijų</w:t>
            </w:r>
          </w:p>
        </w:tc>
      </w:tr>
      <w:tr w:rsidR="00507FA5" w:rsidRPr="00507FA5" w14:paraId="09112D0F" w14:textId="77777777" w:rsidTr="00AB36C8">
        <w:trPr>
          <w:gridAfter w:val="1"/>
          <w:wAfter w:w="236" w:type="dxa"/>
          <w:trHeight w:val="600"/>
        </w:trPr>
        <w:tc>
          <w:tcPr>
            <w:tcW w:w="1527" w:type="dxa"/>
            <w:tcBorders>
              <w:top w:val="single" w:sz="4" w:space="0" w:color="auto"/>
              <w:left w:val="single" w:sz="4" w:space="0" w:color="auto"/>
              <w:bottom w:val="single" w:sz="4" w:space="0" w:color="000000"/>
              <w:right w:val="single" w:sz="8" w:space="0" w:color="auto"/>
            </w:tcBorders>
            <w:vAlign w:val="center"/>
            <w:hideMark/>
          </w:tcPr>
          <w:p w14:paraId="449AE455" w14:textId="77777777" w:rsidR="00507FA5" w:rsidRPr="00507FA5" w:rsidRDefault="00507FA5" w:rsidP="00507FA5">
            <w:pPr>
              <w:spacing w:after="0" w:line="240" w:lineRule="auto"/>
              <w:jc w:val="both"/>
              <w:rPr>
                <w:color w:val="000000"/>
                <w:sz w:val="22"/>
                <w:szCs w:val="22"/>
                <w:lang w:eastAsia="en-US"/>
              </w:rPr>
            </w:pPr>
            <w:r w:rsidRPr="00507FA5">
              <w:rPr>
                <w:color w:val="000000"/>
                <w:sz w:val="22"/>
                <w:szCs w:val="22"/>
                <w:lang w:eastAsia="en-US"/>
              </w:rPr>
              <w:t>4.</w:t>
            </w:r>
          </w:p>
        </w:tc>
        <w:tc>
          <w:tcPr>
            <w:tcW w:w="2437" w:type="dxa"/>
            <w:tcBorders>
              <w:top w:val="single" w:sz="4" w:space="0" w:color="auto"/>
              <w:left w:val="single" w:sz="8" w:space="0" w:color="auto"/>
              <w:bottom w:val="single" w:sz="4" w:space="0" w:color="000000"/>
              <w:right w:val="single" w:sz="8" w:space="0" w:color="auto"/>
            </w:tcBorders>
            <w:vAlign w:val="center"/>
            <w:hideMark/>
          </w:tcPr>
          <w:p w14:paraId="05365E95" w14:textId="77777777" w:rsidR="00507FA5" w:rsidRPr="00507FA5" w:rsidRDefault="00507FA5" w:rsidP="00507FA5">
            <w:pPr>
              <w:spacing w:after="0" w:line="240" w:lineRule="auto"/>
              <w:jc w:val="both"/>
              <w:rPr>
                <w:color w:val="000000"/>
                <w:sz w:val="22"/>
                <w:szCs w:val="22"/>
                <w:lang w:eastAsia="en-US"/>
              </w:rPr>
            </w:pPr>
            <w:r w:rsidRPr="00507FA5">
              <w:rPr>
                <w:color w:val="000000"/>
                <w:sz w:val="22"/>
                <w:szCs w:val="22"/>
                <w:lang w:eastAsia="en-US"/>
              </w:rPr>
              <w:t>Reikalavimai čiužiniui:</w:t>
            </w:r>
          </w:p>
        </w:tc>
        <w:tc>
          <w:tcPr>
            <w:tcW w:w="5103" w:type="dxa"/>
            <w:tcBorders>
              <w:top w:val="single" w:sz="4" w:space="0" w:color="auto"/>
              <w:left w:val="nil"/>
              <w:bottom w:val="nil"/>
              <w:right w:val="single" w:sz="4" w:space="0" w:color="auto"/>
            </w:tcBorders>
            <w:vAlign w:val="center"/>
            <w:hideMark/>
          </w:tcPr>
          <w:p w14:paraId="2E30B023" w14:textId="77777777" w:rsidR="00AB36C8" w:rsidRPr="00AB36C8" w:rsidRDefault="00507FA5" w:rsidP="00507FA5">
            <w:pPr>
              <w:spacing w:after="0" w:line="240" w:lineRule="auto"/>
              <w:jc w:val="both"/>
              <w:rPr>
                <w:color w:val="000000"/>
                <w:sz w:val="22"/>
                <w:szCs w:val="22"/>
                <w:lang w:eastAsia="en-US"/>
              </w:rPr>
            </w:pPr>
            <w:r w:rsidRPr="00507FA5">
              <w:rPr>
                <w:color w:val="000000"/>
                <w:sz w:val="22"/>
                <w:szCs w:val="22"/>
                <w:lang w:eastAsia="en-US"/>
              </w:rPr>
              <w:t>1.</w:t>
            </w:r>
            <w:r w:rsidRPr="00507FA5">
              <w:rPr>
                <w:color w:val="000000"/>
                <w:sz w:val="14"/>
                <w:szCs w:val="14"/>
                <w:lang w:eastAsia="en-US"/>
              </w:rPr>
              <w:t xml:space="preserve">    </w:t>
            </w:r>
            <w:r w:rsidRPr="00507FA5">
              <w:rPr>
                <w:color w:val="000000"/>
                <w:sz w:val="22"/>
                <w:szCs w:val="22"/>
                <w:lang w:eastAsia="en-US"/>
              </w:rPr>
              <w:t>Pralaidus rentgeno spinduliams.</w:t>
            </w:r>
            <w:r w:rsidR="00AB36C8" w:rsidRPr="00AB36C8">
              <w:rPr>
                <w:color w:val="000000"/>
                <w:sz w:val="22"/>
                <w:szCs w:val="22"/>
                <w:lang w:eastAsia="en-US"/>
              </w:rPr>
              <w:t xml:space="preserve"> </w:t>
            </w:r>
          </w:p>
          <w:p w14:paraId="572A8790" w14:textId="77777777" w:rsidR="00507FA5" w:rsidRPr="00AB36C8" w:rsidRDefault="00AB36C8" w:rsidP="00507FA5">
            <w:pPr>
              <w:spacing w:after="0" w:line="240" w:lineRule="auto"/>
              <w:jc w:val="both"/>
              <w:rPr>
                <w:color w:val="000000"/>
                <w:sz w:val="22"/>
                <w:szCs w:val="22"/>
                <w:lang w:eastAsia="en-US"/>
              </w:rPr>
            </w:pPr>
            <w:r w:rsidRPr="00507FA5">
              <w:rPr>
                <w:color w:val="000000"/>
                <w:sz w:val="22"/>
                <w:szCs w:val="22"/>
                <w:lang w:eastAsia="en-US"/>
              </w:rPr>
              <w:t>2.</w:t>
            </w:r>
            <w:r w:rsidRPr="00507FA5">
              <w:rPr>
                <w:color w:val="000000"/>
                <w:sz w:val="14"/>
                <w:szCs w:val="14"/>
                <w:lang w:eastAsia="en-US"/>
              </w:rPr>
              <w:t xml:space="preserve">     </w:t>
            </w:r>
            <w:r w:rsidRPr="00507FA5">
              <w:rPr>
                <w:color w:val="000000"/>
                <w:sz w:val="22"/>
                <w:szCs w:val="22"/>
                <w:lang w:eastAsia="en-US"/>
              </w:rPr>
              <w:t>Fiksuotas prie stalviršio konstrukcijos, nuimamas nenaudojant įrankių</w:t>
            </w:r>
          </w:p>
          <w:p w14:paraId="11D73B78" w14:textId="159F897D" w:rsidR="00AB36C8" w:rsidRPr="00507FA5" w:rsidRDefault="00AB36C8" w:rsidP="00507FA5">
            <w:pPr>
              <w:spacing w:after="0" w:line="240" w:lineRule="auto"/>
              <w:jc w:val="both"/>
              <w:rPr>
                <w:color w:val="000000"/>
                <w:sz w:val="22"/>
                <w:szCs w:val="22"/>
                <w:lang w:eastAsia="en-US"/>
              </w:rPr>
            </w:pPr>
            <w:r w:rsidRPr="00507FA5">
              <w:rPr>
                <w:color w:val="000000"/>
                <w:sz w:val="22"/>
                <w:szCs w:val="22"/>
                <w:lang w:eastAsia="en-US"/>
              </w:rPr>
              <w:t>3.</w:t>
            </w:r>
            <w:r w:rsidRPr="00507FA5">
              <w:rPr>
                <w:color w:val="000000"/>
                <w:sz w:val="14"/>
                <w:szCs w:val="14"/>
                <w:lang w:eastAsia="en-US"/>
              </w:rPr>
              <w:t xml:space="preserve">     </w:t>
            </w:r>
            <w:r w:rsidRPr="00507FA5">
              <w:rPr>
                <w:color w:val="000000"/>
                <w:sz w:val="22"/>
                <w:szCs w:val="22"/>
                <w:lang w:eastAsia="en-US"/>
              </w:rPr>
              <w:t>Čiužinio storis ≥ 60 mm.</w:t>
            </w:r>
          </w:p>
        </w:tc>
      </w:tr>
      <w:tr w:rsidR="00507FA5" w:rsidRPr="00507FA5" w14:paraId="5041DDE0" w14:textId="77777777" w:rsidTr="00AB36C8">
        <w:trPr>
          <w:gridAfter w:val="1"/>
          <w:wAfter w:w="236" w:type="dxa"/>
          <w:trHeight w:val="1200"/>
        </w:trPr>
        <w:tc>
          <w:tcPr>
            <w:tcW w:w="1527" w:type="dxa"/>
            <w:tcBorders>
              <w:top w:val="single" w:sz="4" w:space="0" w:color="auto"/>
              <w:left w:val="single" w:sz="4" w:space="0" w:color="auto"/>
              <w:bottom w:val="single" w:sz="4" w:space="0" w:color="000000"/>
              <w:right w:val="single" w:sz="8" w:space="0" w:color="auto"/>
            </w:tcBorders>
            <w:hideMark/>
          </w:tcPr>
          <w:p w14:paraId="1E6732B4" w14:textId="77777777" w:rsidR="00507FA5" w:rsidRPr="00507FA5" w:rsidRDefault="00507FA5" w:rsidP="00507FA5">
            <w:pPr>
              <w:spacing w:after="0" w:line="240" w:lineRule="auto"/>
              <w:jc w:val="both"/>
              <w:rPr>
                <w:color w:val="000000"/>
                <w:sz w:val="22"/>
                <w:szCs w:val="22"/>
                <w:lang w:eastAsia="en-US"/>
              </w:rPr>
            </w:pPr>
            <w:r w:rsidRPr="00507FA5">
              <w:rPr>
                <w:color w:val="000000"/>
                <w:sz w:val="22"/>
                <w:szCs w:val="22"/>
                <w:lang w:eastAsia="en-US"/>
              </w:rPr>
              <w:t>5.</w:t>
            </w:r>
          </w:p>
        </w:tc>
        <w:tc>
          <w:tcPr>
            <w:tcW w:w="2437" w:type="dxa"/>
            <w:tcBorders>
              <w:top w:val="single" w:sz="4" w:space="0" w:color="auto"/>
              <w:left w:val="single" w:sz="8" w:space="0" w:color="auto"/>
              <w:bottom w:val="single" w:sz="4" w:space="0" w:color="000000"/>
              <w:right w:val="single" w:sz="8" w:space="0" w:color="auto"/>
            </w:tcBorders>
            <w:hideMark/>
          </w:tcPr>
          <w:p w14:paraId="7810EC5E" w14:textId="77777777" w:rsidR="00507FA5" w:rsidRPr="00507FA5" w:rsidRDefault="00507FA5" w:rsidP="00507FA5">
            <w:pPr>
              <w:spacing w:after="0" w:line="240" w:lineRule="auto"/>
              <w:jc w:val="both"/>
              <w:rPr>
                <w:color w:val="000000"/>
                <w:sz w:val="22"/>
                <w:szCs w:val="22"/>
                <w:lang w:eastAsia="en-US"/>
              </w:rPr>
            </w:pPr>
            <w:r w:rsidRPr="00507FA5">
              <w:rPr>
                <w:color w:val="000000"/>
                <w:sz w:val="22"/>
                <w:szCs w:val="22"/>
                <w:lang w:eastAsia="en-US"/>
              </w:rPr>
              <w:t xml:space="preserve"> Stalviršio padėties</w:t>
            </w:r>
            <w:r w:rsidRPr="00507FA5">
              <w:rPr>
                <w:color w:val="000000"/>
                <w:sz w:val="22"/>
                <w:szCs w:val="22"/>
                <w:lang w:eastAsia="en-US"/>
              </w:rPr>
              <w:br/>
              <w:t>reguliavimas</w:t>
            </w:r>
          </w:p>
        </w:tc>
        <w:tc>
          <w:tcPr>
            <w:tcW w:w="5103" w:type="dxa"/>
            <w:tcBorders>
              <w:top w:val="single" w:sz="4" w:space="0" w:color="auto"/>
              <w:left w:val="nil"/>
              <w:bottom w:val="nil"/>
              <w:right w:val="single" w:sz="4" w:space="0" w:color="auto"/>
            </w:tcBorders>
            <w:vAlign w:val="center"/>
            <w:hideMark/>
          </w:tcPr>
          <w:p w14:paraId="557CE38B" w14:textId="77777777" w:rsidR="00AB36C8" w:rsidRPr="00AB36C8" w:rsidRDefault="00507FA5" w:rsidP="00507FA5">
            <w:pPr>
              <w:spacing w:after="0" w:line="240" w:lineRule="auto"/>
              <w:jc w:val="both"/>
              <w:rPr>
                <w:color w:val="000000"/>
                <w:sz w:val="22"/>
                <w:szCs w:val="22"/>
                <w:lang w:eastAsia="en-US"/>
              </w:rPr>
            </w:pPr>
            <w:r w:rsidRPr="00507FA5">
              <w:rPr>
                <w:color w:val="000000"/>
                <w:sz w:val="22"/>
                <w:szCs w:val="22"/>
                <w:lang w:eastAsia="en-US"/>
              </w:rPr>
              <w:t>1.</w:t>
            </w:r>
            <w:r w:rsidRPr="00507FA5">
              <w:rPr>
                <w:color w:val="000000"/>
                <w:sz w:val="14"/>
                <w:szCs w:val="14"/>
                <w:lang w:eastAsia="en-US"/>
              </w:rPr>
              <w:t xml:space="preserve">  </w:t>
            </w:r>
            <w:r w:rsidRPr="00507FA5">
              <w:rPr>
                <w:color w:val="000000"/>
                <w:sz w:val="22"/>
                <w:szCs w:val="22"/>
                <w:lang w:eastAsia="en-US"/>
              </w:rPr>
              <w:t xml:space="preserve"> Stalviršio (be čiužinio) aukščio reguliavimas intervale   ≥ (700 – 1030) mm;</w:t>
            </w:r>
            <w:r w:rsidR="00AB36C8" w:rsidRPr="00AB36C8">
              <w:rPr>
                <w:color w:val="000000"/>
                <w:sz w:val="22"/>
                <w:szCs w:val="22"/>
                <w:lang w:eastAsia="en-US"/>
              </w:rPr>
              <w:t xml:space="preserve"> </w:t>
            </w:r>
          </w:p>
          <w:p w14:paraId="7E7B54A5" w14:textId="77777777" w:rsidR="00AB36C8" w:rsidRPr="00AB36C8" w:rsidRDefault="00AB36C8" w:rsidP="00507FA5">
            <w:pPr>
              <w:spacing w:after="0" w:line="240" w:lineRule="auto"/>
              <w:jc w:val="both"/>
              <w:rPr>
                <w:color w:val="000000"/>
                <w:sz w:val="22"/>
                <w:szCs w:val="22"/>
                <w:lang w:eastAsia="en-US"/>
              </w:rPr>
            </w:pPr>
            <w:r w:rsidRPr="00507FA5">
              <w:rPr>
                <w:color w:val="000000"/>
                <w:sz w:val="22"/>
                <w:szCs w:val="22"/>
                <w:lang w:eastAsia="en-US"/>
              </w:rPr>
              <w:t>2.</w:t>
            </w:r>
            <w:r w:rsidRPr="00507FA5">
              <w:rPr>
                <w:color w:val="000000"/>
                <w:sz w:val="14"/>
                <w:szCs w:val="14"/>
                <w:lang w:eastAsia="en-US"/>
              </w:rPr>
              <w:t xml:space="preserve">  </w:t>
            </w:r>
            <w:r w:rsidRPr="00507FA5">
              <w:rPr>
                <w:color w:val="000000"/>
                <w:sz w:val="22"/>
                <w:szCs w:val="22"/>
                <w:lang w:eastAsia="en-US"/>
              </w:rPr>
              <w:t xml:space="preserve"> </w:t>
            </w:r>
            <w:proofErr w:type="spellStart"/>
            <w:r w:rsidRPr="00507FA5">
              <w:rPr>
                <w:color w:val="000000"/>
                <w:sz w:val="22"/>
                <w:szCs w:val="22"/>
                <w:lang w:eastAsia="en-US"/>
              </w:rPr>
              <w:t>Trendelenburgo</w:t>
            </w:r>
            <w:proofErr w:type="spellEnd"/>
            <w:r w:rsidRPr="00507FA5">
              <w:rPr>
                <w:color w:val="000000"/>
                <w:sz w:val="22"/>
                <w:szCs w:val="22"/>
                <w:lang w:eastAsia="en-US"/>
              </w:rPr>
              <w:t xml:space="preserve">/ </w:t>
            </w:r>
            <w:proofErr w:type="spellStart"/>
            <w:r w:rsidRPr="00507FA5">
              <w:rPr>
                <w:color w:val="000000"/>
                <w:sz w:val="22"/>
                <w:szCs w:val="22"/>
                <w:lang w:eastAsia="en-US"/>
              </w:rPr>
              <w:t>Anti-Trendelenburgo</w:t>
            </w:r>
            <w:proofErr w:type="spellEnd"/>
            <w:r w:rsidRPr="00507FA5">
              <w:rPr>
                <w:color w:val="000000"/>
                <w:sz w:val="22"/>
                <w:szCs w:val="22"/>
                <w:lang w:eastAsia="en-US"/>
              </w:rPr>
              <w:t xml:space="preserve"> padėties nustatymas   ≥ ±26°;</w:t>
            </w:r>
            <w:r w:rsidRPr="00AB36C8">
              <w:rPr>
                <w:color w:val="000000"/>
                <w:sz w:val="22"/>
                <w:szCs w:val="22"/>
                <w:lang w:eastAsia="en-US"/>
              </w:rPr>
              <w:t xml:space="preserve"> </w:t>
            </w:r>
          </w:p>
          <w:p w14:paraId="395EFC72" w14:textId="77777777" w:rsidR="00AB36C8" w:rsidRPr="00AB36C8" w:rsidRDefault="00AB36C8" w:rsidP="00507FA5">
            <w:pPr>
              <w:spacing w:after="0" w:line="240" w:lineRule="auto"/>
              <w:jc w:val="both"/>
              <w:rPr>
                <w:color w:val="000000"/>
                <w:sz w:val="22"/>
                <w:szCs w:val="22"/>
                <w:lang w:eastAsia="en-US"/>
              </w:rPr>
            </w:pPr>
            <w:r w:rsidRPr="00507FA5">
              <w:rPr>
                <w:color w:val="000000"/>
                <w:sz w:val="22"/>
                <w:szCs w:val="22"/>
                <w:lang w:eastAsia="en-US"/>
              </w:rPr>
              <w:t>3.</w:t>
            </w:r>
            <w:r w:rsidRPr="00507FA5">
              <w:rPr>
                <w:color w:val="000000"/>
                <w:sz w:val="14"/>
                <w:szCs w:val="14"/>
                <w:lang w:eastAsia="en-US"/>
              </w:rPr>
              <w:t xml:space="preserve">  </w:t>
            </w:r>
            <w:r w:rsidRPr="00507FA5">
              <w:rPr>
                <w:color w:val="000000"/>
                <w:sz w:val="22"/>
                <w:szCs w:val="22"/>
                <w:lang w:eastAsia="en-US"/>
              </w:rPr>
              <w:t xml:space="preserve"> Šoninis (</w:t>
            </w:r>
            <w:proofErr w:type="spellStart"/>
            <w:r w:rsidRPr="00507FA5">
              <w:rPr>
                <w:color w:val="000000"/>
                <w:sz w:val="22"/>
                <w:szCs w:val="22"/>
                <w:lang w:eastAsia="en-US"/>
              </w:rPr>
              <w:t>lateralinis</w:t>
            </w:r>
            <w:proofErr w:type="spellEnd"/>
            <w:r w:rsidRPr="00507FA5">
              <w:rPr>
                <w:color w:val="000000"/>
                <w:sz w:val="22"/>
                <w:szCs w:val="22"/>
                <w:lang w:eastAsia="en-US"/>
              </w:rPr>
              <w:t>) pavertimas ≥ ±20°;</w:t>
            </w:r>
          </w:p>
          <w:p w14:paraId="317DDAEA" w14:textId="77777777" w:rsidR="00AB36C8" w:rsidRPr="00AB36C8" w:rsidRDefault="00AB36C8" w:rsidP="00507FA5">
            <w:pPr>
              <w:spacing w:after="0" w:line="240" w:lineRule="auto"/>
              <w:jc w:val="both"/>
              <w:rPr>
                <w:color w:val="000000"/>
                <w:sz w:val="22"/>
                <w:szCs w:val="22"/>
                <w:lang w:eastAsia="en-US"/>
              </w:rPr>
            </w:pPr>
            <w:r w:rsidRPr="00507FA5">
              <w:rPr>
                <w:color w:val="000000"/>
                <w:sz w:val="22"/>
                <w:szCs w:val="22"/>
                <w:lang w:eastAsia="en-US"/>
              </w:rPr>
              <w:t>4.</w:t>
            </w:r>
            <w:r w:rsidRPr="00507FA5">
              <w:rPr>
                <w:color w:val="000000"/>
                <w:sz w:val="14"/>
                <w:szCs w:val="14"/>
                <w:lang w:eastAsia="en-US"/>
              </w:rPr>
              <w:t xml:space="preserve">  </w:t>
            </w:r>
            <w:r w:rsidRPr="00507FA5">
              <w:rPr>
                <w:color w:val="000000"/>
                <w:sz w:val="22"/>
                <w:szCs w:val="22"/>
                <w:lang w:eastAsia="en-US"/>
              </w:rPr>
              <w:t xml:space="preserve"> Nugaros segmento reguliavimas intervale ≥ (nuo -35° iki + 70°);</w:t>
            </w:r>
            <w:r w:rsidRPr="00AB36C8">
              <w:rPr>
                <w:color w:val="000000"/>
                <w:sz w:val="22"/>
                <w:szCs w:val="22"/>
                <w:lang w:eastAsia="en-US"/>
              </w:rPr>
              <w:t xml:space="preserve"> </w:t>
            </w:r>
          </w:p>
          <w:p w14:paraId="450BCB08" w14:textId="77777777" w:rsidR="00AB36C8" w:rsidRPr="00AB36C8" w:rsidRDefault="00AB36C8" w:rsidP="00507FA5">
            <w:pPr>
              <w:spacing w:after="0" w:line="240" w:lineRule="auto"/>
              <w:jc w:val="both"/>
              <w:rPr>
                <w:color w:val="000000"/>
                <w:sz w:val="22"/>
                <w:szCs w:val="22"/>
                <w:lang w:eastAsia="en-US"/>
              </w:rPr>
            </w:pPr>
            <w:r w:rsidRPr="00507FA5">
              <w:rPr>
                <w:color w:val="000000"/>
                <w:sz w:val="22"/>
                <w:szCs w:val="22"/>
                <w:lang w:eastAsia="en-US"/>
              </w:rPr>
              <w:t>5. Išilginis stalviršio paslinkimas ≥ 300 mm, kad garantuotų geriausiai įmanomą prieigą rentgeno C lankui;</w:t>
            </w:r>
            <w:r w:rsidRPr="00AB36C8">
              <w:rPr>
                <w:color w:val="000000"/>
                <w:sz w:val="22"/>
                <w:szCs w:val="22"/>
                <w:lang w:eastAsia="en-US"/>
              </w:rPr>
              <w:t xml:space="preserve"> </w:t>
            </w:r>
          </w:p>
          <w:p w14:paraId="3C48CF34" w14:textId="017A1F34" w:rsidR="00507FA5" w:rsidRPr="00507FA5" w:rsidRDefault="00AB36C8" w:rsidP="00507FA5">
            <w:pPr>
              <w:spacing w:after="0" w:line="240" w:lineRule="auto"/>
              <w:jc w:val="both"/>
              <w:rPr>
                <w:color w:val="000000"/>
                <w:sz w:val="22"/>
                <w:szCs w:val="22"/>
                <w:lang w:eastAsia="en-US"/>
              </w:rPr>
            </w:pPr>
            <w:r w:rsidRPr="00507FA5">
              <w:rPr>
                <w:color w:val="000000"/>
                <w:sz w:val="22"/>
                <w:szCs w:val="22"/>
                <w:lang w:eastAsia="en-US"/>
              </w:rPr>
              <w:t>6. Nulinės padėties nustatymas.</w:t>
            </w:r>
          </w:p>
        </w:tc>
      </w:tr>
      <w:tr w:rsidR="00507FA5" w:rsidRPr="00507FA5" w14:paraId="74B2D965" w14:textId="77777777" w:rsidTr="00AB36C8">
        <w:trPr>
          <w:gridAfter w:val="1"/>
          <w:wAfter w:w="236" w:type="dxa"/>
          <w:trHeight w:val="315"/>
        </w:trPr>
        <w:tc>
          <w:tcPr>
            <w:tcW w:w="1527" w:type="dxa"/>
            <w:tcBorders>
              <w:top w:val="single" w:sz="4" w:space="0" w:color="auto"/>
              <w:left w:val="single" w:sz="4" w:space="0" w:color="auto"/>
              <w:bottom w:val="single" w:sz="4" w:space="0" w:color="auto"/>
              <w:right w:val="single" w:sz="8" w:space="0" w:color="auto"/>
            </w:tcBorders>
            <w:vAlign w:val="center"/>
            <w:hideMark/>
          </w:tcPr>
          <w:p w14:paraId="6F0660BB" w14:textId="77777777" w:rsidR="00507FA5" w:rsidRPr="00507FA5" w:rsidRDefault="00507FA5" w:rsidP="00507FA5">
            <w:pPr>
              <w:spacing w:after="0" w:line="240" w:lineRule="auto"/>
              <w:jc w:val="both"/>
              <w:rPr>
                <w:color w:val="000000"/>
                <w:sz w:val="22"/>
                <w:szCs w:val="22"/>
                <w:lang w:eastAsia="en-US"/>
              </w:rPr>
            </w:pPr>
            <w:r w:rsidRPr="00507FA5">
              <w:rPr>
                <w:color w:val="000000"/>
                <w:sz w:val="22"/>
                <w:szCs w:val="22"/>
                <w:lang w:eastAsia="en-US"/>
              </w:rPr>
              <w:t>6.</w:t>
            </w:r>
          </w:p>
        </w:tc>
        <w:tc>
          <w:tcPr>
            <w:tcW w:w="2437" w:type="dxa"/>
            <w:tcBorders>
              <w:top w:val="single" w:sz="4" w:space="0" w:color="auto"/>
              <w:left w:val="nil"/>
              <w:bottom w:val="single" w:sz="4" w:space="0" w:color="auto"/>
              <w:right w:val="nil"/>
            </w:tcBorders>
            <w:vAlign w:val="center"/>
            <w:hideMark/>
          </w:tcPr>
          <w:p w14:paraId="62B9C7DD" w14:textId="77777777" w:rsidR="00507FA5" w:rsidRPr="00507FA5" w:rsidRDefault="00507FA5" w:rsidP="00507FA5">
            <w:pPr>
              <w:spacing w:after="0" w:line="240" w:lineRule="auto"/>
              <w:rPr>
                <w:color w:val="000000"/>
                <w:sz w:val="22"/>
                <w:szCs w:val="22"/>
                <w:lang w:eastAsia="en-US"/>
              </w:rPr>
            </w:pPr>
            <w:r w:rsidRPr="00507FA5">
              <w:rPr>
                <w:color w:val="000000"/>
                <w:sz w:val="22"/>
                <w:szCs w:val="22"/>
                <w:lang w:eastAsia="en-US"/>
              </w:rPr>
              <w:t>Operacinio stalo komplektacija:</w:t>
            </w:r>
          </w:p>
        </w:tc>
        <w:tc>
          <w:tcPr>
            <w:tcW w:w="5103" w:type="dxa"/>
            <w:tcBorders>
              <w:top w:val="single" w:sz="4" w:space="0" w:color="auto"/>
              <w:left w:val="nil"/>
              <w:bottom w:val="single" w:sz="4" w:space="0" w:color="auto"/>
              <w:right w:val="single" w:sz="4" w:space="0" w:color="auto"/>
            </w:tcBorders>
            <w:vAlign w:val="center"/>
            <w:hideMark/>
          </w:tcPr>
          <w:p w14:paraId="0C3552B6" w14:textId="77777777" w:rsidR="00507FA5" w:rsidRPr="00507FA5" w:rsidRDefault="00507FA5" w:rsidP="00507FA5">
            <w:pPr>
              <w:spacing w:after="0" w:line="240" w:lineRule="auto"/>
              <w:rPr>
                <w:b/>
                <w:bCs/>
                <w:color w:val="000000"/>
                <w:sz w:val="22"/>
                <w:szCs w:val="22"/>
                <w:lang w:eastAsia="en-US"/>
              </w:rPr>
            </w:pPr>
            <w:r w:rsidRPr="00507FA5">
              <w:rPr>
                <w:b/>
                <w:bCs/>
                <w:color w:val="000000"/>
                <w:sz w:val="22"/>
                <w:szCs w:val="22"/>
                <w:lang w:eastAsia="en-US"/>
              </w:rPr>
              <w:t> </w:t>
            </w:r>
          </w:p>
        </w:tc>
      </w:tr>
      <w:tr w:rsidR="00507FA5" w:rsidRPr="00507FA5" w14:paraId="4913600F" w14:textId="77777777" w:rsidTr="00AB36C8">
        <w:trPr>
          <w:gridAfter w:val="1"/>
          <w:wAfter w:w="236" w:type="dxa"/>
          <w:trHeight w:val="600"/>
        </w:trPr>
        <w:tc>
          <w:tcPr>
            <w:tcW w:w="1527" w:type="dxa"/>
            <w:tcBorders>
              <w:top w:val="single" w:sz="4" w:space="0" w:color="auto"/>
              <w:left w:val="single" w:sz="4" w:space="0" w:color="auto"/>
              <w:bottom w:val="single" w:sz="4" w:space="0" w:color="000000"/>
              <w:right w:val="single" w:sz="8" w:space="0" w:color="auto"/>
            </w:tcBorders>
            <w:vAlign w:val="center"/>
            <w:hideMark/>
          </w:tcPr>
          <w:p w14:paraId="0C4AEA43" w14:textId="77777777" w:rsidR="00507FA5" w:rsidRPr="00507FA5" w:rsidRDefault="00507FA5" w:rsidP="00507FA5">
            <w:pPr>
              <w:spacing w:after="0" w:line="240" w:lineRule="auto"/>
              <w:jc w:val="both"/>
              <w:rPr>
                <w:color w:val="000000"/>
                <w:sz w:val="22"/>
                <w:szCs w:val="22"/>
                <w:lang w:eastAsia="en-US"/>
              </w:rPr>
            </w:pPr>
            <w:r w:rsidRPr="00507FA5">
              <w:rPr>
                <w:color w:val="000000"/>
                <w:sz w:val="22"/>
                <w:szCs w:val="22"/>
                <w:lang w:eastAsia="en-US"/>
              </w:rPr>
              <w:t>6.1</w:t>
            </w:r>
          </w:p>
        </w:tc>
        <w:tc>
          <w:tcPr>
            <w:tcW w:w="2437" w:type="dxa"/>
            <w:tcBorders>
              <w:top w:val="single" w:sz="4" w:space="0" w:color="auto"/>
              <w:left w:val="single" w:sz="8" w:space="0" w:color="auto"/>
              <w:bottom w:val="single" w:sz="4" w:space="0" w:color="000000"/>
              <w:right w:val="single" w:sz="8" w:space="0" w:color="auto"/>
            </w:tcBorders>
            <w:vAlign w:val="center"/>
            <w:hideMark/>
          </w:tcPr>
          <w:p w14:paraId="3109B57A" w14:textId="77777777" w:rsidR="00507FA5" w:rsidRPr="00507FA5" w:rsidRDefault="00507FA5" w:rsidP="00507FA5">
            <w:pPr>
              <w:spacing w:after="0" w:line="240" w:lineRule="auto"/>
              <w:jc w:val="both"/>
              <w:rPr>
                <w:color w:val="000000"/>
                <w:sz w:val="22"/>
                <w:szCs w:val="22"/>
                <w:lang w:eastAsia="en-US"/>
              </w:rPr>
            </w:pPr>
            <w:r w:rsidRPr="00507FA5">
              <w:rPr>
                <w:color w:val="000000"/>
                <w:sz w:val="22"/>
                <w:szCs w:val="22"/>
                <w:lang w:eastAsia="en-US"/>
              </w:rPr>
              <w:t>Anestezijos rėmas</w:t>
            </w:r>
          </w:p>
        </w:tc>
        <w:tc>
          <w:tcPr>
            <w:tcW w:w="5103" w:type="dxa"/>
            <w:tcBorders>
              <w:top w:val="single" w:sz="4" w:space="0" w:color="auto"/>
              <w:left w:val="nil"/>
              <w:bottom w:val="nil"/>
              <w:right w:val="single" w:sz="4" w:space="0" w:color="auto"/>
            </w:tcBorders>
            <w:vAlign w:val="center"/>
            <w:hideMark/>
          </w:tcPr>
          <w:p w14:paraId="2F23A0CD" w14:textId="77777777" w:rsidR="00BF1BC2" w:rsidRDefault="00507FA5" w:rsidP="00507FA5">
            <w:pPr>
              <w:spacing w:after="0" w:line="240" w:lineRule="auto"/>
              <w:jc w:val="both"/>
              <w:rPr>
                <w:color w:val="000000"/>
                <w:sz w:val="22"/>
                <w:szCs w:val="22"/>
                <w:lang w:eastAsia="en-US"/>
              </w:rPr>
            </w:pPr>
            <w:r w:rsidRPr="00507FA5">
              <w:rPr>
                <w:color w:val="000000"/>
                <w:sz w:val="22"/>
                <w:szCs w:val="22"/>
                <w:lang w:eastAsia="en-US"/>
              </w:rPr>
              <w:t>1. Tvirtinamas prie operacinio stalo.</w:t>
            </w:r>
            <w:r w:rsidR="00BF1BC2">
              <w:rPr>
                <w:color w:val="000000"/>
                <w:sz w:val="22"/>
                <w:szCs w:val="22"/>
                <w:lang w:eastAsia="en-US"/>
              </w:rPr>
              <w:t xml:space="preserve"> </w:t>
            </w:r>
          </w:p>
          <w:p w14:paraId="5C83D871" w14:textId="30B1C6C7" w:rsidR="00507FA5" w:rsidRPr="00507FA5" w:rsidRDefault="00BF1BC2" w:rsidP="00507FA5">
            <w:pPr>
              <w:spacing w:after="0" w:line="240" w:lineRule="auto"/>
              <w:jc w:val="both"/>
              <w:rPr>
                <w:color w:val="000000"/>
                <w:sz w:val="22"/>
                <w:szCs w:val="22"/>
                <w:lang w:eastAsia="en-US"/>
              </w:rPr>
            </w:pPr>
            <w:r w:rsidRPr="00507FA5">
              <w:rPr>
                <w:color w:val="000000"/>
                <w:sz w:val="22"/>
                <w:szCs w:val="22"/>
                <w:lang w:eastAsia="en-US"/>
              </w:rPr>
              <w:t>2. ,,L‘‘ formos</w:t>
            </w:r>
          </w:p>
        </w:tc>
      </w:tr>
      <w:tr w:rsidR="00507FA5" w:rsidRPr="00507FA5" w14:paraId="5AA354D6" w14:textId="77777777" w:rsidTr="00AB36C8">
        <w:trPr>
          <w:gridAfter w:val="1"/>
          <w:wAfter w:w="236" w:type="dxa"/>
          <w:trHeight w:val="600"/>
        </w:trPr>
        <w:tc>
          <w:tcPr>
            <w:tcW w:w="1527" w:type="dxa"/>
            <w:vMerge w:val="restart"/>
            <w:tcBorders>
              <w:top w:val="single" w:sz="4" w:space="0" w:color="auto"/>
              <w:left w:val="single" w:sz="4" w:space="0" w:color="auto"/>
              <w:bottom w:val="single" w:sz="4" w:space="0" w:color="000000"/>
              <w:right w:val="single" w:sz="8" w:space="0" w:color="auto"/>
            </w:tcBorders>
            <w:vAlign w:val="center"/>
            <w:hideMark/>
          </w:tcPr>
          <w:p w14:paraId="4904A9C6" w14:textId="77777777" w:rsidR="00507FA5" w:rsidRPr="00507FA5" w:rsidRDefault="00507FA5" w:rsidP="00507FA5">
            <w:pPr>
              <w:spacing w:after="0" w:line="240" w:lineRule="auto"/>
              <w:jc w:val="both"/>
              <w:rPr>
                <w:color w:val="000000"/>
                <w:sz w:val="22"/>
                <w:szCs w:val="22"/>
                <w:lang w:eastAsia="en-US"/>
              </w:rPr>
            </w:pPr>
            <w:r w:rsidRPr="00507FA5">
              <w:rPr>
                <w:color w:val="000000"/>
                <w:sz w:val="22"/>
                <w:szCs w:val="22"/>
                <w:lang w:eastAsia="en-US"/>
              </w:rPr>
              <w:t>6.2</w:t>
            </w:r>
          </w:p>
        </w:tc>
        <w:tc>
          <w:tcPr>
            <w:tcW w:w="2437" w:type="dxa"/>
            <w:vMerge w:val="restart"/>
            <w:tcBorders>
              <w:top w:val="single" w:sz="4" w:space="0" w:color="auto"/>
              <w:left w:val="single" w:sz="8" w:space="0" w:color="auto"/>
              <w:bottom w:val="single" w:sz="4" w:space="0" w:color="000000"/>
              <w:right w:val="single" w:sz="8" w:space="0" w:color="auto"/>
            </w:tcBorders>
            <w:vAlign w:val="center"/>
            <w:hideMark/>
          </w:tcPr>
          <w:p w14:paraId="52F1F6E8" w14:textId="77777777" w:rsidR="00507FA5" w:rsidRPr="00507FA5" w:rsidRDefault="00507FA5" w:rsidP="00507FA5">
            <w:pPr>
              <w:spacing w:after="0" w:line="240" w:lineRule="auto"/>
              <w:jc w:val="both"/>
              <w:rPr>
                <w:color w:val="000000"/>
                <w:sz w:val="22"/>
                <w:szCs w:val="22"/>
                <w:lang w:eastAsia="en-US"/>
              </w:rPr>
            </w:pPr>
            <w:r w:rsidRPr="00507FA5">
              <w:rPr>
                <w:color w:val="000000"/>
                <w:sz w:val="22"/>
                <w:szCs w:val="22"/>
                <w:lang w:eastAsia="en-US"/>
              </w:rPr>
              <w:t>Rankos atrama, skirta padėti rankai – 2 vnt.</w:t>
            </w:r>
          </w:p>
        </w:tc>
        <w:tc>
          <w:tcPr>
            <w:tcW w:w="5103" w:type="dxa"/>
            <w:tcBorders>
              <w:top w:val="single" w:sz="4" w:space="0" w:color="auto"/>
              <w:left w:val="nil"/>
              <w:bottom w:val="nil"/>
              <w:right w:val="single" w:sz="4" w:space="0" w:color="auto"/>
            </w:tcBorders>
            <w:vAlign w:val="center"/>
            <w:hideMark/>
          </w:tcPr>
          <w:p w14:paraId="7F0248AE" w14:textId="77777777" w:rsidR="00BF1BC2" w:rsidRDefault="00507FA5" w:rsidP="00507FA5">
            <w:pPr>
              <w:spacing w:after="0" w:line="240" w:lineRule="auto"/>
              <w:jc w:val="both"/>
              <w:rPr>
                <w:color w:val="000000"/>
                <w:sz w:val="22"/>
                <w:szCs w:val="22"/>
                <w:lang w:eastAsia="en-US"/>
              </w:rPr>
            </w:pPr>
            <w:r w:rsidRPr="00507FA5">
              <w:rPr>
                <w:color w:val="000000"/>
                <w:sz w:val="22"/>
                <w:szCs w:val="22"/>
                <w:lang w:eastAsia="en-US"/>
              </w:rPr>
              <w:t>1.</w:t>
            </w:r>
            <w:r w:rsidRPr="00507FA5">
              <w:rPr>
                <w:color w:val="000000"/>
                <w:sz w:val="14"/>
                <w:szCs w:val="14"/>
                <w:lang w:eastAsia="en-US"/>
              </w:rPr>
              <w:t xml:space="preserve">   </w:t>
            </w:r>
            <w:r w:rsidRPr="00507FA5">
              <w:rPr>
                <w:color w:val="000000"/>
                <w:sz w:val="22"/>
                <w:szCs w:val="22"/>
                <w:lang w:eastAsia="en-US"/>
              </w:rPr>
              <w:t>Tvirtinama prie operacinio stalo.</w:t>
            </w:r>
            <w:r w:rsidR="00BF1BC2">
              <w:rPr>
                <w:color w:val="000000"/>
                <w:sz w:val="22"/>
                <w:szCs w:val="22"/>
                <w:lang w:eastAsia="en-US"/>
              </w:rPr>
              <w:t xml:space="preserve"> </w:t>
            </w:r>
          </w:p>
          <w:p w14:paraId="255A457D" w14:textId="77777777" w:rsidR="00BF1BC2" w:rsidRDefault="00BF1BC2" w:rsidP="00507FA5">
            <w:pPr>
              <w:spacing w:after="0" w:line="240" w:lineRule="auto"/>
              <w:jc w:val="both"/>
              <w:rPr>
                <w:color w:val="000000"/>
                <w:sz w:val="22"/>
                <w:szCs w:val="22"/>
                <w:lang w:eastAsia="en-US"/>
              </w:rPr>
            </w:pPr>
            <w:r w:rsidRPr="00BF1BC2">
              <w:rPr>
                <w:color w:val="000000"/>
                <w:sz w:val="22"/>
                <w:szCs w:val="22"/>
                <w:lang w:eastAsia="en-US"/>
              </w:rPr>
              <w:t>2. Padengta antistatine minkšta danga.</w:t>
            </w:r>
            <w:r>
              <w:rPr>
                <w:color w:val="000000"/>
                <w:sz w:val="22"/>
                <w:szCs w:val="22"/>
                <w:lang w:eastAsia="en-US"/>
              </w:rPr>
              <w:t xml:space="preserve"> </w:t>
            </w:r>
          </w:p>
          <w:p w14:paraId="279A044A" w14:textId="799A090E" w:rsidR="00507FA5" w:rsidRPr="00507FA5" w:rsidRDefault="00BF1BC2" w:rsidP="00507FA5">
            <w:pPr>
              <w:spacing w:after="0" w:line="240" w:lineRule="auto"/>
              <w:jc w:val="both"/>
              <w:rPr>
                <w:color w:val="000000"/>
                <w:sz w:val="22"/>
                <w:szCs w:val="22"/>
                <w:lang w:eastAsia="en-US"/>
              </w:rPr>
            </w:pPr>
            <w:r w:rsidRPr="00507FA5">
              <w:rPr>
                <w:color w:val="000000"/>
                <w:sz w:val="22"/>
                <w:szCs w:val="22"/>
                <w:lang w:eastAsia="en-US"/>
              </w:rPr>
              <w:t>3.</w:t>
            </w:r>
            <w:r w:rsidRPr="00507FA5">
              <w:rPr>
                <w:color w:val="000000"/>
                <w:sz w:val="14"/>
                <w:szCs w:val="14"/>
                <w:lang w:eastAsia="en-US"/>
              </w:rPr>
              <w:t xml:space="preserve">   </w:t>
            </w:r>
            <w:r w:rsidRPr="00507FA5">
              <w:rPr>
                <w:color w:val="000000"/>
                <w:sz w:val="22"/>
                <w:szCs w:val="22"/>
                <w:lang w:eastAsia="en-US"/>
              </w:rPr>
              <w:t>Su rankos fiksavimo diržu.</w:t>
            </w:r>
          </w:p>
        </w:tc>
      </w:tr>
      <w:tr w:rsidR="00507FA5" w:rsidRPr="00507FA5" w14:paraId="129E728B" w14:textId="77777777" w:rsidTr="00BF1BC2">
        <w:trPr>
          <w:gridAfter w:val="1"/>
          <w:wAfter w:w="236" w:type="dxa"/>
          <w:trHeight w:val="96"/>
        </w:trPr>
        <w:tc>
          <w:tcPr>
            <w:tcW w:w="1527" w:type="dxa"/>
            <w:vMerge/>
            <w:tcBorders>
              <w:top w:val="nil"/>
              <w:left w:val="single" w:sz="4" w:space="0" w:color="auto"/>
              <w:bottom w:val="single" w:sz="4" w:space="0" w:color="auto"/>
              <w:right w:val="single" w:sz="8" w:space="0" w:color="auto"/>
            </w:tcBorders>
            <w:vAlign w:val="center"/>
            <w:hideMark/>
          </w:tcPr>
          <w:p w14:paraId="06D6A745" w14:textId="77777777" w:rsidR="00507FA5" w:rsidRPr="00507FA5" w:rsidRDefault="00507FA5" w:rsidP="00507FA5">
            <w:pPr>
              <w:spacing w:after="0" w:line="240" w:lineRule="auto"/>
              <w:rPr>
                <w:color w:val="000000"/>
                <w:sz w:val="22"/>
                <w:szCs w:val="22"/>
                <w:lang w:eastAsia="en-US"/>
              </w:rPr>
            </w:pPr>
          </w:p>
        </w:tc>
        <w:tc>
          <w:tcPr>
            <w:tcW w:w="2437" w:type="dxa"/>
            <w:vMerge/>
            <w:tcBorders>
              <w:top w:val="nil"/>
              <w:left w:val="single" w:sz="8" w:space="0" w:color="auto"/>
              <w:bottom w:val="single" w:sz="4" w:space="0" w:color="auto"/>
              <w:right w:val="single" w:sz="8" w:space="0" w:color="auto"/>
            </w:tcBorders>
            <w:vAlign w:val="center"/>
            <w:hideMark/>
          </w:tcPr>
          <w:p w14:paraId="73DBAFB2" w14:textId="77777777" w:rsidR="00507FA5" w:rsidRPr="00507FA5" w:rsidRDefault="00507FA5" w:rsidP="00507FA5">
            <w:pPr>
              <w:spacing w:after="0" w:line="240" w:lineRule="auto"/>
              <w:rPr>
                <w:color w:val="000000"/>
                <w:sz w:val="22"/>
                <w:szCs w:val="22"/>
                <w:lang w:eastAsia="en-US"/>
              </w:rPr>
            </w:pPr>
          </w:p>
        </w:tc>
        <w:tc>
          <w:tcPr>
            <w:tcW w:w="5103" w:type="dxa"/>
            <w:tcBorders>
              <w:top w:val="nil"/>
              <w:left w:val="nil"/>
              <w:bottom w:val="single" w:sz="4" w:space="0" w:color="auto"/>
              <w:right w:val="single" w:sz="4" w:space="0" w:color="auto"/>
            </w:tcBorders>
            <w:hideMark/>
          </w:tcPr>
          <w:p w14:paraId="4DF03141" w14:textId="77777777" w:rsidR="00507FA5" w:rsidRPr="00507FA5" w:rsidRDefault="00507FA5" w:rsidP="00507FA5">
            <w:pPr>
              <w:spacing w:after="0" w:line="240" w:lineRule="auto"/>
              <w:rPr>
                <w:rFonts w:ascii="Aptos Narrow" w:hAnsi="Aptos Narrow"/>
                <w:color w:val="000000"/>
                <w:sz w:val="22"/>
                <w:szCs w:val="22"/>
                <w:lang w:eastAsia="en-US"/>
              </w:rPr>
            </w:pPr>
            <w:r w:rsidRPr="00507FA5">
              <w:rPr>
                <w:rFonts w:ascii="Aptos Narrow" w:hAnsi="Aptos Narrow"/>
                <w:color w:val="000000"/>
                <w:sz w:val="22"/>
                <w:szCs w:val="22"/>
                <w:lang w:eastAsia="en-US"/>
              </w:rPr>
              <w:t> </w:t>
            </w:r>
          </w:p>
        </w:tc>
      </w:tr>
      <w:tr w:rsidR="00507FA5" w:rsidRPr="00507FA5" w14:paraId="14AD26C6" w14:textId="77777777" w:rsidTr="00BF1BC2">
        <w:trPr>
          <w:gridAfter w:val="1"/>
          <w:wAfter w:w="236" w:type="dxa"/>
          <w:trHeight w:val="1194"/>
        </w:trPr>
        <w:tc>
          <w:tcPr>
            <w:tcW w:w="1527" w:type="dxa"/>
            <w:tcBorders>
              <w:top w:val="single" w:sz="4" w:space="0" w:color="auto"/>
              <w:left w:val="single" w:sz="4" w:space="0" w:color="auto"/>
              <w:bottom w:val="single" w:sz="4" w:space="0" w:color="000000"/>
              <w:right w:val="single" w:sz="8" w:space="0" w:color="auto"/>
            </w:tcBorders>
            <w:vAlign w:val="center"/>
            <w:hideMark/>
          </w:tcPr>
          <w:p w14:paraId="639CEF7F" w14:textId="77777777" w:rsidR="00507FA5" w:rsidRPr="00507FA5" w:rsidRDefault="00507FA5" w:rsidP="00507FA5">
            <w:pPr>
              <w:spacing w:after="0" w:line="240" w:lineRule="auto"/>
              <w:jc w:val="both"/>
              <w:rPr>
                <w:color w:val="000000"/>
                <w:sz w:val="22"/>
                <w:szCs w:val="22"/>
                <w:lang w:eastAsia="en-US"/>
              </w:rPr>
            </w:pPr>
            <w:r w:rsidRPr="00507FA5">
              <w:rPr>
                <w:color w:val="000000"/>
                <w:sz w:val="22"/>
                <w:szCs w:val="22"/>
                <w:lang w:eastAsia="en-US"/>
              </w:rPr>
              <w:t>6.3</w:t>
            </w:r>
          </w:p>
        </w:tc>
        <w:tc>
          <w:tcPr>
            <w:tcW w:w="2437" w:type="dxa"/>
            <w:tcBorders>
              <w:top w:val="single" w:sz="4" w:space="0" w:color="auto"/>
              <w:left w:val="nil"/>
              <w:bottom w:val="nil"/>
              <w:right w:val="single" w:sz="8" w:space="0" w:color="auto"/>
            </w:tcBorders>
            <w:vAlign w:val="center"/>
            <w:hideMark/>
          </w:tcPr>
          <w:p w14:paraId="169CD366" w14:textId="14484E9B" w:rsidR="00507FA5" w:rsidRPr="00507FA5" w:rsidRDefault="00507FA5" w:rsidP="00507FA5">
            <w:pPr>
              <w:spacing w:after="0" w:line="240" w:lineRule="auto"/>
              <w:jc w:val="both"/>
              <w:rPr>
                <w:color w:val="000000"/>
                <w:sz w:val="22"/>
                <w:szCs w:val="22"/>
                <w:lang w:eastAsia="en-US"/>
              </w:rPr>
            </w:pPr>
            <w:r w:rsidRPr="00507FA5">
              <w:rPr>
                <w:color w:val="000000"/>
                <w:sz w:val="22"/>
                <w:szCs w:val="22"/>
                <w:lang w:eastAsia="en-US"/>
              </w:rPr>
              <w:t>Kojų laikikliai</w:t>
            </w:r>
            <w:r w:rsidR="00BF1BC2">
              <w:rPr>
                <w:color w:val="000000"/>
                <w:sz w:val="22"/>
                <w:szCs w:val="22"/>
                <w:lang w:eastAsia="en-US"/>
              </w:rPr>
              <w:t xml:space="preserve"> – 2vnt.</w:t>
            </w:r>
          </w:p>
        </w:tc>
        <w:tc>
          <w:tcPr>
            <w:tcW w:w="5103" w:type="dxa"/>
            <w:tcBorders>
              <w:top w:val="single" w:sz="4" w:space="0" w:color="auto"/>
              <w:left w:val="nil"/>
              <w:bottom w:val="nil"/>
              <w:right w:val="single" w:sz="4" w:space="0" w:color="auto"/>
            </w:tcBorders>
            <w:vAlign w:val="center"/>
            <w:hideMark/>
          </w:tcPr>
          <w:p w14:paraId="1B59CF6E" w14:textId="438B2C12" w:rsidR="00BF1BC2" w:rsidRDefault="00507FA5" w:rsidP="00507FA5">
            <w:pPr>
              <w:spacing w:after="0" w:line="240" w:lineRule="auto"/>
              <w:jc w:val="both"/>
              <w:rPr>
                <w:color w:val="000000"/>
                <w:sz w:val="22"/>
                <w:szCs w:val="22"/>
                <w:lang w:eastAsia="en-US"/>
              </w:rPr>
            </w:pPr>
            <w:r w:rsidRPr="00507FA5">
              <w:rPr>
                <w:color w:val="000000"/>
                <w:sz w:val="22"/>
                <w:szCs w:val="22"/>
                <w:lang w:eastAsia="en-US"/>
              </w:rPr>
              <w:t xml:space="preserve">1. </w:t>
            </w:r>
            <w:proofErr w:type="spellStart"/>
            <w:r w:rsidRPr="00507FA5">
              <w:rPr>
                <w:color w:val="000000"/>
                <w:sz w:val="22"/>
                <w:szCs w:val="22"/>
                <w:lang w:eastAsia="en-US"/>
              </w:rPr>
              <w:t>Goepel</w:t>
            </w:r>
            <w:proofErr w:type="spellEnd"/>
            <w:r w:rsidRPr="00507FA5">
              <w:rPr>
                <w:color w:val="000000"/>
                <w:sz w:val="22"/>
                <w:szCs w:val="22"/>
                <w:lang w:eastAsia="en-US"/>
              </w:rPr>
              <w:t xml:space="preserve"> tipo arba lygiaverčiai kojų laikikliai </w:t>
            </w:r>
          </w:p>
          <w:p w14:paraId="1966B7FD" w14:textId="626A194F" w:rsidR="00507FA5" w:rsidRPr="00507FA5" w:rsidRDefault="00BF1BC2" w:rsidP="00507FA5">
            <w:pPr>
              <w:spacing w:after="0" w:line="240" w:lineRule="auto"/>
              <w:jc w:val="both"/>
              <w:rPr>
                <w:color w:val="000000"/>
                <w:sz w:val="22"/>
                <w:szCs w:val="22"/>
                <w:lang w:eastAsia="en-US"/>
              </w:rPr>
            </w:pPr>
            <w:r>
              <w:rPr>
                <w:color w:val="000000"/>
                <w:sz w:val="22"/>
                <w:szCs w:val="22"/>
                <w:lang w:eastAsia="en-US"/>
              </w:rPr>
              <w:t xml:space="preserve">2. </w:t>
            </w:r>
            <w:r w:rsidRPr="00BF1BC2">
              <w:rPr>
                <w:color w:val="000000"/>
                <w:sz w:val="22"/>
                <w:szCs w:val="22"/>
                <w:lang w:eastAsia="en-US"/>
              </w:rPr>
              <w:t>Tvirtinami prie operacinio stalo.</w:t>
            </w:r>
          </w:p>
        </w:tc>
      </w:tr>
      <w:tr w:rsidR="00507FA5" w:rsidRPr="00507FA5" w14:paraId="3891FBDF" w14:textId="77777777" w:rsidTr="00AB36C8">
        <w:trPr>
          <w:gridAfter w:val="1"/>
          <w:wAfter w:w="236" w:type="dxa"/>
          <w:trHeight w:val="600"/>
        </w:trPr>
        <w:tc>
          <w:tcPr>
            <w:tcW w:w="1527" w:type="dxa"/>
            <w:vMerge w:val="restart"/>
            <w:tcBorders>
              <w:top w:val="single" w:sz="4" w:space="0" w:color="auto"/>
              <w:left w:val="single" w:sz="4" w:space="0" w:color="auto"/>
              <w:bottom w:val="single" w:sz="4" w:space="0" w:color="000000"/>
              <w:right w:val="single" w:sz="8" w:space="0" w:color="auto"/>
            </w:tcBorders>
            <w:vAlign w:val="center"/>
            <w:hideMark/>
          </w:tcPr>
          <w:p w14:paraId="22806AB2" w14:textId="77777777" w:rsidR="00507FA5" w:rsidRPr="00507FA5" w:rsidRDefault="00507FA5" w:rsidP="00507FA5">
            <w:pPr>
              <w:spacing w:after="0" w:line="240" w:lineRule="auto"/>
              <w:jc w:val="both"/>
              <w:rPr>
                <w:color w:val="000000"/>
                <w:sz w:val="22"/>
                <w:szCs w:val="22"/>
                <w:lang w:eastAsia="en-US"/>
              </w:rPr>
            </w:pPr>
            <w:r w:rsidRPr="00507FA5">
              <w:rPr>
                <w:color w:val="000000"/>
                <w:sz w:val="22"/>
                <w:szCs w:val="22"/>
                <w:lang w:eastAsia="en-US"/>
              </w:rPr>
              <w:t>6.4</w:t>
            </w:r>
          </w:p>
        </w:tc>
        <w:tc>
          <w:tcPr>
            <w:tcW w:w="2437" w:type="dxa"/>
            <w:tcBorders>
              <w:top w:val="single" w:sz="4" w:space="0" w:color="auto"/>
              <w:left w:val="nil"/>
              <w:bottom w:val="nil"/>
              <w:right w:val="single" w:sz="8" w:space="0" w:color="auto"/>
            </w:tcBorders>
            <w:vAlign w:val="center"/>
            <w:hideMark/>
          </w:tcPr>
          <w:p w14:paraId="3389F792" w14:textId="77777777" w:rsidR="00507FA5" w:rsidRPr="00507FA5" w:rsidRDefault="00507FA5" w:rsidP="00507FA5">
            <w:pPr>
              <w:spacing w:after="0" w:line="240" w:lineRule="auto"/>
              <w:jc w:val="both"/>
              <w:rPr>
                <w:color w:val="000000"/>
                <w:sz w:val="22"/>
                <w:szCs w:val="22"/>
                <w:lang w:eastAsia="en-US"/>
              </w:rPr>
            </w:pPr>
            <w:r w:rsidRPr="00507FA5">
              <w:rPr>
                <w:color w:val="000000"/>
                <w:sz w:val="22"/>
                <w:szCs w:val="22"/>
                <w:lang w:eastAsia="en-US"/>
              </w:rPr>
              <w:t xml:space="preserve">Diržas paciento fiksavimui – </w:t>
            </w:r>
          </w:p>
        </w:tc>
        <w:tc>
          <w:tcPr>
            <w:tcW w:w="5103" w:type="dxa"/>
            <w:vMerge w:val="restart"/>
            <w:tcBorders>
              <w:top w:val="single" w:sz="4" w:space="0" w:color="auto"/>
              <w:left w:val="single" w:sz="8" w:space="0" w:color="auto"/>
              <w:bottom w:val="single" w:sz="4" w:space="0" w:color="000000"/>
              <w:right w:val="single" w:sz="4" w:space="0" w:color="auto"/>
            </w:tcBorders>
            <w:vAlign w:val="center"/>
            <w:hideMark/>
          </w:tcPr>
          <w:p w14:paraId="4EEB6BC3" w14:textId="77777777" w:rsidR="00507FA5" w:rsidRPr="00507FA5" w:rsidRDefault="00507FA5" w:rsidP="00507FA5">
            <w:pPr>
              <w:spacing w:after="0" w:line="240" w:lineRule="auto"/>
              <w:jc w:val="both"/>
              <w:rPr>
                <w:color w:val="000000"/>
                <w:sz w:val="22"/>
                <w:szCs w:val="22"/>
                <w:lang w:eastAsia="en-US"/>
              </w:rPr>
            </w:pPr>
            <w:r w:rsidRPr="00507FA5">
              <w:rPr>
                <w:color w:val="000000"/>
                <w:sz w:val="22"/>
                <w:szCs w:val="22"/>
                <w:lang w:eastAsia="en-US"/>
              </w:rPr>
              <w:t>Diržas, skirtas paciento liemens fiksavimui prie operacinio stalo.</w:t>
            </w:r>
          </w:p>
        </w:tc>
      </w:tr>
      <w:tr w:rsidR="00507FA5" w:rsidRPr="00507FA5" w14:paraId="69EA09EF" w14:textId="77777777" w:rsidTr="00507FA5">
        <w:trPr>
          <w:gridAfter w:val="1"/>
          <w:wAfter w:w="236" w:type="dxa"/>
          <w:trHeight w:val="300"/>
        </w:trPr>
        <w:tc>
          <w:tcPr>
            <w:tcW w:w="1527" w:type="dxa"/>
            <w:vMerge/>
            <w:tcBorders>
              <w:top w:val="nil"/>
              <w:left w:val="single" w:sz="4" w:space="0" w:color="auto"/>
              <w:bottom w:val="single" w:sz="4" w:space="0" w:color="000000"/>
              <w:right w:val="single" w:sz="8" w:space="0" w:color="auto"/>
            </w:tcBorders>
            <w:vAlign w:val="center"/>
            <w:hideMark/>
          </w:tcPr>
          <w:p w14:paraId="5378604B" w14:textId="77777777" w:rsidR="00507FA5" w:rsidRPr="00507FA5" w:rsidRDefault="00507FA5" w:rsidP="00507FA5">
            <w:pPr>
              <w:spacing w:after="0" w:line="240" w:lineRule="auto"/>
              <w:rPr>
                <w:b/>
                <w:bCs/>
                <w:color w:val="000000"/>
                <w:sz w:val="22"/>
                <w:szCs w:val="22"/>
                <w:lang w:eastAsia="en-US"/>
              </w:rPr>
            </w:pPr>
          </w:p>
        </w:tc>
        <w:tc>
          <w:tcPr>
            <w:tcW w:w="2437" w:type="dxa"/>
            <w:tcBorders>
              <w:top w:val="nil"/>
              <w:left w:val="nil"/>
              <w:bottom w:val="nil"/>
              <w:right w:val="single" w:sz="8" w:space="0" w:color="auto"/>
            </w:tcBorders>
            <w:vAlign w:val="center"/>
            <w:hideMark/>
          </w:tcPr>
          <w:p w14:paraId="4C13059F" w14:textId="77777777" w:rsidR="00507FA5" w:rsidRPr="00507FA5" w:rsidRDefault="00507FA5" w:rsidP="00507FA5">
            <w:pPr>
              <w:spacing w:after="0" w:line="240" w:lineRule="auto"/>
              <w:jc w:val="both"/>
              <w:rPr>
                <w:color w:val="000000"/>
                <w:sz w:val="22"/>
                <w:szCs w:val="22"/>
                <w:lang w:eastAsia="en-US"/>
              </w:rPr>
            </w:pPr>
            <w:r w:rsidRPr="00507FA5">
              <w:rPr>
                <w:color w:val="000000"/>
                <w:sz w:val="22"/>
                <w:szCs w:val="22"/>
                <w:lang w:eastAsia="en-US"/>
              </w:rPr>
              <w:t>1 vnt.</w:t>
            </w:r>
          </w:p>
        </w:tc>
        <w:tc>
          <w:tcPr>
            <w:tcW w:w="5103" w:type="dxa"/>
            <w:vMerge/>
            <w:tcBorders>
              <w:top w:val="nil"/>
              <w:left w:val="single" w:sz="8" w:space="0" w:color="auto"/>
              <w:bottom w:val="single" w:sz="4" w:space="0" w:color="000000"/>
              <w:right w:val="single" w:sz="4" w:space="0" w:color="auto"/>
            </w:tcBorders>
            <w:vAlign w:val="center"/>
            <w:hideMark/>
          </w:tcPr>
          <w:p w14:paraId="10CB7F94" w14:textId="77777777" w:rsidR="00507FA5" w:rsidRPr="00507FA5" w:rsidRDefault="00507FA5" w:rsidP="00507FA5">
            <w:pPr>
              <w:spacing w:after="0" w:line="240" w:lineRule="auto"/>
              <w:rPr>
                <w:color w:val="000000"/>
                <w:sz w:val="22"/>
                <w:szCs w:val="22"/>
                <w:lang w:eastAsia="en-US"/>
              </w:rPr>
            </w:pPr>
          </w:p>
        </w:tc>
      </w:tr>
      <w:tr w:rsidR="00507FA5" w:rsidRPr="00507FA5" w14:paraId="2E96A75C" w14:textId="77777777" w:rsidTr="00BF1BC2">
        <w:trPr>
          <w:gridAfter w:val="1"/>
          <w:wAfter w:w="236" w:type="dxa"/>
          <w:trHeight w:val="96"/>
        </w:trPr>
        <w:tc>
          <w:tcPr>
            <w:tcW w:w="1527" w:type="dxa"/>
            <w:vMerge/>
            <w:tcBorders>
              <w:top w:val="nil"/>
              <w:left w:val="single" w:sz="4" w:space="0" w:color="auto"/>
              <w:bottom w:val="single" w:sz="4" w:space="0" w:color="auto"/>
              <w:right w:val="single" w:sz="8" w:space="0" w:color="auto"/>
            </w:tcBorders>
            <w:vAlign w:val="center"/>
            <w:hideMark/>
          </w:tcPr>
          <w:p w14:paraId="528C065E" w14:textId="77777777" w:rsidR="00507FA5" w:rsidRPr="00507FA5" w:rsidRDefault="00507FA5" w:rsidP="00507FA5">
            <w:pPr>
              <w:spacing w:after="0" w:line="240" w:lineRule="auto"/>
              <w:rPr>
                <w:b/>
                <w:bCs/>
                <w:color w:val="000000"/>
                <w:sz w:val="22"/>
                <w:szCs w:val="22"/>
                <w:lang w:eastAsia="en-US"/>
              </w:rPr>
            </w:pPr>
          </w:p>
        </w:tc>
        <w:tc>
          <w:tcPr>
            <w:tcW w:w="2437" w:type="dxa"/>
            <w:tcBorders>
              <w:top w:val="nil"/>
              <w:left w:val="nil"/>
              <w:bottom w:val="single" w:sz="4" w:space="0" w:color="auto"/>
              <w:right w:val="single" w:sz="8" w:space="0" w:color="auto"/>
            </w:tcBorders>
            <w:hideMark/>
          </w:tcPr>
          <w:p w14:paraId="60DD173E" w14:textId="5F777FBB" w:rsidR="00507FA5" w:rsidRPr="00507FA5" w:rsidRDefault="00507FA5" w:rsidP="00507FA5">
            <w:pPr>
              <w:spacing w:after="0" w:line="240" w:lineRule="auto"/>
              <w:rPr>
                <w:rFonts w:ascii="Aptos Narrow" w:hAnsi="Aptos Narrow"/>
                <w:color w:val="000000"/>
                <w:sz w:val="22"/>
                <w:szCs w:val="22"/>
                <w:lang w:eastAsia="en-US"/>
              </w:rPr>
            </w:pPr>
          </w:p>
        </w:tc>
        <w:tc>
          <w:tcPr>
            <w:tcW w:w="5103" w:type="dxa"/>
            <w:vMerge/>
            <w:tcBorders>
              <w:top w:val="nil"/>
              <w:left w:val="single" w:sz="8" w:space="0" w:color="auto"/>
              <w:bottom w:val="single" w:sz="4" w:space="0" w:color="auto"/>
              <w:right w:val="single" w:sz="4" w:space="0" w:color="auto"/>
            </w:tcBorders>
            <w:vAlign w:val="center"/>
            <w:hideMark/>
          </w:tcPr>
          <w:p w14:paraId="1CD19039" w14:textId="77777777" w:rsidR="00507FA5" w:rsidRPr="00507FA5" w:rsidRDefault="00507FA5" w:rsidP="00507FA5">
            <w:pPr>
              <w:spacing w:after="0" w:line="240" w:lineRule="auto"/>
              <w:rPr>
                <w:color w:val="000000"/>
                <w:sz w:val="22"/>
                <w:szCs w:val="22"/>
                <w:lang w:eastAsia="en-US"/>
              </w:rPr>
            </w:pPr>
          </w:p>
        </w:tc>
      </w:tr>
      <w:tr w:rsidR="00507FA5" w:rsidRPr="00507FA5" w14:paraId="34EDF80D" w14:textId="77777777" w:rsidTr="00AB36C8">
        <w:trPr>
          <w:gridAfter w:val="1"/>
          <w:wAfter w:w="236" w:type="dxa"/>
          <w:trHeight w:val="600"/>
        </w:trPr>
        <w:tc>
          <w:tcPr>
            <w:tcW w:w="1527" w:type="dxa"/>
            <w:vMerge w:val="restart"/>
            <w:tcBorders>
              <w:top w:val="single" w:sz="4" w:space="0" w:color="auto"/>
              <w:left w:val="single" w:sz="4" w:space="0" w:color="auto"/>
              <w:bottom w:val="single" w:sz="4" w:space="0" w:color="000000"/>
              <w:right w:val="single" w:sz="8" w:space="0" w:color="auto"/>
            </w:tcBorders>
            <w:vAlign w:val="center"/>
            <w:hideMark/>
          </w:tcPr>
          <w:p w14:paraId="649F474A" w14:textId="77777777" w:rsidR="00507FA5" w:rsidRPr="00507FA5" w:rsidRDefault="00507FA5" w:rsidP="00507FA5">
            <w:pPr>
              <w:spacing w:after="0" w:line="240" w:lineRule="auto"/>
              <w:jc w:val="both"/>
              <w:rPr>
                <w:b/>
                <w:bCs/>
                <w:color w:val="000000"/>
                <w:sz w:val="22"/>
                <w:szCs w:val="22"/>
                <w:lang w:eastAsia="en-US"/>
              </w:rPr>
            </w:pPr>
            <w:r w:rsidRPr="00507FA5">
              <w:rPr>
                <w:b/>
                <w:bCs/>
                <w:color w:val="000000"/>
                <w:sz w:val="22"/>
                <w:szCs w:val="22"/>
                <w:lang w:eastAsia="en-US"/>
              </w:rPr>
              <w:t>6.5</w:t>
            </w:r>
          </w:p>
        </w:tc>
        <w:tc>
          <w:tcPr>
            <w:tcW w:w="2437" w:type="dxa"/>
            <w:vMerge w:val="restart"/>
            <w:tcBorders>
              <w:top w:val="single" w:sz="4" w:space="0" w:color="auto"/>
              <w:left w:val="single" w:sz="8" w:space="0" w:color="auto"/>
              <w:bottom w:val="single" w:sz="4" w:space="0" w:color="000000"/>
              <w:right w:val="single" w:sz="8" w:space="0" w:color="auto"/>
            </w:tcBorders>
            <w:vAlign w:val="center"/>
            <w:hideMark/>
          </w:tcPr>
          <w:p w14:paraId="4D7EDE0A" w14:textId="77777777" w:rsidR="00507FA5" w:rsidRPr="00507FA5" w:rsidRDefault="00507FA5" w:rsidP="00507FA5">
            <w:pPr>
              <w:spacing w:after="0" w:line="240" w:lineRule="auto"/>
              <w:jc w:val="both"/>
              <w:rPr>
                <w:color w:val="000000"/>
                <w:sz w:val="22"/>
                <w:szCs w:val="22"/>
                <w:lang w:eastAsia="en-US"/>
              </w:rPr>
            </w:pPr>
            <w:r w:rsidRPr="00507FA5">
              <w:rPr>
                <w:color w:val="000000"/>
                <w:sz w:val="22"/>
                <w:szCs w:val="22"/>
                <w:lang w:eastAsia="en-US"/>
              </w:rPr>
              <w:t>Pagalvėlė galvai – 1 vnt.</w:t>
            </w:r>
          </w:p>
        </w:tc>
        <w:tc>
          <w:tcPr>
            <w:tcW w:w="5103" w:type="dxa"/>
            <w:tcBorders>
              <w:top w:val="single" w:sz="4" w:space="0" w:color="auto"/>
              <w:left w:val="nil"/>
              <w:bottom w:val="nil"/>
              <w:right w:val="single" w:sz="4" w:space="0" w:color="auto"/>
            </w:tcBorders>
            <w:vAlign w:val="center"/>
            <w:hideMark/>
          </w:tcPr>
          <w:p w14:paraId="1718FEA7" w14:textId="036191D6" w:rsidR="00507FA5" w:rsidRPr="00507FA5" w:rsidRDefault="00507FA5" w:rsidP="00507FA5">
            <w:pPr>
              <w:spacing w:after="0" w:line="240" w:lineRule="auto"/>
              <w:jc w:val="both"/>
              <w:rPr>
                <w:color w:val="000000"/>
                <w:sz w:val="22"/>
                <w:szCs w:val="22"/>
                <w:lang w:eastAsia="en-US"/>
              </w:rPr>
            </w:pPr>
            <w:r w:rsidRPr="00507FA5">
              <w:rPr>
                <w:color w:val="000000"/>
                <w:sz w:val="22"/>
                <w:szCs w:val="22"/>
                <w:lang w:eastAsia="en-US"/>
              </w:rPr>
              <w:t>1.</w:t>
            </w:r>
            <w:r w:rsidRPr="00507FA5">
              <w:rPr>
                <w:color w:val="000000"/>
                <w:sz w:val="14"/>
                <w:szCs w:val="14"/>
                <w:lang w:eastAsia="en-US"/>
              </w:rPr>
              <w:t>   </w:t>
            </w:r>
            <w:r w:rsidR="0021437F">
              <w:rPr>
                <w:color w:val="000000"/>
                <w:sz w:val="22"/>
                <w:szCs w:val="22"/>
                <w:lang w:eastAsia="en-US"/>
              </w:rPr>
              <w:t>Ge</w:t>
            </w:r>
            <w:r w:rsidRPr="00507FA5">
              <w:rPr>
                <w:color w:val="000000"/>
                <w:sz w:val="22"/>
                <w:szCs w:val="22"/>
                <w:lang w:eastAsia="en-US"/>
              </w:rPr>
              <w:t>lio (arba lygiavertės medžiagos).</w:t>
            </w:r>
          </w:p>
        </w:tc>
      </w:tr>
      <w:tr w:rsidR="00507FA5" w:rsidRPr="00507FA5" w14:paraId="5BF6740D" w14:textId="77777777" w:rsidTr="00AB36C8">
        <w:trPr>
          <w:gridAfter w:val="1"/>
          <w:wAfter w:w="236" w:type="dxa"/>
          <w:trHeight w:val="315"/>
        </w:trPr>
        <w:tc>
          <w:tcPr>
            <w:tcW w:w="1527" w:type="dxa"/>
            <w:vMerge/>
            <w:tcBorders>
              <w:top w:val="nil"/>
              <w:left w:val="single" w:sz="4" w:space="0" w:color="auto"/>
              <w:bottom w:val="single" w:sz="4" w:space="0" w:color="auto"/>
              <w:right w:val="single" w:sz="8" w:space="0" w:color="auto"/>
            </w:tcBorders>
            <w:vAlign w:val="center"/>
            <w:hideMark/>
          </w:tcPr>
          <w:p w14:paraId="2851EB15" w14:textId="77777777" w:rsidR="00507FA5" w:rsidRPr="00507FA5" w:rsidRDefault="00507FA5" w:rsidP="00507FA5">
            <w:pPr>
              <w:spacing w:after="0" w:line="240" w:lineRule="auto"/>
              <w:rPr>
                <w:b/>
                <w:bCs/>
                <w:color w:val="000000"/>
                <w:sz w:val="22"/>
                <w:szCs w:val="22"/>
                <w:lang w:eastAsia="en-US"/>
              </w:rPr>
            </w:pPr>
          </w:p>
        </w:tc>
        <w:tc>
          <w:tcPr>
            <w:tcW w:w="2437" w:type="dxa"/>
            <w:vMerge/>
            <w:tcBorders>
              <w:top w:val="nil"/>
              <w:left w:val="single" w:sz="8" w:space="0" w:color="auto"/>
              <w:bottom w:val="single" w:sz="4" w:space="0" w:color="auto"/>
              <w:right w:val="single" w:sz="8" w:space="0" w:color="auto"/>
            </w:tcBorders>
            <w:vAlign w:val="center"/>
            <w:hideMark/>
          </w:tcPr>
          <w:p w14:paraId="69B44EBB" w14:textId="77777777" w:rsidR="00507FA5" w:rsidRPr="00507FA5" w:rsidRDefault="00507FA5" w:rsidP="00507FA5">
            <w:pPr>
              <w:spacing w:after="0" w:line="240" w:lineRule="auto"/>
              <w:rPr>
                <w:color w:val="000000"/>
                <w:sz w:val="22"/>
                <w:szCs w:val="22"/>
                <w:lang w:eastAsia="en-US"/>
              </w:rPr>
            </w:pPr>
          </w:p>
        </w:tc>
        <w:tc>
          <w:tcPr>
            <w:tcW w:w="5103" w:type="dxa"/>
            <w:tcBorders>
              <w:top w:val="nil"/>
              <w:left w:val="nil"/>
              <w:bottom w:val="single" w:sz="4" w:space="0" w:color="auto"/>
              <w:right w:val="single" w:sz="4" w:space="0" w:color="auto"/>
            </w:tcBorders>
            <w:vAlign w:val="center"/>
            <w:hideMark/>
          </w:tcPr>
          <w:p w14:paraId="453D4E6D" w14:textId="77777777" w:rsidR="00507FA5" w:rsidRPr="00507FA5" w:rsidRDefault="00507FA5" w:rsidP="00507FA5">
            <w:pPr>
              <w:spacing w:after="0" w:line="240" w:lineRule="auto"/>
              <w:jc w:val="both"/>
              <w:rPr>
                <w:color w:val="000000"/>
                <w:sz w:val="22"/>
                <w:szCs w:val="22"/>
                <w:lang w:eastAsia="en-US"/>
              </w:rPr>
            </w:pPr>
            <w:r w:rsidRPr="00507FA5">
              <w:rPr>
                <w:color w:val="000000"/>
                <w:sz w:val="22"/>
                <w:szCs w:val="22"/>
                <w:lang w:eastAsia="en-US"/>
              </w:rPr>
              <w:t>2. Žiedo arba pasagos formos.</w:t>
            </w:r>
          </w:p>
        </w:tc>
      </w:tr>
      <w:tr w:rsidR="00507FA5" w:rsidRPr="00507FA5" w14:paraId="48842187" w14:textId="77777777" w:rsidTr="00AB36C8">
        <w:trPr>
          <w:gridAfter w:val="1"/>
          <w:wAfter w:w="236" w:type="dxa"/>
          <w:trHeight w:val="600"/>
        </w:trPr>
        <w:tc>
          <w:tcPr>
            <w:tcW w:w="1527" w:type="dxa"/>
            <w:tcBorders>
              <w:top w:val="single" w:sz="4" w:space="0" w:color="auto"/>
              <w:left w:val="single" w:sz="4" w:space="0" w:color="auto"/>
              <w:bottom w:val="single" w:sz="4" w:space="0" w:color="000000"/>
              <w:right w:val="single" w:sz="8" w:space="0" w:color="000000"/>
            </w:tcBorders>
            <w:vAlign w:val="center"/>
            <w:hideMark/>
          </w:tcPr>
          <w:p w14:paraId="18CF095E" w14:textId="77777777" w:rsidR="00507FA5" w:rsidRPr="00507FA5" w:rsidRDefault="00507FA5" w:rsidP="00507FA5">
            <w:pPr>
              <w:spacing w:after="0" w:line="240" w:lineRule="auto"/>
              <w:jc w:val="both"/>
              <w:rPr>
                <w:color w:val="000000"/>
                <w:sz w:val="22"/>
                <w:szCs w:val="22"/>
                <w:lang w:eastAsia="en-US"/>
              </w:rPr>
            </w:pPr>
            <w:r w:rsidRPr="00507FA5">
              <w:rPr>
                <w:color w:val="000000"/>
                <w:sz w:val="22"/>
                <w:szCs w:val="22"/>
                <w:lang w:eastAsia="en-US"/>
              </w:rPr>
              <w:t>7.</w:t>
            </w:r>
          </w:p>
        </w:tc>
        <w:tc>
          <w:tcPr>
            <w:tcW w:w="2437" w:type="dxa"/>
            <w:tcBorders>
              <w:top w:val="single" w:sz="4" w:space="0" w:color="auto"/>
              <w:left w:val="single" w:sz="8" w:space="0" w:color="000000"/>
              <w:bottom w:val="single" w:sz="4" w:space="0" w:color="000000"/>
              <w:right w:val="single" w:sz="8" w:space="0" w:color="auto"/>
            </w:tcBorders>
            <w:vAlign w:val="center"/>
            <w:hideMark/>
          </w:tcPr>
          <w:p w14:paraId="59A70B2D" w14:textId="77777777" w:rsidR="00507FA5" w:rsidRPr="00507FA5" w:rsidRDefault="00507FA5" w:rsidP="00507FA5">
            <w:pPr>
              <w:spacing w:after="0" w:line="240" w:lineRule="auto"/>
              <w:jc w:val="both"/>
              <w:rPr>
                <w:color w:val="000000"/>
                <w:sz w:val="22"/>
                <w:szCs w:val="22"/>
                <w:lang w:eastAsia="en-US"/>
              </w:rPr>
            </w:pPr>
            <w:r w:rsidRPr="00507FA5">
              <w:rPr>
                <w:color w:val="000000"/>
                <w:sz w:val="22"/>
                <w:szCs w:val="22"/>
                <w:lang w:eastAsia="en-US"/>
              </w:rPr>
              <w:t>Maitinimo šaltinis</w:t>
            </w:r>
          </w:p>
        </w:tc>
        <w:tc>
          <w:tcPr>
            <w:tcW w:w="5103" w:type="dxa"/>
            <w:tcBorders>
              <w:top w:val="single" w:sz="4" w:space="0" w:color="auto"/>
              <w:left w:val="nil"/>
              <w:bottom w:val="nil"/>
              <w:right w:val="single" w:sz="4" w:space="0" w:color="auto"/>
            </w:tcBorders>
            <w:vAlign w:val="center"/>
            <w:hideMark/>
          </w:tcPr>
          <w:p w14:paraId="360D742B" w14:textId="77777777" w:rsidR="00BF1BC2" w:rsidRDefault="00507FA5" w:rsidP="00507FA5">
            <w:pPr>
              <w:spacing w:after="0" w:line="240" w:lineRule="auto"/>
              <w:jc w:val="both"/>
              <w:rPr>
                <w:color w:val="000000"/>
                <w:sz w:val="22"/>
                <w:szCs w:val="22"/>
                <w:lang w:eastAsia="en-US"/>
              </w:rPr>
            </w:pPr>
            <w:r w:rsidRPr="00507FA5">
              <w:rPr>
                <w:color w:val="000000"/>
                <w:sz w:val="22"/>
                <w:szCs w:val="22"/>
                <w:lang w:eastAsia="en-US"/>
              </w:rPr>
              <w:t>1. 230 V, 50Hz elektros tinklas;</w:t>
            </w:r>
            <w:r w:rsidR="00BF1BC2">
              <w:rPr>
                <w:color w:val="000000"/>
                <w:sz w:val="22"/>
                <w:szCs w:val="22"/>
                <w:lang w:eastAsia="en-US"/>
              </w:rPr>
              <w:t xml:space="preserve"> </w:t>
            </w:r>
          </w:p>
          <w:p w14:paraId="7864A7BE" w14:textId="35C3DD4C" w:rsidR="00507FA5" w:rsidRPr="00507FA5" w:rsidRDefault="00BF1BC2" w:rsidP="00507FA5">
            <w:pPr>
              <w:spacing w:after="0" w:line="240" w:lineRule="auto"/>
              <w:jc w:val="both"/>
              <w:rPr>
                <w:color w:val="000000"/>
                <w:sz w:val="22"/>
                <w:szCs w:val="22"/>
                <w:lang w:eastAsia="en-US"/>
              </w:rPr>
            </w:pPr>
            <w:r w:rsidRPr="00507FA5">
              <w:rPr>
                <w:color w:val="000000"/>
                <w:sz w:val="22"/>
                <w:szCs w:val="22"/>
                <w:lang w:eastAsia="en-US"/>
              </w:rPr>
              <w:t>2. Įkraunamas integruotas vidinis akumuliatorius</w:t>
            </w:r>
          </w:p>
        </w:tc>
      </w:tr>
      <w:tr w:rsidR="00507FA5" w:rsidRPr="00507FA5" w14:paraId="6B4BEDA0" w14:textId="77777777" w:rsidTr="00AB36C8">
        <w:trPr>
          <w:gridAfter w:val="1"/>
          <w:wAfter w:w="236" w:type="dxa"/>
          <w:trHeight w:val="408"/>
        </w:trPr>
        <w:tc>
          <w:tcPr>
            <w:tcW w:w="1527" w:type="dxa"/>
            <w:vMerge w:val="restart"/>
            <w:tcBorders>
              <w:top w:val="single" w:sz="4" w:space="0" w:color="auto"/>
              <w:left w:val="single" w:sz="4" w:space="0" w:color="auto"/>
              <w:bottom w:val="single" w:sz="4" w:space="0" w:color="000000"/>
              <w:right w:val="single" w:sz="8" w:space="0" w:color="auto"/>
            </w:tcBorders>
            <w:vAlign w:val="center"/>
            <w:hideMark/>
          </w:tcPr>
          <w:p w14:paraId="05FEDCAA" w14:textId="77777777" w:rsidR="00507FA5" w:rsidRPr="00507FA5" w:rsidRDefault="00507FA5" w:rsidP="00507FA5">
            <w:pPr>
              <w:spacing w:after="0" w:line="240" w:lineRule="auto"/>
              <w:jc w:val="both"/>
              <w:rPr>
                <w:color w:val="000000"/>
                <w:sz w:val="22"/>
                <w:szCs w:val="22"/>
                <w:lang w:eastAsia="en-US"/>
              </w:rPr>
            </w:pPr>
            <w:r w:rsidRPr="00507FA5">
              <w:rPr>
                <w:color w:val="000000"/>
                <w:sz w:val="22"/>
                <w:szCs w:val="22"/>
                <w:lang w:eastAsia="en-US"/>
              </w:rPr>
              <w:t>8.</w:t>
            </w:r>
          </w:p>
        </w:tc>
        <w:tc>
          <w:tcPr>
            <w:tcW w:w="2437" w:type="dxa"/>
            <w:vMerge w:val="restart"/>
            <w:tcBorders>
              <w:top w:val="single" w:sz="4" w:space="0" w:color="auto"/>
              <w:left w:val="single" w:sz="8" w:space="0" w:color="auto"/>
              <w:bottom w:val="single" w:sz="4" w:space="0" w:color="000000"/>
              <w:right w:val="single" w:sz="8" w:space="0" w:color="auto"/>
            </w:tcBorders>
            <w:vAlign w:val="center"/>
            <w:hideMark/>
          </w:tcPr>
          <w:p w14:paraId="1D641CE8" w14:textId="77777777" w:rsidR="00507FA5" w:rsidRPr="00507FA5" w:rsidRDefault="00507FA5" w:rsidP="00507FA5">
            <w:pPr>
              <w:spacing w:after="0" w:line="240" w:lineRule="auto"/>
              <w:jc w:val="both"/>
              <w:rPr>
                <w:color w:val="000000"/>
                <w:sz w:val="22"/>
                <w:szCs w:val="22"/>
                <w:lang w:eastAsia="en-US"/>
              </w:rPr>
            </w:pPr>
            <w:r w:rsidRPr="00507FA5">
              <w:rPr>
                <w:color w:val="000000"/>
                <w:sz w:val="22"/>
                <w:szCs w:val="22"/>
                <w:lang w:eastAsia="en-US"/>
              </w:rPr>
              <w:t>Valymas ir dezinfekcija</w:t>
            </w:r>
          </w:p>
        </w:tc>
        <w:tc>
          <w:tcPr>
            <w:tcW w:w="5103" w:type="dxa"/>
            <w:vMerge w:val="restart"/>
            <w:tcBorders>
              <w:top w:val="single" w:sz="4" w:space="0" w:color="auto"/>
              <w:left w:val="single" w:sz="8" w:space="0" w:color="auto"/>
              <w:bottom w:val="single" w:sz="4" w:space="0" w:color="000000"/>
              <w:right w:val="single" w:sz="4" w:space="0" w:color="auto"/>
            </w:tcBorders>
            <w:vAlign w:val="center"/>
            <w:hideMark/>
          </w:tcPr>
          <w:p w14:paraId="24B5BE22" w14:textId="77777777" w:rsidR="00507FA5" w:rsidRPr="00507FA5" w:rsidRDefault="00507FA5" w:rsidP="00507FA5">
            <w:pPr>
              <w:spacing w:after="0" w:line="240" w:lineRule="auto"/>
              <w:jc w:val="both"/>
              <w:rPr>
                <w:color w:val="000000"/>
                <w:sz w:val="22"/>
                <w:szCs w:val="22"/>
                <w:lang w:eastAsia="en-US"/>
              </w:rPr>
            </w:pPr>
            <w:r w:rsidRPr="00507FA5">
              <w:rPr>
                <w:color w:val="000000"/>
                <w:sz w:val="22"/>
                <w:szCs w:val="22"/>
                <w:lang w:eastAsia="en-US"/>
              </w:rPr>
              <w:t>Paviršiai atsparūs valymo ir dezinfekcinių medžiagų poveikiui</w:t>
            </w:r>
          </w:p>
        </w:tc>
      </w:tr>
      <w:tr w:rsidR="00507FA5" w:rsidRPr="00507FA5" w14:paraId="423C2CC3" w14:textId="77777777" w:rsidTr="00507FA5">
        <w:trPr>
          <w:trHeight w:val="300"/>
        </w:trPr>
        <w:tc>
          <w:tcPr>
            <w:tcW w:w="1527" w:type="dxa"/>
            <w:vMerge/>
            <w:tcBorders>
              <w:top w:val="nil"/>
              <w:left w:val="single" w:sz="4" w:space="0" w:color="auto"/>
              <w:bottom w:val="single" w:sz="4" w:space="0" w:color="000000"/>
              <w:right w:val="single" w:sz="8" w:space="0" w:color="auto"/>
            </w:tcBorders>
            <w:vAlign w:val="center"/>
            <w:hideMark/>
          </w:tcPr>
          <w:p w14:paraId="5AE7F3B5" w14:textId="77777777" w:rsidR="00507FA5" w:rsidRPr="00507FA5" w:rsidRDefault="00507FA5" w:rsidP="00507FA5">
            <w:pPr>
              <w:spacing w:after="0" w:line="240" w:lineRule="auto"/>
              <w:rPr>
                <w:color w:val="000000"/>
                <w:sz w:val="22"/>
                <w:szCs w:val="22"/>
                <w:lang w:eastAsia="en-US"/>
              </w:rPr>
            </w:pPr>
          </w:p>
        </w:tc>
        <w:tc>
          <w:tcPr>
            <w:tcW w:w="2437" w:type="dxa"/>
            <w:vMerge/>
            <w:tcBorders>
              <w:top w:val="nil"/>
              <w:left w:val="single" w:sz="8" w:space="0" w:color="auto"/>
              <w:bottom w:val="single" w:sz="4" w:space="0" w:color="000000"/>
              <w:right w:val="single" w:sz="8" w:space="0" w:color="auto"/>
            </w:tcBorders>
            <w:vAlign w:val="center"/>
            <w:hideMark/>
          </w:tcPr>
          <w:p w14:paraId="0F7D45D7" w14:textId="77777777" w:rsidR="00507FA5" w:rsidRPr="00507FA5" w:rsidRDefault="00507FA5" w:rsidP="00507FA5">
            <w:pPr>
              <w:spacing w:after="0" w:line="240" w:lineRule="auto"/>
              <w:rPr>
                <w:color w:val="000000"/>
                <w:sz w:val="22"/>
                <w:szCs w:val="22"/>
                <w:lang w:eastAsia="en-US"/>
              </w:rPr>
            </w:pPr>
          </w:p>
        </w:tc>
        <w:tc>
          <w:tcPr>
            <w:tcW w:w="5103" w:type="dxa"/>
            <w:vMerge/>
            <w:tcBorders>
              <w:top w:val="nil"/>
              <w:left w:val="single" w:sz="8" w:space="0" w:color="auto"/>
              <w:bottom w:val="single" w:sz="4" w:space="0" w:color="000000"/>
              <w:right w:val="single" w:sz="4" w:space="0" w:color="auto"/>
            </w:tcBorders>
            <w:vAlign w:val="center"/>
            <w:hideMark/>
          </w:tcPr>
          <w:p w14:paraId="53ED0FD6" w14:textId="77777777" w:rsidR="00507FA5" w:rsidRPr="00507FA5" w:rsidRDefault="00507FA5" w:rsidP="00507FA5">
            <w:pPr>
              <w:spacing w:after="0" w:line="240" w:lineRule="auto"/>
              <w:rPr>
                <w:color w:val="000000"/>
                <w:sz w:val="22"/>
                <w:szCs w:val="22"/>
                <w:lang w:eastAsia="en-US"/>
              </w:rPr>
            </w:pPr>
          </w:p>
        </w:tc>
        <w:tc>
          <w:tcPr>
            <w:tcW w:w="236" w:type="dxa"/>
            <w:tcBorders>
              <w:top w:val="nil"/>
              <w:left w:val="nil"/>
              <w:bottom w:val="nil"/>
              <w:right w:val="nil"/>
            </w:tcBorders>
            <w:noWrap/>
            <w:vAlign w:val="bottom"/>
            <w:hideMark/>
          </w:tcPr>
          <w:p w14:paraId="48857090" w14:textId="77777777" w:rsidR="00507FA5" w:rsidRPr="00507FA5" w:rsidRDefault="00507FA5" w:rsidP="00507FA5">
            <w:pPr>
              <w:spacing w:after="0" w:line="240" w:lineRule="auto"/>
              <w:jc w:val="both"/>
              <w:rPr>
                <w:color w:val="000000"/>
                <w:sz w:val="22"/>
                <w:szCs w:val="22"/>
                <w:lang w:eastAsia="en-US"/>
              </w:rPr>
            </w:pPr>
          </w:p>
        </w:tc>
      </w:tr>
      <w:tr w:rsidR="00507FA5" w:rsidRPr="00507FA5" w14:paraId="609259BC" w14:textId="77777777" w:rsidTr="00AB36C8">
        <w:trPr>
          <w:trHeight w:val="315"/>
        </w:trPr>
        <w:tc>
          <w:tcPr>
            <w:tcW w:w="1527" w:type="dxa"/>
            <w:vMerge/>
            <w:tcBorders>
              <w:top w:val="nil"/>
              <w:left w:val="single" w:sz="4" w:space="0" w:color="auto"/>
              <w:bottom w:val="single" w:sz="4" w:space="0" w:color="auto"/>
              <w:right w:val="single" w:sz="8" w:space="0" w:color="auto"/>
            </w:tcBorders>
            <w:vAlign w:val="center"/>
            <w:hideMark/>
          </w:tcPr>
          <w:p w14:paraId="198E16A0" w14:textId="77777777" w:rsidR="00507FA5" w:rsidRPr="00507FA5" w:rsidRDefault="00507FA5" w:rsidP="00507FA5">
            <w:pPr>
              <w:spacing w:after="0" w:line="240" w:lineRule="auto"/>
              <w:rPr>
                <w:color w:val="000000"/>
                <w:sz w:val="22"/>
                <w:szCs w:val="22"/>
                <w:lang w:eastAsia="en-US"/>
              </w:rPr>
            </w:pPr>
          </w:p>
        </w:tc>
        <w:tc>
          <w:tcPr>
            <w:tcW w:w="2437" w:type="dxa"/>
            <w:vMerge/>
            <w:tcBorders>
              <w:top w:val="nil"/>
              <w:left w:val="single" w:sz="8" w:space="0" w:color="auto"/>
              <w:bottom w:val="single" w:sz="4" w:space="0" w:color="auto"/>
              <w:right w:val="single" w:sz="8" w:space="0" w:color="auto"/>
            </w:tcBorders>
            <w:vAlign w:val="center"/>
            <w:hideMark/>
          </w:tcPr>
          <w:p w14:paraId="7B06AD2C" w14:textId="77777777" w:rsidR="00507FA5" w:rsidRPr="00507FA5" w:rsidRDefault="00507FA5" w:rsidP="00507FA5">
            <w:pPr>
              <w:spacing w:after="0" w:line="240" w:lineRule="auto"/>
              <w:rPr>
                <w:color w:val="000000"/>
                <w:sz w:val="22"/>
                <w:szCs w:val="22"/>
                <w:lang w:eastAsia="en-US"/>
              </w:rPr>
            </w:pPr>
          </w:p>
        </w:tc>
        <w:tc>
          <w:tcPr>
            <w:tcW w:w="5103" w:type="dxa"/>
            <w:vMerge/>
            <w:tcBorders>
              <w:top w:val="nil"/>
              <w:left w:val="single" w:sz="8" w:space="0" w:color="auto"/>
              <w:bottom w:val="single" w:sz="4" w:space="0" w:color="auto"/>
              <w:right w:val="single" w:sz="4" w:space="0" w:color="auto"/>
            </w:tcBorders>
            <w:vAlign w:val="center"/>
            <w:hideMark/>
          </w:tcPr>
          <w:p w14:paraId="4A2E61E7" w14:textId="77777777" w:rsidR="00507FA5" w:rsidRPr="00507FA5" w:rsidRDefault="00507FA5" w:rsidP="00507FA5">
            <w:pPr>
              <w:spacing w:after="0" w:line="240" w:lineRule="auto"/>
              <w:rPr>
                <w:color w:val="000000"/>
                <w:sz w:val="22"/>
                <w:szCs w:val="22"/>
                <w:lang w:eastAsia="en-US"/>
              </w:rPr>
            </w:pPr>
          </w:p>
        </w:tc>
        <w:tc>
          <w:tcPr>
            <w:tcW w:w="236" w:type="dxa"/>
            <w:tcBorders>
              <w:top w:val="nil"/>
              <w:left w:val="nil"/>
              <w:bottom w:val="nil"/>
              <w:right w:val="nil"/>
            </w:tcBorders>
            <w:noWrap/>
            <w:vAlign w:val="bottom"/>
            <w:hideMark/>
          </w:tcPr>
          <w:p w14:paraId="706EAA90" w14:textId="77777777" w:rsidR="00507FA5" w:rsidRPr="00507FA5" w:rsidRDefault="00507FA5" w:rsidP="00507FA5">
            <w:pPr>
              <w:spacing w:after="0" w:line="240" w:lineRule="auto"/>
              <w:rPr>
                <w:sz w:val="20"/>
                <w:lang w:eastAsia="en-US"/>
              </w:rPr>
            </w:pPr>
          </w:p>
        </w:tc>
      </w:tr>
      <w:tr w:rsidR="00BF1BC2" w:rsidRPr="00507FA5" w14:paraId="4485E8EC" w14:textId="77777777" w:rsidTr="00271D65">
        <w:trPr>
          <w:trHeight w:val="315"/>
        </w:trPr>
        <w:tc>
          <w:tcPr>
            <w:tcW w:w="1527" w:type="dxa"/>
            <w:tcBorders>
              <w:top w:val="single" w:sz="4" w:space="0" w:color="auto"/>
              <w:left w:val="single" w:sz="4" w:space="0" w:color="auto"/>
              <w:bottom w:val="single" w:sz="4" w:space="0" w:color="auto"/>
              <w:right w:val="single" w:sz="8" w:space="0" w:color="auto"/>
            </w:tcBorders>
            <w:hideMark/>
          </w:tcPr>
          <w:p w14:paraId="69897236" w14:textId="637147CD" w:rsidR="00BF1BC2" w:rsidRPr="00507FA5" w:rsidRDefault="00BF1BC2" w:rsidP="00BF1BC2">
            <w:pPr>
              <w:spacing w:after="0" w:line="240" w:lineRule="auto"/>
              <w:jc w:val="both"/>
              <w:rPr>
                <w:color w:val="000000"/>
                <w:sz w:val="22"/>
                <w:szCs w:val="22"/>
                <w:lang w:eastAsia="en-US"/>
              </w:rPr>
            </w:pPr>
            <w:r>
              <w:rPr>
                <w:bCs/>
                <w:sz w:val="22"/>
                <w:szCs w:val="22"/>
              </w:rPr>
              <w:lastRenderedPageBreak/>
              <w:t>9</w:t>
            </w:r>
            <w:r w:rsidRPr="00AB36C8">
              <w:rPr>
                <w:bCs/>
                <w:sz w:val="22"/>
                <w:szCs w:val="22"/>
              </w:rPr>
              <w:t>.</w:t>
            </w:r>
          </w:p>
        </w:tc>
        <w:tc>
          <w:tcPr>
            <w:tcW w:w="2437" w:type="dxa"/>
            <w:tcBorders>
              <w:top w:val="single" w:sz="4" w:space="0" w:color="auto"/>
              <w:left w:val="nil"/>
              <w:bottom w:val="single" w:sz="4" w:space="0" w:color="auto"/>
              <w:right w:val="single" w:sz="8" w:space="0" w:color="auto"/>
            </w:tcBorders>
            <w:vAlign w:val="center"/>
            <w:hideMark/>
          </w:tcPr>
          <w:p w14:paraId="58EF778E" w14:textId="5E5F39F2" w:rsidR="00BF1BC2" w:rsidRPr="00507FA5" w:rsidRDefault="00BF1BC2" w:rsidP="00BF1BC2">
            <w:pPr>
              <w:spacing w:after="0" w:line="240" w:lineRule="auto"/>
              <w:jc w:val="both"/>
              <w:rPr>
                <w:color w:val="000000"/>
                <w:sz w:val="22"/>
                <w:szCs w:val="22"/>
                <w:lang w:eastAsia="en-US"/>
              </w:rPr>
            </w:pPr>
            <w:r w:rsidRPr="00AB36C8">
              <w:rPr>
                <w:sz w:val="22"/>
                <w:szCs w:val="22"/>
              </w:rPr>
              <w:t>CE sertifikatas</w:t>
            </w:r>
          </w:p>
        </w:tc>
        <w:tc>
          <w:tcPr>
            <w:tcW w:w="5103" w:type="dxa"/>
            <w:tcBorders>
              <w:top w:val="single" w:sz="4" w:space="0" w:color="auto"/>
              <w:left w:val="nil"/>
              <w:bottom w:val="single" w:sz="4" w:space="0" w:color="auto"/>
              <w:right w:val="single" w:sz="4" w:space="0" w:color="auto"/>
            </w:tcBorders>
            <w:vAlign w:val="center"/>
            <w:hideMark/>
          </w:tcPr>
          <w:p w14:paraId="75CA58AD" w14:textId="3786357A" w:rsidR="00BF1BC2" w:rsidRPr="00507FA5" w:rsidRDefault="00BF1BC2" w:rsidP="00BF1BC2">
            <w:pPr>
              <w:spacing w:after="0" w:line="240" w:lineRule="auto"/>
              <w:jc w:val="both"/>
              <w:rPr>
                <w:color w:val="000000"/>
                <w:sz w:val="22"/>
                <w:szCs w:val="22"/>
                <w:lang w:eastAsia="en-US"/>
              </w:rPr>
            </w:pPr>
            <w:r w:rsidRPr="00AB36C8">
              <w:rPr>
                <w:sz w:val="22"/>
                <w:szCs w:val="22"/>
              </w:rPr>
              <w:t>Būtinas (kartu su pasiūlymu pateikti CE sertifikato arba CE atitikties deklaracijos kopiją)</w:t>
            </w:r>
          </w:p>
        </w:tc>
        <w:tc>
          <w:tcPr>
            <w:tcW w:w="236" w:type="dxa"/>
            <w:vAlign w:val="center"/>
            <w:hideMark/>
          </w:tcPr>
          <w:p w14:paraId="6EB8D9BC" w14:textId="77777777" w:rsidR="00BF1BC2" w:rsidRPr="00507FA5" w:rsidRDefault="00BF1BC2" w:rsidP="00BF1BC2">
            <w:pPr>
              <w:spacing w:after="0" w:line="240" w:lineRule="auto"/>
              <w:rPr>
                <w:sz w:val="20"/>
                <w:lang w:eastAsia="en-US"/>
              </w:rPr>
            </w:pPr>
          </w:p>
        </w:tc>
      </w:tr>
      <w:tr w:rsidR="00BF1BC2" w:rsidRPr="00507FA5" w14:paraId="35D01AF5" w14:textId="77777777" w:rsidTr="00271D65">
        <w:trPr>
          <w:trHeight w:val="315"/>
        </w:trPr>
        <w:tc>
          <w:tcPr>
            <w:tcW w:w="1527" w:type="dxa"/>
            <w:tcBorders>
              <w:top w:val="single" w:sz="4" w:space="0" w:color="auto"/>
              <w:left w:val="single" w:sz="4" w:space="0" w:color="auto"/>
              <w:bottom w:val="single" w:sz="4" w:space="0" w:color="auto"/>
              <w:right w:val="single" w:sz="8" w:space="0" w:color="auto"/>
            </w:tcBorders>
          </w:tcPr>
          <w:p w14:paraId="1CF689DA" w14:textId="15470378" w:rsidR="00BF1BC2" w:rsidRDefault="00BF1BC2" w:rsidP="00BF1BC2">
            <w:pPr>
              <w:spacing w:after="0" w:line="240" w:lineRule="auto"/>
              <w:jc w:val="both"/>
              <w:rPr>
                <w:bCs/>
                <w:sz w:val="22"/>
                <w:szCs w:val="22"/>
              </w:rPr>
            </w:pPr>
            <w:r>
              <w:rPr>
                <w:bCs/>
                <w:sz w:val="22"/>
                <w:szCs w:val="22"/>
              </w:rPr>
              <w:t xml:space="preserve">10 </w:t>
            </w:r>
          </w:p>
        </w:tc>
        <w:tc>
          <w:tcPr>
            <w:tcW w:w="2437" w:type="dxa"/>
            <w:tcBorders>
              <w:top w:val="single" w:sz="4" w:space="0" w:color="auto"/>
              <w:left w:val="nil"/>
              <w:bottom w:val="single" w:sz="4" w:space="0" w:color="auto"/>
              <w:right w:val="single" w:sz="8" w:space="0" w:color="auto"/>
            </w:tcBorders>
            <w:vAlign w:val="center"/>
          </w:tcPr>
          <w:p w14:paraId="39132E63" w14:textId="4A5C4DC2" w:rsidR="00BF1BC2" w:rsidRPr="00AB36C8" w:rsidRDefault="00BF1BC2" w:rsidP="00BF1BC2">
            <w:pPr>
              <w:spacing w:after="0" w:line="240" w:lineRule="auto"/>
              <w:jc w:val="both"/>
              <w:rPr>
                <w:sz w:val="22"/>
                <w:szCs w:val="22"/>
              </w:rPr>
            </w:pPr>
            <w:r w:rsidRPr="00AB36C8">
              <w:rPr>
                <w:sz w:val="22"/>
                <w:szCs w:val="22"/>
              </w:rPr>
              <w:t xml:space="preserve">Garantinis laikotarpis sistemai </w:t>
            </w:r>
          </w:p>
        </w:tc>
        <w:tc>
          <w:tcPr>
            <w:tcW w:w="5103" w:type="dxa"/>
            <w:tcBorders>
              <w:top w:val="single" w:sz="4" w:space="0" w:color="auto"/>
              <w:left w:val="nil"/>
              <w:bottom w:val="single" w:sz="4" w:space="0" w:color="auto"/>
              <w:right w:val="single" w:sz="4" w:space="0" w:color="auto"/>
            </w:tcBorders>
            <w:vAlign w:val="center"/>
          </w:tcPr>
          <w:p w14:paraId="2FE75CAA" w14:textId="682214D9" w:rsidR="00BF1BC2" w:rsidRPr="00AB36C8" w:rsidRDefault="00BF1BC2" w:rsidP="00BF1BC2">
            <w:pPr>
              <w:spacing w:after="0" w:line="240" w:lineRule="auto"/>
              <w:jc w:val="both"/>
              <w:rPr>
                <w:sz w:val="22"/>
                <w:szCs w:val="22"/>
              </w:rPr>
            </w:pPr>
            <w:r w:rsidRPr="00AB36C8">
              <w:rPr>
                <w:sz w:val="22"/>
                <w:szCs w:val="22"/>
              </w:rPr>
              <w:t xml:space="preserve">Ne mažiau </w:t>
            </w:r>
            <w:r>
              <w:rPr>
                <w:sz w:val="22"/>
                <w:szCs w:val="22"/>
              </w:rPr>
              <w:t>36</w:t>
            </w:r>
            <w:r w:rsidRPr="00AB36C8">
              <w:rPr>
                <w:sz w:val="22"/>
                <w:szCs w:val="22"/>
              </w:rPr>
              <w:t xml:space="preserve"> mėnesiai</w:t>
            </w:r>
          </w:p>
        </w:tc>
        <w:tc>
          <w:tcPr>
            <w:tcW w:w="236" w:type="dxa"/>
            <w:vAlign w:val="center"/>
          </w:tcPr>
          <w:p w14:paraId="59DAB149" w14:textId="77777777" w:rsidR="00BF1BC2" w:rsidRPr="00507FA5" w:rsidRDefault="00BF1BC2" w:rsidP="00BF1BC2">
            <w:pPr>
              <w:spacing w:after="0" w:line="240" w:lineRule="auto"/>
              <w:rPr>
                <w:sz w:val="20"/>
                <w:lang w:eastAsia="en-US"/>
              </w:rPr>
            </w:pPr>
          </w:p>
        </w:tc>
      </w:tr>
      <w:tr w:rsidR="00BF1BC2" w:rsidRPr="00507FA5" w14:paraId="3DC2B37E" w14:textId="77777777" w:rsidTr="00271D65">
        <w:trPr>
          <w:trHeight w:val="315"/>
        </w:trPr>
        <w:tc>
          <w:tcPr>
            <w:tcW w:w="1527" w:type="dxa"/>
            <w:tcBorders>
              <w:top w:val="single" w:sz="4" w:space="0" w:color="auto"/>
              <w:left w:val="single" w:sz="4" w:space="0" w:color="auto"/>
              <w:bottom w:val="single" w:sz="4" w:space="0" w:color="auto"/>
              <w:right w:val="single" w:sz="8" w:space="0" w:color="auto"/>
            </w:tcBorders>
          </w:tcPr>
          <w:p w14:paraId="4FDDB0AF" w14:textId="3425A734" w:rsidR="00BF1BC2" w:rsidRDefault="00BF1BC2" w:rsidP="00BF1BC2">
            <w:pPr>
              <w:spacing w:after="0" w:line="240" w:lineRule="auto"/>
              <w:jc w:val="both"/>
              <w:rPr>
                <w:bCs/>
                <w:sz w:val="22"/>
                <w:szCs w:val="22"/>
              </w:rPr>
            </w:pPr>
            <w:r>
              <w:rPr>
                <w:bCs/>
                <w:sz w:val="22"/>
                <w:szCs w:val="22"/>
              </w:rPr>
              <w:t>11.</w:t>
            </w:r>
          </w:p>
        </w:tc>
        <w:tc>
          <w:tcPr>
            <w:tcW w:w="2437" w:type="dxa"/>
            <w:tcBorders>
              <w:top w:val="single" w:sz="4" w:space="0" w:color="auto"/>
              <w:left w:val="nil"/>
              <w:bottom w:val="single" w:sz="4" w:space="0" w:color="auto"/>
              <w:right w:val="single" w:sz="8" w:space="0" w:color="auto"/>
            </w:tcBorders>
            <w:vAlign w:val="center"/>
          </w:tcPr>
          <w:p w14:paraId="06D017A6" w14:textId="373CC8DE" w:rsidR="00BF1BC2" w:rsidRPr="00AB36C8" w:rsidRDefault="00BF1BC2" w:rsidP="00BF1BC2">
            <w:pPr>
              <w:spacing w:after="0" w:line="240" w:lineRule="auto"/>
              <w:jc w:val="both"/>
              <w:rPr>
                <w:sz w:val="22"/>
                <w:szCs w:val="22"/>
              </w:rPr>
            </w:pPr>
            <w:r w:rsidRPr="00AB36C8">
              <w:rPr>
                <w:sz w:val="22"/>
                <w:szCs w:val="22"/>
              </w:rPr>
              <w:t>Tiekėjas turi teisę atlikti siūlomų prekių techninį aptarnavimą ir garantinę priežiūrą arba turi sutartį su kitu ūkio subjektu, turinčiu teisę atlikti siūlomų prekių techninį aptarnavimą ir garantinę priežiūrą garantijos termino metu</w:t>
            </w:r>
          </w:p>
        </w:tc>
        <w:tc>
          <w:tcPr>
            <w:tcW w:w="5103" w:type="dxa"/>
            <w:tcBorders>
              <w:top w:val="single" w:sz="4" w:space="0" w:color="auto"/>
              <w:left w:val="nil"/>
              <w:bottom w:val="single" w:sz="4" w:space="0" w:color="auto"/>
              <w:right w:val="single" w:sz="4" w:space="0" w:color="auto"/>
            </w:tcBorders>
            <w:vAlign w:val="center"/>
          </w:tcPr>
          <w:p w14:paraId="7827E842" w14:textId="4ADD8DC3" w:rsidR="00BF1BC2" w:rsidRPr="00AB36C8" w:rsidRDefault="00BF1BC2" w:rsidP="00BF1BC2">
            <w:pPr>
              <w:spacing w:after="0" w:line="240" w:lineRule="auto"/>
              <w:jc w:val="both"/>
              <w:rPr>
                <w:sz w:val="22"/>
                <w:szCs w:val="22"/>
              </w:rPr>
            </w:pPr>
            <w:r w:rsidRPr="00AB36C8">
              <w:rPr>
                <w:sz w:val="22"/>
                <w:szCs w:val="22"/>
              </w:rPr>
              <w:t>Būtina (kartu su pasiūlymu pateikti dokumentus, patvirtinančius, kad tiekėjas yra siūlomų prekių gamintojo sertifikuotas ir/ar įgaliotas atlikti techninį aptarnavimą ir garantinę priežiūrą. Jeigu tiekėjas nėra įgaliotas atlikti siūlomų prekių techninio aptarnavimo ir garantinės priežiūros, tuomet turi pateikti sutartį su kitu ūkio subjektu dėl siūlomos įrangos techninio aptarnavimo ir garantinės priežiūros paslaugų teikimo).</w:t>
            </w:r>
          </w:p>
        </w:tc>
        <w:tc>
          <w:tcPr>
            <w:tcW w:w="236" w:type="dxa"/>
            <w:vAlign w:val="center"/>
          </w:tcPr>
          <w:p w14:paraId="2E062B95" w14:textId="77777777" w:rsidR="00BF1BC2" w:rsidRPr="00507FA5" w:rsidRDefault="00BF1BC2" w:rsidP="00BF1BC2">
            <w:pPr>
              <w:spacing w:after="0" w:line="240" w:lineRule="auto"/>
              <w:rPr>
                <w:sz w:val="20"/>
                <w:lang w:eastAsia="en-US"/>
              </w:rPr>
            </w:pPr>
          </w:p>
        </w:tc>
      </w:tr>
    </w:tbl>
    <w:p w14:paraId="797F7B66" w14:textId="77777777" w:rsidR="00507FA5" w:rsidRPr="00AB36C8" w:rsidRDefault="00507FA5" w:rsidP="00FD1EDC">
      <w:pPr>
        <w:rPr>
          <w:szCs w:val="24"/>
        </w:rPr>
      </w:pPr>
    </w:p>
    <w:p w14:paraId="1ACF65F8" w14:textId="77777777" w:rsidR="00233EFE" w:rsidRPr="00AB36C8" w:rsidRDefault="00233EFE" w:rsidP="00233EFE">
      <w:pPr>
        <w:spacing w:line="240" w:lineRule="auto"/>
        <w:jc w:val="center"/>
        <w:rPr>
          <w:b/>
          <w:noProof/>
          <w:color w:val="000000" w:themeColor="text1"/>
        </w:rPr>
      </w:pPr>
    </w:p>
    <w:sectPr w:rsidR="00233EFE" w:rsidRPr="00AB36C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76EEC"/>
    <w:multiLevelType w:val="hybridMultilevel"/>
    <w:tmpl w:val="1D14F070"/>
    <w:lvl w:ilvl="0" w:tplc="FFFFFFFF">
      <w:start w:val="1"/>
      <w:numFmt w:val="decimal"/>
      <w:lvlText w:val="%1."/>
      <w:lvlJc w:val="left"/>
      <w:pPr>
        <w:ind w:left="432" w:hanging="360"/>
      </w:pPr>
      <w:rPr>
        <w:rFonts w:ascii="Times New Roman" w:hAnsi="Times New Roman" w:cs="Times New Roman"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1" w15:restartNumberingAfterBreak="0">
    <w:nsid w:val="5B6614BE"/>
    <w:multiLevelType w:val="hybridMultilevel"/>
    <w:tmpl w:val="AF921BE0"/>
    <w:lvl w:ilvl="0" w:tplc="FFFFFFFF">
      <w:start w:val="1"/>
      <w:numFmt w:val="decimal"/>
      <w:lvlText w:val="%1."/>
      <w:lvlJc w:val="left"/>
      <w:pPr>
        <w:ind w:left="433" w:hanging="360"/>
      </w:pPr>
      <w:rPr>
        <w:rFonts w:ascii="Times New Roman" w:hAnsi="Times New Roman" w:cs="Times New Roman" w:hint="default"/>
      </w:rPr>
    </w:lvl>
    <w:lvl w:ilvl="1" w:tplc="FFFFFFFF" w:tentative="1">
      <w:start w:val="1"/>
      <w:numFmt w:val="lowerLetter"/>
      <w:lvlText w:val="%2."/>
      <w:lvlJc w:val="left"/>
      <w:pPr>
        <w:ind w:left="1513" w:hanging="360"/>
      </w:pPr>
    </w:lvl>
    <w:lvl w:ilvl="2" w:tplc="FFFFFFFF" w:tentative="1">
      <w:start w:val="1"/>
      <w:numFmt w:val="lowerRoman"/>
      <w:lvlText w:val="%3."/>
      <w:lvlJc w:val="right"/>
      <w:pPr>
        <w:ind w:left="2233" w:hanging="180"/>
      </w:pPr>
    </w:lvl>
    <w:lvl w:ilvl="3" w:tplc="FFFFFFFF" w:tentative="1">
      <w:start w:val="1"/>
      <w:numFmt w:val="decimal"/>
      <w:lvlText w:val="%4."/>
      <w:lvlJc w:val="left"/>
      <w:pPr>
        <w:ind w:left="2953" w:hanging="360"/>
      </w:pPr>
    </w:lvl>
    <w:lvl w:ilvl="4" w:tplc="FFFFFFFF" w:tentative="1">
      <w:start w:val="1"/>
      <w:numFmt w:val="lowerLetter"/>
      <w:lvlText w:val="%5."/>
      <w:lvlJc w:val="left"/>
      <w:pPr>
        <w:ind w:left="3673" w:hanging="360"/>
      </w:pPr>
    </w:lvl>
    <w:lvl w:ilvl="5" w:tplc="FFFFFFFF" w:tentative="1">
      <w:start w:val="1"/>
      <w:numFmt w:val="lowerRoman"/>
      <w:lvlText w:val="%6."/>
      <w:lvlJc w:val="right"/>
      <w:pPr>
        <w:ind w:left="4393" w:hanging="180"/>
      </w:pPr>
    </w:lvl>
    <w:lvl w:ilvl="6" w:tplc="FFFFFFFF" w:tentative="1">
      <w:start w:val="1"/>
      <w:numFmt w:val="decimal"/>
      <w:lvlText w:val="%7."/>
      <w:lvlJc w:val="left"/>
      <w:pPr>
        <w:ind w:left="5113" w:hanging="360"/>
      </w:pPr>
    </w:lvl>
    <w:lvl w:ilvl="7" w:tplc="FFFFFFFF" w:tentative="1">
      <w:start w:val="1"/>
      <w:numFmt w:val="lowerLetter"/>
      <w:lvlText w:val="%8."/>
      <w:lvlJc w:val="left"/>
      <w:pPr>
        <w:ind w:left="5833" w:hanging="360"/>
      </w:pPr>
    </w:lvl>
    <w:lvl w:ilvl="8" w:tplc="FFFFFFFF" w:tentative="1">
      <w:start w:val="1"/>
      <w:numFmt w:val="lowerRoman"/>
      <w:lvlText w:val="%9."/>
      <w:lvlJc w:val="right"/>
      <w:pPr>
        <w:ind w:left="6553" w:hanging="180"/>
      </w:pPr>
    </w:lvl>
  </w:abstractNum>
  <w:num w:numId="1" w16cid:durableId="1937590670">
    <w:abstractNumId w:val="0"/>
  </w:num>
  <w:num w:numId="2" w16cid:durableId="66808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1sTA1tTA1tDA2tbRQ0lEKTi0uzszPAykwrgUAOawHHywAAAA="/>
  </w:docVars>
  <w:rsids>
    <w:rsidRoot w:val="001F6AF5"/>
    <w:rsid w:val="000514F5"/>
    <w:rsid w:val="000739FB"/>
    <w:rsid w:val="001F6AF5"/>
    <w:rsid w:val="0021437F"/>
    <w:rsid w:val="00233EFE"/>
    <w:rsid w:val="002C7B7F"/>
    <w:rsid w:val="00507FA5"/>
    <w:rsid w:val="00651586"/>
    <w:rsid w:val="006F31C9"/>
    <w:rsid w:val="00A84624"/>
    <w:rsid w:val="00AB0496"/>
    <w:rsid w:val="00AB36C8"/>
    <w:rsid w:val="00B316B8"/>
    <w:rsid w:val="00BF1BC2"/>
    <w:rsid w:val="00BF4FF8"/>
    <w:rsid w:val="00FD1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C6821"/>
  <w15:chartTrackingRefBased/>
  <w15:docId w15:val="{E6A6F9F8-1C00-4646-9393-675B6198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EFE"/>
    <w:pPr>
      <w:spacing w:after="200" w:line="276"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1,Buletai,Bullet EY,List Paragraph1,List Paragraph2,lp1,Bullet 1,Use Case List Paragraph,Numbering,ERP-List Paragraph,List Paragraph11,List Paragraph111,Paragraph,List Paragraph Red,Sąrašo pastraipa.Bullet,Lentele,Lente"/>
    <w:basedOn w:val="Normal"/>
    <w:link w:val="ListParagraphChar"/>
    <w:uiPriority w:val="34"/>
    <w:qFormat/>
    <w:rsid w:val="00233EFE"/>
    <w:pPr>
      <w:spacing w:after="0" w:line="240" w:lineRule="auto"/>
      <w:ind w:left="720"/>
    </w:pPr>
    <w:rPr>
      <w:lang w:val="en-US" w:eastAsia="x-none"/>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locked/>
    <w:rsid w:val="00233EFE"/>
    <w:rPr>
      <w:rFonts w:ascii="Times New Roman" w:eastAsia="Times New Roman" w:hAnsi="Times New Roman" w:cs="Times New Roman"/>
      <w:sz w:val="24"/>
      <w:szCs w:val="20"/>
      <w:lang w:val="en-US" w:eastAsia="x-none"/>
    </w:rPr>
  </w:style>
  <w:style w:type="paragraph" w:customStyle="1" w:styleId="TableParagraph">
    <w:name w:val="Table Paragraph"/>
    <w:basedOn w:val="Normal"/>
    <w:uiPriority w:val="1"/>
    <w:qFormat/>
    <w:rsid w:val="00233EFE"/>
    <w:pPr>
      <w:widowControl w:val="0"/>
      <w:autoSpaceDE w:val="0"/>
      <w:autoSpaceDN w:val="0"/>
      <w:spacing w:after="0" w:line="240" w:lineRule="auto"/>
      <w:ind w:left="347"/>
    </w:pPr>
    <w:rPr>
      <w:sz w:val="22"/>
      <w:szCs w:val="22"/>
      <w:lang w:eastAsia="en-US"/>
    </w:rPr>
  </w:style>
  <w:style w:type="paragraph" w:customStyle="1" w:styleId="prastasis1">
    <w:name w:val="Įprastasis1"/>
    <w:rsid w:val="00233EFE"/>
    <w:pPr>
      <w:widowControl w:val="0"/>
      <w:suppressAutoHyphens/>
      <w:spacing w:after="200" w:line="276" w:lineRule="auto"/>
    </w:pPr>
    <w:rPr>
      <w:rFonts w:ascii="Times New Roman" w:eastAsia="Calibri" w:hAnsi="Times New Roman" w:cs="Calibri"/>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815</Words>
  <Characters>4646</Characters>
  <Application>Microsoft Office Word</Application>
  <DocSecurity>0</DocSecurity>
  <Lines>38</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Mantas Mickus</cp:lastModifiedBy>
  <cp:revision>2</cp:revision>
  <dcterms:created xsi:type="dcterms:W3CDTF">2026-02-11T18:35:00Z</dcterms:created>
  <dcterms:modified xsi:type="dcterms:W3CDTF">2026-02-11T18:35:00Z</dcterms:modified>
</cp:coreProperties>
</file>