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58635" w14:textId="77777777" w:rsidR="006961F2" w:rsidRPr="00B97F67" w:rsidRDefault="006961F2" w:rsidP="006961F2">
      <w:pPr>
        <w:pStyle w:val="Body2"/>
        <w:tabs>
          <w:tab w:val="left" w:pos="426"/>
        </w:tabs>
        <w:spacing w:after="0"/>
        <w:jc w:val="center"/>
        <w:rPr>
          <w:rFonts w:cs="Times New Roman"/>
          <w:b/>
          <w:color w:val="000000" w:themeColor="text1"/>
          <w:sz w:val="24"/>
          <w:szCs w:val="24"/>
        </w:rPr>
      </w:pPr>
      <w:r w:rsidRPr="00473FF5">
        <w:rPr>
          <w:rFonts w:cs="Times New Roman"/>
          <w:b/>
          <w:color w:val="000000" w:themeColor="text1"/>
          <w:sz w:val="24"/>
          <w:szCs w:val="24"/>
        </w:rPr>
        <w:t>TECHNINĖS SPECIFIKACIJ</w:t>
      </w:r>
      <w:r>
        <w:rPr>
          <w:rFonts w:cs="Times New Roman"/>
          <w:b/>
          <w:color w:val="000000" w:themeColor="text1"/>
          <w:sz w:val="24"/>
          <w:szCs w:val="24"/>
        </w:rPr>
        <w:t>A</w:t>
      </w:r>
    </w:p>
    <w:p w14:paraId="13C46BA5" w14:textId="08BD6945" w:rsidR="00D26078" w:rsidRPr="00473FF5" w:rsidRDefault="004104D4" w:rsidP="004104D4">
      <w:pPr>
        <w:rPr>
          <w:rFonts w:ascii="Times New Roman" w:hAnsi="Times New Roman" w:cs="Times New Roman"/>
          <w:b/>
          <w:color w:val="000000" w:themeColor="text1"/>
        </w:rPr>
      </w:pPr>
      <w:r w:rsidRPr="00473FF5">
        <w:rPr>
          <w:rFonts w:ascii="Times New Roman" w:hAnsi="Times New Roman" w:cs="Times New Roman"/>
          <w:b/>
          <w:color w:val="000000" w:themeColor="text1"/>
        </w:rPr>
        <w:t>BENDRIEJI REIKALAVIMAI:</w:t>
      </w:r>
    </w:p>
    <w:p w14:paraId="45B3A25F" w14:textId="048033ED" w:rsidR="004E603B" w:rsidRPr="008A62F7" w:rsidRDefault="004E603B" w:rsidP="004E603B">
      <w:pPr>
        <w:pStyle w:val="Body2"/>
        <w:numPr>
          <w:ilvl w:val="0"/>
          <w:numId w:val="1"/>
        </w:numPr>
        <w:ind w:left="360"/>
        <w:rPr>
          <w:rFonts w:cs="Times New Roman"/>
          <w:color w:val="000000" w:themeColor="text1"/>
          <w:sz w:val="24"/>
          <w:szCs w:val="24"/>
          <w:lang w:val="lt-LT"/>
        </w:rPr>
      </w:pPr>
      <w:r w:rsidRPr="008A62F7">
        <w:rPr>
          <w:rFonts w:cs="Times New Roman"/>
          <w:color w:val="000000" w:themeColor="text1"/>
          <w:sz w:val="24"/>
          <w:szCs w:val="24"/>
          <w:lang w:val="lt-LT"/>
        </w:rPr>
        <w:t>Baldų pristatymo</w:t>
      </w:r>
      <w:r w:rsidR="00FD4D10">
        <w:rPr>
          <w:rFonts w:cs="Times New Roman"/>
          <w:color w:val="000000" w:themeColor="text1"/>
          <w:sz w:val="24"/>
          <w:szCs w:val="24"/>
          <w:lang w:val="lt-LT"/>
        </w:rPr>
        <w:t xml:space="preserve"> ir surinkimo</w:t>
      </w:r>
      <w:r w:rsidRPr="008A62F7">
        <w:rPr>
          <w:rFonts w:cs="Times New Roman"/>
          <w:color w:val="000000" w:themeColor="text1"/>
          <w:sz w:val="24"/>
          <w:szCs w:val="24"/>
          <w:lang w:val="lt-LT"/>
        </w:rPr>
        <w:t xml:space="preserve"> paslauga turi būti įtraukta į pasiūlymo kainą.</w:t>
      </w:r>
    </w:p>
    <w:p w14:paraId="1768FDB1" w14:textId="1B0E15F4" w:rsidR="004E603B" w:rsidRDefault="004E603B" w:rsidP="004E603B">
      <w:pPr>
        <w:pStyle w:val="Body2"/>
        <w:numPr>
          <w:ilvl w:val="0"/>
          <w:numId w:val="1"/>
        </w:numPr>
        <w:ind w:left="360"/>
        <w:rPr>
          <w:rFonts w:cs="Times New Roman"/>
          <w:color w:val="000000" w:themeColor="text1"/>
          <w:sz w:val="24"/>
          <w:szCs w:val="24"/>
          <w:lang w:val="lt-LT"/>
        </w:rPr>
      </w:pPr>
      <w:r w:rsidRPr="008A62F7">
        <w:rPr>
          <w:rFonts w:cs="Times New Roman"/>
          <w:color w:val="000000" w:themeColor="text1"/>
          <w:sz w:val="24"/>
          <w:szCs w:val="24"/>
          <w:lang w:val="lt-LT"/>
        </w:rPr>
        <w:t>Visi baldai turi būti nauji. Gamykliškai restauruoti ar atnaujinti „renew“/</w:t>
      </w:r>
      <w:r w:rsidR="00DC197E" w:rsidRPr="00DC197E">
        <w:rPr>
          <w:rFonts w:cs="Times New Roman"/>
          <w:color w:val="000000" w:themeColor="text1"/>
          <w:sz w:val="24"/>
          <w:szCs w:val="24"/>
          <w:lang w:val="lt-LT"/>
        </w:rPr>
        <w:t xml:space="preserve"> </w:t>
      </w:r>
      <w:r w:rsidR="00DC197E" w:rsidRPr="008A62F7">
        <w:rPr>
          <w:rFonts w:cs="Times New Roman"/>
          <w:color w:val="000000" w:themeColor="text1"/>
          <w:sz w:val="24"/>
          <w:szCs w:val="24"/>
          <w:lang w:val="lt-LT"/>
        </w:rPr>
        <w:t>„</w:t>
      </w:r>
      <w:r w:rsidRPr="008A62F7">
        <w:rPr>
          <w:rFonts w:cs="Times New Roman"/>
          <w:color w:val="000000" w:themeColor="text1"/>
          <w:sz w:val="24"/>
          <w:szCs w:val="24"/>
          <w:lang w:val="lt-LT"/>
        </w:rPr>
        <w:t>refurbished“/ „remarked“ baldai neleistini.</w:t>
      </w:r>
    </w:p>
    <w:p w14:paraId="32122811" w14:textId="04BA5F92" w:rsidR="00CB3DC1" w:rsidRPr="00CB3DC1" w:rsidRDefault="004E603B" w:rsidP="00CB3DC1">
      <w:pPr>
        <w:pStyle w:val="Body2"/>
        <w:numPr>
          <w:ilvl w:val="0"/>
          <w:numId w:val="1"/>
        </w:numPr>
        <w:ind w:left="360"/>
        <w:rPr>
          <w:rFonts w:cs="Times New Roman"/>
          <w:color w:val="000000" w:themeColor="text1"/>
          <w:sz w:val="24"/>
          <w:szCs w:val="24"/>
          <w:lang w:val="lt-LT"/>
        </w:rPr>
      </w:pPr>
      <w:r w:rsidRPr="00156F15">
        <w:rPr>
          <w:rFonts w:eastAsia="Times New Roman" w:cs="Times New Roman"/>
          <w:sz w:val="24"/>
          <w:szCs w:val="24"/>
          <w:lang w:val="lt-LT"/>
        </w:rPr>
        <w:t>Techninėje specifikacijoje paminėti gaminių pavadinimai, jų modeliai ar šaltiniai, konkretūs procesai ar prekės ženklai, patentai, tipai, konkreti kilmė ar gamyba, nuorodos į standartus ir/ar technologijas gali būti pakeisti lygiaverte (ne blogesniais techniniais rodikliais ir atitinkančią reikalaujamus kokybės parametrus) kitų gamintojų produkcija (prekėmis), lygiaverčiais standartais ir/ar technologijomis.</w:t>
      </w:r>
    </w:p>
    <w:p w14:paraId="607F3CAF" w14:textId="77777777" w:rsidR="00A70C53" w:rsidRPr="00C7575B" w:rsidRDefault="00A70C53" w:rsidP="00A70C53">
      <w:pPr>
        <w:pStyle w:val="Body2"/>
        <w:ind w:left="360"/>
        <w:rPr>
          <w:rFonts w:cs="Times New Roman"/>
          <w:color w:val="000000" w:themeColor="text1"/>
          <w:sz w:val="24"/>
          <w:szCs w:val="24"/>
          <w:lang w:val="lt-LT"/>
        </w:rPr>
      </w:pPr>
    </w:p>
    <w:p w14:paraId="2DA6F00B" w14:textId="5AF51F44" w:rsidR="00D26078" w:rsidRDefault="00D26078" w:rsidP="009843F8">
      <w:pPr>
        <w:pStyle w:val="Body2"/>
        <w:jc w:val="center"/>
        <w:rPr>
          <w:rFonts w:cs="Times New Roman"/>
          <w:b/>
          <w:bCs/>
          <w:color w:val="000000" w:themeColor="text1"/>
          <w:sz w:val="20"/>
          <w:szCs w:val="20"/>
          <w:lang w:val="lt-LT"/>
        </w:rPr>
      </w:pPr>
      <w:r w:rsidRPr="00473FF5">
        <w:rPr>
          <w:rFonts w:cs="Times New Roman"/>
          <w:b/>
          <w:bCs/>
          <w:color w:val="000000" w:themeColor="text1"/>
          <w:sz w:val="20"/>
          <w:szCs w:val="20"/>
          <w:lang w:val="lt-LT"/>
        </w:rPr>
        <w:t>DETALIOS TECHNINĖS SPECIFIKACIJOS</w:t>
      </w:r>
    </w:p>
    <w:tbl>
      <w:tblPr>
        <w:tblStyle w:val="TableGrid"/>
        <w:tblW w:w="5000" w:type="pct"/>
        <w:tblLook w:val="0000" w:firstRow="0" w:lastRow="0" w:firstColumn="0" w:lastColumn="0" w:noHBand="0" w:noVBand="0"/>
      </w:tblPr>
      <w:tblGrid>
        <w:gridCol w:w="503"/>
        <w:gridCol w:w="8"/>
        <w:gridCol w:w="2132"/>
        <w:gridCol w:w="761"/>
        <w:gridCol w:w="4595"/>
        <w:gridCol w:w="1972"/>
        <w:gridCol w:w="1802"/>
        <w:gridCol w:w="2789"/>
      </w:tblGrid>
      <w:tr w:rsidR="00765738" w:rsidRPr="00765738" w14:paraId="05B878D6" w14:textId="137ED437" w:rsidTr="00765738">
        <w:trPr>
          <w:trHeight w:val="360"/>
        </w:trPr>
        <w:tc>
          <w:tcPr>
            <w:tcW w:w="176" w:type="pct"/>
            <w:gridSpan w:val="2"/>
          </w:tcPr>
          <w:p w14:paraId="7336506E" w14:textId="78940CAF" w:rsidR="00765738" w:rsidRPr="00765738" w:rsidRDefault="00765738" w:rsidP="00765738">
            <w:pPr>
              <w:pStyle w:val="Body2"/>
              <w:jc w:val="center"/>
              <w:rPr>
                <w:rFonts w:cs="Times New Roman"/>
                <w:b/>
                <w:bCs/>
                <w:color w:val="000000" w:themeColor="text1"/>
                <w:sz w:val="20"/>
                <w:szCs w:val="20"/>
                <w:lang w:val="lt-LT"/>
              </w:rPr>
            </w:pPr>
            <w:r w:rsidRPr="00765738">
              <w:rPr>
                <w:rFonts w:asciiTheme="majorBidi" w:hAnsiTheme="majorBidi" w:cstheme="majorBidi"/>
                <w:b/>
                <w:bCs/>
                <w:sz w:val="20"/>
                <w:szCs w:val="20"/>
                <w:lang w:val="lt-LT"/>
              </w:rPr>
              <w:t>Eil. Nr.</w:t>
            </w:r>
          </w:p>
        </w:tc>
        <w:tc>
          <w:tcPr>
            <w:tcW w:w="757" w:type="pct"/>
          </w:tcPr>
          <w:p w14:paraId="2494AB03" w14:textId="77777777" w:rsidR="00765738" w:rsidRPr="00765738" w:rsidRDefault="00765738" w:rsidP="00765738">
            <w:pPr>
              <w:pStyle w:val="Body2"/>
              <w:rPr>
                <w:rFonts w:cs="Times New Roman"/>
                <w:b/>
                <w:bCs/>
                <w:color w:val="000000" w:themeColor="text1"/>
                <w:sz w:val="20"/>
                <w:szCs w:val="20"/>
                <w:lang w:val="lt-LT"/>
              </w:rPr>
            </w:pPr>
          </w:p>
          <w:p w14:paraId="73D40E58" w14:textId="77777777" w:rsidR="00765738" w:rsidRPr="00765738" w:rsidRDefault="00765738" w:rsidP="00765738">
            <w:pPr>
              <w:pStyle w:val="Body2"/>
              <w:rPr>
                <w:rFonts w:cs="Times New Roman"/>
                <w:b/>
                <w:bCs/>
                <w:color w:val="000000" w:themeColor="text1"/>
                <w:sz w:val="20"/>
                <w:szCs w:val="20"/>
                <w:lang w:val="lt-LT"/>
              </w:rPr>
            </w:pPr>
          </w:p>
          <w:p w14:paraId="45D9F6C5" w14:textId="77777777" w:rsidR="00765738" w:rsidRPr="00765738" w:rsidRDefault="00765738" w:rsidP="00765738">
            <w:pPr>
              <w:pStyle w:val="Body2"/>
              <w:jc w:val="center"/>
              <w:rPr>
                <w:rFonts w:cs="Times New Roman"/>
                <w:b/>
                <w:bCs/>
                <w:color w:val="000000" w:themeColor="text1"/>
                <w:sz w:val="20"/>
                <w:szCs w:val="20"/>
                <w:lang w:val="lt-LT"/>
              </w:rPr>
            </w:pPr>
            <w:r w:rsidRPr="00765738">
              <w:rPr>
                <w:rFonts w:cs="Times New Roman"/>
                <w:b/>
                <w:bCs/>
                <w:color w:val="000000" w:themeColor="text1"/>
                <w:sz w:val="20"/>
                <w:szCs w:val="20"/>
                <w:lang w:val="lt-LT"/>
              </w:rPr>
              <w:t>Pavadinimas</w:t>
            </w:r>
          </w:p>
          <w:p w14:paraId="34570590" w14:textId="07D57C70" w:rsidR="00765738" w:rsidRPr="00765738" w:rsidRDefault="00765738" w:rsidP="00765738">
            <w:pPr>
              <w:pStyle w:val="Body2"/>
              <w:jc w:val="center"/>
              <w:rPr>
                <w:rFonts w:cs="Times New Roman"/>
                <w:b/>
                <w:bCs/>
                <w:color w:val="000000" w:themeColor="text1"/>
                <w:sz w:val="20"/>
                <w:szCs w:val="20"/>
                <w:lang w:val="lt-LT"/>
              </w:rPr>
            </w:pPr>
            <w:r w:rsidRPr="00765738">
              <w:rPr>
                <w:color w:val="000000" w:themeColor="text1"/>
                <w:sz w:val="18"/>
                <w:szCs w:val="18"/>
                <w:lang w:val="lt-LT"/>
              </w:rPr>
              <w:t>(Orientacinė vizualizacija)</w:t>
            </w:r>
          </w:p>
        </w:tc>
        <w:tc>
          <w:tcPr>
            <w:tcW w:w="261" w:type="pct"/>
            <w:vAlign w:val="center"/>
          </w:tcPr>
          <w:p w14:paraId="042C7BF4" w14:textId="1766DAAC" w:rsidR="00765738" w:rsidRPr="00765738" w:rsidRDefault="00765738" w:rsidP="00765738">
            <w:pPr>
              <w:pStyle w:val="Body2"/>
              <w:jc w:val="center"/>
              <w:rPr>
                <w:rFonts w:cs="Times New Roman"/>
                <w:b/>
                <w:bCs/>
                <w:color w:val="000000" w:themeColor="text1"/>
                <w:sz w:val="20"/>
                <w:szCs w:val="20"/>
                <w:lang w:val="lt-LT"/>
              </w:rPr>
            </w:pPr>
            <w:r w:rsidRPr="00765738">
              <w:rPr>
                <w:rFonts w:asciiTheme="majorBidi" w:eastAsia="Times New Roman" w:hAnsiTheme="majorBidi" w:cstheme="majorBidi"/>
                <w:b/>
                <w:bCs/>
                <w:sz w:val="20"/>
                <w:szCs w:val="20"/>
                <w:lang w:val="lt-LT"/>
              </w:rPr>
              <w:t>Kiekis</w:t>
            </w:r>
          </w:p>
        </w:tc>
        <w:tc>
          <w:tcPr>
            <w:tcW w:w="1586" w:type="pct"/>
          </w:tcPr>
          <w:p w14:paraId="0FFA0EBB" w14:textId="0C7C09CD" w:rsidR="00765738" w:rsidRPr="00765738" w:rsidRDefault="00765738" w:rsidP="00765738">
            <w:pPr>
              <w:pStyle w:val="Body2"/>
              <w:jc w:val="center"/>
              <w:rPr>
                <w:rFonts w:cs="Times New Roman"/>
                <w:b/>
                <w:bCs/>
                <w:color w:val="000000" w:themeColor="text1"/>
                <w:sz w:val="20"/>
                <w:szCs w:val="20"/>
                <w:lang w:val="lt-LT"/>
              </w:rPr>
            </w:pPr>
            <w:r w:rsidRPr="00765738">
              <w:rPr>
                <w:rFonts w:asciiTheme="majorBidi" w:eastAsia="Times New Roman" w:hAnsiTheme="majorBidi" w:cstheme="majorBidi"/>
                <w:b/>
                <w:bCs/>
                <w:sz w:val="20"/>
                <w:szCs w:val="20"/>
                <w:lang w:val="lt-LT"/>
              </w:rPr>
              <w:t>Techninė specifikacija</w:t>
            </w:r>
          </w:p>
        </w:tc>
        <w:tc>
          <w:tcPr>
            <w:tcW w:w="627" w:type="pct"/>
          </w:tcPr>
          <w:p w14:paraId="1735AAA5" w14:textId="1630CC7E" w:rsidR="00765738" w:rsidRPr="00765738" w:rsidRDefault="00765738" w:rsidP="00765738">
            <w:pPr>
              <w:ind w:right="77"/>
              <w:jc w:val="center"/>
              <w:rPr>
                <w:rFonts w:asciiTheme="majorBidi" w:eastAsia="Calibri" w:hAnsiTheme="majorBidi" w:cstheme="majorBidi"/>
                <w:b/>
                <w:noProof/>
                <w:lang w:val="lt-LT"/>
              </w:rPr>
            </w:pPr>
            <w:r>
              <w:rPr>
                <w:b/>
                <w:bCs/>
                <w:color w:val="000000" w:themeColor="text1"/>
                <w:lang w:val="lt-LT"/>
              </w:rPr>
              <w:t>Siūlomos prekės brėžinys/nuotrauka</w:t>
            </w:r>
          </w:p>
        </w:tc>
        <w:tc>
          <w:tcPr>
            <w:tcW w:w="627" w:type="pct"/>
          </w:tcPr>
          <w:p w14:paraId="4F0699FD" w14:textId="77777777" w:rsidR="00765738" w:rsidRDefault="00765738" w:rsidP="00765738">
            <w:pPr>
              <w:ind w:right="77"/>
              <w:jc w:val="center"/>
              <w:rPr>
                <w:rFonts w:asciiTheme="majorBidi" w:eastAsia="Calibri" w:hAnsiTheme="majorBidi" w:cstheme="majorBidi"/>
                <w:b/>
                <w:lang w:val="lt-LT"/>
              </w:rPr>
            </w:pPr>
            <w:r>
              <w:rPr>
                <w:rFonts w:asciiTheme="majorBidi" w:eastAsia="Calibri" w:hAnsiTheme="majorBidi" w:cstheme="majorBidi"/>
                <w:b/>
                <w:noProof/>
                <w:lang w:val="lt-LT"/>
              </w:rPr>
              <w:t>Siūlomos prekės charakteristikos</w:t>
            </w:r>
          </w:p>
          <w:p w14:paraId="0ABE5CE6" w14:textId="4B4E5082" w:rsidR="00765738" w:rsidRPr="00765738" w:rsidRDefault="00765738" w:rsidP="00765738">
            <w:pPr>
              <w:pStyle w:val="Body2"/>
              <w:jc w:val="center"/>
              <w:rPr>
                <w:rFonts w:cs="Times New Roman"/>
                <w:b/>
                <w:bCs/>
                <w:color w:val="000000" w:themeColor="text1"/>
                <w:sz w:val="20"/>
                <w:szCs w:val="20"/>
                <w:lang w:val="lt-LT"/>
              </w:rPr>
            </w:pPr>
            <w:r>
              <w:rPr>
                <w:rFonts w:asciiTheme="majorBidi" w:hAnsiTheme="majorBidi" w:cstheme="majorBidi"/>
                <w:i/>
                <w:iCs/>
                <w:sz w:val="20"/>
                <w:szCs w:val="20"/>
                <w:lang w:val="lt-LT" w:eastAsia="en-US"/>
              </w:rPr>
              <w:t>Nurodomi konkretūs siūlomi parametrai (rašyti „Atitinka“ arba „Taip“ neleidžiama</w:t>
            </w:r>
          </w:p>
        </w:tc>
        <w:tc>
          <w:tcPr>
            <w:tcW w:w="966" w:type="pct"/>
          </w:tcPr>
          <w:p w14:paraId="21DE69AB" w14:textId="62DC7BA6" w:rsidR="00765738" w:rsidRPr="00765738" w:rsidRDefault="00765738" w:rsidP="00765738">
            <w:pPr>
              <w:pStyle w:val="Body2"/>
              <w:jc w:val="center"/>
              <w:rPr>
                <w:rFonts w:cs="Times New Roman"/>
                <w:b/>
                <w:bCs/>
                <w:color w:val="000000" w:themeColor="text1"/>
                <w:sz w:val="20"/>
                <w:szCs w:val="20"/>
                <w:lang w:val="lt-LT"/>
              </w:rPr>
            </w:pPr>
            <w:r>
              <w:rPr>
                <w:rFonts w:asciiTheme="majorBidi" w:hAnsiTheme="majorBidi" w:cstheme="majorBidi"/>
                <w:b/>
                <w:bCs/>
                <w:sz w:val="20"/>
                <w:szCs w:val="20"/>
                <w:lang w:val="lt-LT" w:eastAsia="en-US"/>
              </w:rPr>
              <w:t xml:space="preserve">Kartu su pasiūlymu tiekėjai privalo pateikti gamintojo ir/ar įgalioto atstovo techninius dokumentus ar kitus lygiaverčius duomenis, įrodančius atitiktį kriterijams, bei nurodyti pagrindžiančio dokumento pavadinimą, puslapio numerį </w:t>
            </w:r>
            <w:r>
              <w:rPr>
                <w:rFonts w:asciiTheme="majorBidi" w:hAnsiTheme="majorBidi" w:cstheme="majorBidi"/>
                <w:sz w:val="20"/>
                <w:szCs w:val="20"/>
                <w:lang w:val="lt-LT" w:eastAsia="en-US"/>
              </w:rPr>
              <w:t>(</w:t>
            </w:r>
            <w:r>
              <w:rPr>
                <w:rFonts w:asciiTheme="majorBidi" w:hAnsiTheme="majorBidi" w:cstheme="majorBidi"/>
                <w:i/>
                <w:iCs/>
                <w:sz w:val="20"/>
                <w:szCs w:val="20"/>
                <w:lang w:val="lt-LT" w:eastAsia="en-US"/>
              </w:rPr>
              <w:t>nuorodos į interneto puslapius kaip atitikties įrodymas nepriimamos</w:t>
            </w:r>
            <w:r>
              <w:rPr>
                <w:rFonts w:asciiTheme="majorBidi" w:hAnsiTheme="majorBidi" w:cstheme="majorBidi"/>
                <w:sz w:val="20"/>
                <w:szCs w:val="20"/>
                <w:lang w:val="lt-LT" w:eastAsia="en-US"/>
              </w:rPr>
              <w:t>)</w:t>
            </w:r>
          </w:p>
        </w:tc>
      </w:tr>
      <w:tr w:rsidR="00007130" w:rsidRPr="00765738" w14:paraId="293B6C61" w14:textId="77777777" w:rsidTr="00765738">
        <w:tblPrEx>
          <w:tblLook w:val="04A0" w:firstRow="1" w:lastRow="0" w:firstColumn="1" w:lastColumn="0" w:noHBand="0" w:noVBand="1"/>
        </w:tblPrEx>
        <w:tc>
          <w:tcPr>
            <w:tcW w:w="173" w:type="pct"/>
          </w:tcPr>
          <w:p w14:paraId="534EF7C7" w14:textId="120AE254" w:rsidR="00007130" w:rsidRPr="00765738" w:rsidRDefault="00007130"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0"/>
                <w:szCs w:val="20"/>
                <w:lang w:val="lt-LT"/>
              </w:rPr>
            </w:pPr>
            <w:r w:rsidRPr="00765738">
              <w:rPr>
                <w:rFonts w:cs="Times New Roman"/>
                <w:color w:val="000000" w:themeColor="text1"/>
                <w:sz w:val="20"/>
                <w:szCs w:val="20"/>
                <w:lang w:val="lt-LT"/>
              </w:rPr>
              <w:t>1.</w:t>
            </w:r>
          </w:p>
        </w:tc>
        <w:tc>
          <w:tcPr>
            <w:tcW w:w="760" w:type="pct"/>
            <w:gridSpan w:val="2"/>
          </w:tcPr>
          <w:p w14:paraId="04B428FC" w14:textId="7061DA35" w:rsidR="00007130" w:rsidRPr="00765738" w:rsidRDefault="00DC1C09" w:rsidP="005A6BF4">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color w:val="000000" w:themeColor="text1"/>
                <w:lang w:val="lt-LT"/>
              </w:rPr>
            </w:pPr>
            <w:r>
              <w:rPr>
                <w:color w:val="000000" w:themeColor="text1"/>
                <w:lang w:val="lt-LT"/>
              </w:rPr>
              <w:t>Mokyklinė kėdė</w:t>
            </w:r>
            <w:r w:rsidR="00114B48">
              <w:t xml:space="preserve"> </w:t>
            </w:r>
            <w:r w:rsidR="00114B48">
              <w:rPr>
                <w:noProof/>
              </w:rPr>
              <w:drawing>
                <wp:inline distT="0" distB="0" distL="0" distR="0" wp14:anchorId="63C42F5D" wp14:editId="18A0B225">
                  <wp:extent cx="480060" cy="480060"/>
                  <wp:effectExtent l="0" t="0" r="0" b="0"/>
                  <wp:docPr id="1875860479" name="Picture 2" descr="Mokyklinė kėdė MIA BASIC - 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kyklinė kėdė MIA BASIC - Imag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inline>
              </w:drawing>
            </w:r>
            <w:r w:rsidR="00114B48">
              <w:rPr>
                <w:noProof/>
              </w:rPr>
              <w:drawing>
                <wp:inline distT="0" distB="0" distL="0" distR="0" wp14:anchorId="74FD2866" wp14:editId="1192E182">
                  <wp:extent cx="579120" cy="404562"/>
                  <wp:effectExtent l="0" t="0" r="0" b="0"/>
                  <wp:docPr id="85825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25876" name="Picture 1"/>
                          <pic:cNvPicPr>
                            <a:picLocks noChangeAspect="1"/>
                          </pic:cNvPicPr>
                        </pic:nvPicPr>
                        <pic:blipFill>
                          <a:blip r:embed="rId10"/>
                          <a:stretch>
                            <a:fillRect/>
                          </a:stretch>
                        </pic:blipFill>
                        <pic:spPr>
                          <a:xfrm>
                            <a:off x="0" y="0"/>
                            <a:ext cx="580519" cy="405539"/>
                          </a:xfrm>
                          <a:prstGeom prst="rect">
                            <a:avLst/>
                          </a:prstGeom>
                        </pic:spPr>
                      </pic:pic>
                    </a:graphicData>
                  </a:graphic>
                </wp:inline>
              </w:drawing>
            </w:r>
          </w:p>
          <w:p w14:paraId="17847D8A" w14:textId="734295AE" w:rsidR="00007130" w:rsidRPr="00765738" w:rsidRDefault="00007130"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lt-LT"/>
              </w:rPr>
            </w:pPr>
          </w:p>
        </w:tc>
        <w:tc>
          <w:tcPr>
            <w:tcW w:w="261" w:type="pct"/>
          </w:tcPr>
          <w:p w14:paraId="50D0CE5B" w14:textId="0B790EB9" w:rsidR="00007130" w:rsidRPr="00765738" w:rsidRDefault="00007130"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0"/>
                <w:szCs w:val="20"/>
                <w:lang w:val="lt-LT"/>
              </w:rPr>
            </w:pPr>
            <w:r w:rsidRPr="00765738">
              <w:rPr>
                <w:rFonts w:cs="Times New Roman"/>
                <w:color w:val="000000" w:themeColor="text1"/>
                <w:sz w:val="20"/>
                <w:szCs w:val="20"/>
                <w:lang w:val="lt-LT"/>
              </w:rPr>
              <w:t>1</w:t>
            </w:r>
            <w:r w:rsidR="00AD49D7">
              <w:rPr>
                <w:rFonts w:cs="Times New Roman"/>
                <w:color w:val="000000" w:themeColor="text1"/>
                <w:sz w:val="20"/>
                <w:szCs w:val="20"/>
                <w:lang w:val="lt-LT"/>
              </w:rPr>
              <w:t>086</w:t>
            </w:r>
          </w:p>
        </w:tc>
        <w:tc>
          <w:tcPr>
            <w:tcW w:w="1586" w:type="pct"/>
          </w:tcPr>
          <w:p w14:paraId="6230E533" w14:textId="0FEC9349" w:rsidR="00007130" w:rsidRPr="001673E2" w:rsidRDefault="009B48C4" w:rsidP="009B48C4">
            <w:pPr>
              <w:pStyle w:val="Body2"/>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ind w:left="254" w:hanging="274"/>
              <w:rPr>
                <w:rFonts w:cs="Times New Roman"/>
                <w:color w:val="000000" w:themeColor="text1"/>
                <w:sz w:val="20"/>
                <w:szCs w:val="20"/>
                <w:lang w:val="lt-LT"/>
              </w:rPr>
            </w:pPr>
            <w:r w:rsidRPr="009B48C4">
              <w:rPr>
                <w:rFonts w:cs="Times New Roman"/>
                <w:color w:val="000000" w:themeColor="text1"/>
                <w:sz w:val="20"/>
                <w:szCs w:val="20"/>
                <w:lang w:val="lt-LT"/>
              </w:rPr>
              <w:t>Kėdė sertifikuota pagal EN 1729-2:2023 arba lygiaverčio standarto reikalavimus.</w:t>
            </w:r>
            <w:r>
              <w:rPr>
                <w:rFonts w:cs="Times New Roman"/>
                <w:color w:val="000000" w:themeColor="text1"/>
                <w:sz w:val="20"/>
                <w:szCs w:val="20"/>
                <w:lang w:val="lt-LT"/>
              </w:rPr>
              <w:t xml:space="preserve"> </w:t>
            </w:r>
            <w:r w:rsidR="00007130" w:rsidRPr="009B48C4">
              <w:rPr>
                <w:color w:val="000000" w:themeColor="text1"/>
                <w:sz w:val="20"/>
                <w:szCs w:val="20"/>
                <w:lang w:val="lt-LT"/>
              </w:rPr>
              <w:t>Pateikiamas nepriklausomos sertifikavimo įstaigos išduotas sertifikatas arba</w:t>
            </w:r>
            <w:r w:rsidR="00FB5B39">
              <w:rPr>
                <w:color w:val="000000" w:themeColor="text1"/>
                <w:sz w:val="20"/>
                <w:szCs w:val="20"/>
                <w:lang w:val="lt-LT"/>
              </w:rPr>
              <w:t xml:space="preserve"> </w:t>
            </w:r>
            <w:r w:rsidR="00007130" w:rsidRPr="009B48C4">
              <w:rPr>
                <w:color w:val="000000" w:themeColor="text1"/>
                <w:sz w:val="20"/>
                <w:szCs w:val="20"/>
                <w:lang w:val="lt-LT"/>
              </w:rPr>
              <w:t>akredituotos laboratorijos bandymų ataskaita.</w:t>
            </w:r>
          </w:p>
          <w:p w14:paraId="32AD7737" w14:textId="215D7682" w:rsidR="001673E2" w:rsidRPr="001673E2" w:rsidRDefault="001673E2" w:rsidP="001673E2">
            <w:pPr>
              <w:pStyle w:val="Body2"/>
              <w:numPr>
                <w:ilvl w:val="0"/>
                <w:numId w:val="3"/>
              </w:numPr>
              <w:ind w:left="254" w:hanging="274"/>
              <w:rPr>
                <w:rFonts w:cs="Times New Roman"/>
                <w:color w:val="000000" w:themeColor="text1"/>
                <w:sz w:val="20"/>
                <w:szCs w:val="20"/>
                <w:lang w:val="lt-LT"/>
              </w:rPr>
            </w:pPr>
            <w:r>
              <w:rPr>
                <w:rFonts w:cs="Times New Roman"/>
                <w:color w:val="000000" w:themeColor="text1"/>
                <w:sz w:val="20"/>
                <w:szCs w:val="20"/>
                <w:lang w:val="lt-LT"/>
              </w:rPr>
              <w:t>S</w:t>
            </w:r>
            <w:r w:rsidRPr="001673E2">
              <w:rPr>
                <w:rFonts w:cs="Times New Roman"/>
                <w:color w:val="000000" w:themeColor="text1"/>
                <w:sz w:val="20"/>
                <w:szCs w:val="20"/>
                <w:lang w:val="lt-LT"/>
              </w:rPr>
              <w:t>ėdynė ir atlošas pagaminti iš vientisos, išgaubtos plastikinės dalies.</w:t>
            </w:r>
          </w:p>
          <w:p w14:paraId="69A77624" w14:textId="34BDB378" w:rsidR="001673E2" w:rsidRPr="001673E2" w:rsidRDefault="001673E2" w:rsidP="001673E2">
            <w:pPr>
              <w:pStyle w:val="Body2"/>
              <w:numPr>
                <w:ilvl w:val="0"/>
                <w:numId w:val="3"/>
              </w:numPr>
              <w:ind w:left="254" w:hanging="274"/>
              <w:rPr>
                <w:rFonts w:cs="Times New Roman"/>
                <w:color w:val="000000" w:themeColor="text1"/>
                <w:sz w:val="20"/>
                <w:szCs w:val="20"/>
                <w:lang w:val="lt-LT"/>
              </w:rPr>
            </w:pPr>
            <w:r w:rsidRPr="001673E2">
              <w:rPr>
                <w:rFonts w:cs="Times New Roman"/>
                <w:color w:val="000000" w:themeColor="text1"/>
                <w:sz w:val="20"/>
                <w:szCs w:val="20"/>
                <w:lang w:val="lt-LT"/>
              </w:rPr>
              <w:t xml:space="preserve">Kėdės kojelės privalo turėti apsaugas saugančias grindų dangą nuo susibraižymo. </w:t>
            </w:r>
          </w:p>
          <w:p w14:paraId="2F64A561" w14:textId="3FA42E35" w:rsidR="001673E2" w:rsidRPr="001673E2" w:rsidRDefault="001673E2" w:rsidP="001673E2">
            <w:pPr>
              <w:pStyle w:val="Body2"/>
              <w:numPr>
                <w:ilvl w:val="0"/>
                <w:numId w:val="3"/>
              </w:numPr>
              <w:ind w:left="254" w:hanging="274"/>
              <w:rPr>
                <w:rFonts w:cs="Times New Roman"/>
                <w:color w:val="000000" w:themeColor="text1"/>
                <w:sz w:val="20"/>
                <w:szCs w:val="20"/>
                <w:lang w:val="lt-LT"/>
              </w:rPr>
            </w:pPr>
            <w:r w:rsidRPr="001673E2">
              <w:rPr>
                <w:rFonts w:cs="Times New Roman"/>
                <w:color w:val="000000" w:themeColor="text1"/>
                <w:sz w:val="20"/>
                <w:szCs w:val="20"/>
                <w:lang w:val="lt-LT"/>
              </w:rPr>
              <w:t xml:space="preserve">Sėdimosios dalies (sėdynės ir atlošo) spalvų pasirinkimas iš ne mažiau kaip 3 spalvų paletės. </w:t>
            </w:r>
          </w:p>
          <w:p w14:paraId="1FE8879A" w14:textId="349438F0" w:rsidR="00175DDB" w:rsidRPr="00DC1C09" w:rsidRDefault="00DC1C09" w:rsidP="00DC1C09">
            <w:pPr>
              <w:pStyle w:val="Body2"/>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ind w:left="254" w:hanging="274"/>
              <w:rPr>
                <w:rFonts w:cs="Times New Roman"/>
                <w:color w:val="000000" w:themeColor="text1"/>
                <w:sz w:val="20"/>
                <w:szCs w:val="20"/>
                <w:lang w:val="lt-LT"/>
              </w:rPr>
            </w:pPr>
            <w:r w:rsidRPr="00DC1C09">
              <w:rPr>
                <w:rFonts w:cs="Times New Roman"/>
                <w:color w:val="000000" w:themeColor="text1"/>
                <w:sz w:val="20"/>
                <w:szCs w:val="20"/>
                <w:lang w:val="lt-LT"/>
              </w:rPr>
              <w:t>Kėdė</w:t>
            </w:r>
            <w:r w:rsidR="00596B5F">
              <w:rPr>
                <w:rFonts w:cs="Times New Roman"/>
                <w:color w:val="000000" w:themeColor="text1"/>
                <w:sz w:val="20"/>
                <w:szCs w:val="20"/>
                <w:lang w:val="lt-LT"/>
              </w:rPr>
              <w:t xml:space="preserve">s sėdynės aukštis – 460 mm (+/- </w:t>
            </w:r>
            <w:r w:rsidR="001F3AF2">
              <w:rPr>
                <w:rFonts w:cs="Times New Roman"/>
                <w:color w:val="000000" w:themeColor="text1"/>
                <w:sz w:val="20"/>
                <w:szCs w:val="20"/>
                <w:lang w:val="lt-LT"/>
              </w:rPr>
              <w:t>2</w:t>
            </w:r>
            <w:r w:rsidR="00596B5F">
              <w:rPr>
                <w:rFonts w:cs="Times New Roman"/>
                <w:color w:val="000000" w:themeColor="text1"/>
                <w:sz w:val="20"/>
                <w:szCs w:val="20"/>
                <w:lang w:val="lt-LT"/>
              </w:rPr>
              <w:t>0 mm).</w:t>
            </w:r>
          </w:p>
          <w:p w14:paraId="75894DE0" w14:textId="5386CA4B" w:rsidR="00007130" w:rsidRPr="00765738" w:rsidRDefault="00007130" w:rsidP="007568D5">
            <w:pPr>
              <w:numPr>
                <w:ilvl w:val="0"/>
                <w:numId w:val="3"/>
              </w:numPr>
              <w:ind w:left="252" w:hanging="270"/>
              <w:contextualSpacing/>
              <w:jc w:val="both"/>
              <w:rPr>
                <w:color w:val="000000" w:themeColor="text1"/>
                <w:bdr w:val="nil"/>
                <w:lang w:val="lt-LT" w:eastAsia="lt-LT"/>
              </w:rPr>
            </w:pPr>
            <w:r w:rsidRPr="00765738">
              <w:rPr>
                <w:color w:val="000000" w:themeColor="text1"/>
                <w:lang w:val="lt-LT"/>
              </w:rPr>
              <w:t xml:space="preserve">Gaminiui suteikiama ne trumpesnė kaip </w:t>
            </w:r>
            <w:r w:rsidR="00A65710">
              <w:rPr>
                <w:color w:val="000000" w:themeColor="text1"/>
                <w:lang w:val="lt-LT"/>
              </w:rPr>
              <w:t>24</w:t>
            </w:r>
            <w:r w:rsidRPr="00765738">
              <w:rPr>
                <w:color w:val="000000" w:themeColor="text1"/>
                <w:lang w:val="lt-LT"/>
              </w:rPr>
              <w:t xml:space="preserve"> mėn. gamintojo garantija.</w:t>
            </w:r>
          </w:p>
        </w:tc>
        <w:tc>
          <w:tcPr>
            <w:tcW w:w="627" w:type="pct"/>
          </w:tcPr>
          <w:p w14:paraId="346DEEB3" w14:textId="77777777" w:rsidR="00007130" w:rsidRPr="00765738" w:rsidRDefault="00007130" w:rsidP="00957C00">
            <w:pPr>
              <w:pStyle w:val="Body2"/>
              <w:ind w:left="254"/>
              <w:rPr>
                <w:rFonts w:cs="Times New Roman"/>
                <w:color w:val="000000" w:themeColor="text1"/>
                <w:sz w:val="20"/>
                <w:szCs w:val="20"/>
                <w:lang w:val="lt-LT"/>
              </w:rPr>
            </w:pPr>
          </w:p>
        </w:tc>
        <w:tc>
          <w:tcPr>
            <w:tcW w:w="627" w:type="pct"/>
          </w:tcPr>
          <w:p w14:paraId="2B61DA74" w14:textId="77777777" w:rsidR="00FE5EFC" w:rsidRDefault="00FE5EFC" w:rsidP="00FE5EFC">
            <w:pPr>
              <w:pStyle w:val="Body2"/>
              <w:ind w:hanging="12"/>
              <w:jc w:val="center"/>
              <w:rPr>
                <w:rFonts w:cs="Times New Roman"/>
                <w:b/>
                <w:bCs/>
                <w:i/>
                <w:iCs/>
                <w:color w:val="000000" w:themeColor="text1"/>
                <w:sz w:val="20"/>
                <w:szCs w:val="20"/>
                <w:lang w:val="lt-LT"/>
              </w:rPr>
            </w:pPr>
          </w:p>
          <w:p w14:paraId="625A8E86" w14:textId="77777777" w:rsidR="00FE5EFC" w:rsidRDefault="00FE5EFC" w:rsidP="00FE5EFC">
            <w:pPr>
              <w:pStyle w:val="Body2"/>
              <w:ind w:hanging="12"/>
              <w:jc w:val="center"/>
              <w:rPr>
                <w:rFonts w:cs="Times New Roman"/>
                <w:b/>
                <w:bCs/>
                <w:i/>
                <w:iCs/>
                <w:color w:val="000000" w:themeColor="text1"/>
                <w:sz w:val="20"/>
                <w:szCs w:val="20"/>
                <w:lang w:val="lt-LT"/>
              </w:rPr>
            </w:pPr>
          </w:p>
          <w:p w14:paraId="3C5DA8EA" w14:textId="64065793" w:rsidR="00FE5EFC" w:rsidRPr="00FE5EFC" w:rsidRDefault="00FE5EFC" w:rsidP="00FE5EFC">
            <w:pPr>
              <w:pStyle w:val="Body2"/>
              <w:ind w:hanging="12"/>
              <w:jc w:val="center"/>
              <w:rPr>
                <w:rFonts w:cs="Times New Roman"/>
                <w:b/>
                <w:bCs/>
                <w:i/>
                <w:iCs/>
                <w:color w:val="000000" w:themeColor="text1"/>
                <w:sz w:val="20"/>
                <w:szCs w:val="20"/>
                <w:lang w:val="lt-LT"/>
              </w:rPr>
            </w:pPr>
            <w:r w:rsidRPr="00FE5EFC">
              <w:rPr>
                <w:rFonts w:cs="Times New Roman"/>
                <w:b/>
                <w:bCs/>
                <w:i/>
                <w:iCs/>
                <w:color w:val="000000" w:themeColor="text1"/>
                <w:sz w:val="20"/>
                <w:szCs w:val="20"/>
                <w:lang w:val="lt-LT"/>
              </w:rPr>
              <w:t>Nurodykite gamintojo ir modelio pavadinimą</w:t>
            </w:r>
          </w:p>
          <w:p w14:paraId="2F7D7BE5" w14:textId="7025E5F5" w:rsidR="00007130" w:rsidRPr="00765738" w:rsidRDefault="00FE5EFC" w:rsidP="00FE5EFC">
            <w:pPr>
              <w:pStyle w:val="Body2"/>
              <w:pBdr>
                <w:top w:val="none" w:sz="0" w:space="0" w:color="auto"/>
                <w:left w:val="none" w:sz="0" w:space="0" w:color="auto"/>
                <w:bottom w:val="none" w:sz="0" w:space="0" w:color="auto"/>
                <w:right w:val="none" w:sz="0" w:space="0" w:color="auto"/>
                <w:between w:val="none" w:sz="0" w:space="0" w:color="auto"/>
                <w:bar w:val="none" w:sz="0" w:color="auto"/>
              </w:pBdr>
              <w:ind w:hanging="12"/>
              <w:jc w:val="center"/>
              <w:rPr>
                <w:rFonts w:cs="Times New Roman"/>
                <w:color w:val="000000" w:themeColor="text1"/>
                <w:sz w:val="20"/>
                <w:szCs w:val="20"/>
                <w:lang w:val="lt-LT"/>
              </w:rPr>
            </w:pPr>
            <w:r w:rsidRPr="00FE5EFC">
              <w:rPr>
                <w:rFonts w:cs="Times New Roman"/>
                <w:i/>
                <w:iCs/>
                <w:color w:val="000000" w:themeColor="text1"/>
                <w:sz w:val="20"/>
                <w:szCs w:val="20"/>
                <w:lang w:val="lt-LT"/>
              </w:rPr>
              <w:t>(rašyti „Atitinka“ arba „Taip“ neleidžiama)</w:t>
            </w:r>
          </w:p>
        </w:tc>
        <w:tc>
          <w:tcPr>
            <w:tcW w:w="966" w:type="pct"/>
          </w:tcPr>
          <w:p w14:paraId="7C06BADB" w14:textId="77777777" w:rsidR="00007130" w:rsidRPr="00765738" w:rsidRDefault="00007130"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sz w:val="20"/>
                <w:szCs w:val="20"/>
                <w:lang w:val="lt-LT"/>
              </w:rPr>
            </w:pPr>
          </w:p>
        </w:tc>
      </w:tr>
    </w:tbl>
    <w:p w14:paraId="7A20FDA8" w14:textId="77777777" w:rsidR="00A81EFE" w:rsidRDefault="00A81EFE" w:rsidP="00D666CB">
      <w:pPr>
        <w:ind w:left="283" w:firstLine="568"/>
        <w:rPr>
          <w:rFonts w:ascii="Times New Roman" w:eastAsia="Times New Roman" w:hAnsi="Times New Roman" w:cs="Times New Roman"/>
          <w:color w:val="000000"/>
          <w:lang w:val="lt-LT" w:eastAsia="lt-LT"/>
        </w:rPr>
      </w:pPr>
    </w:p>
    <w:p w14:paraId="318E618E" w14:textId="195C39E5" w:rsidR="003569A0" w:rsidRPr="003569A0" w:rsidRDefault="001756D7" w:rsidP="003569A0">
      <w:pPr>
        <w:ind w:left="283" w:firstLine="568"/>
        <w:rPr>
          <w:rFonts w:ascii="Times New Roman" w:hAnsi="Times New Roman" w:cs="Times New Roman"/>
          <w:color w:val="000000"/>
          <w:lang w:val="lt-LT" w:eastAsia="lt-LT"/>
        </w:rPr>
      </w:pPr>
      <w:r w:rsidRPr="001756D7">
        <w:rPr>
          <w:rFonts w:ascii="Times New Roman" w:hAnsi="Times New Roman" w:cs="Times New Roman"/>
          <w:color w:val="000000"/>
          <w:lang w:val="lt-LT" w:eastAsia="lt-LT"/>
        </w:rPr>
        <w:lastRenderedPageBreak/>
        <w:t>Aplinkos apsaugos kriterijai:</w:t>
      </w:r>
      <w:r w:rsidR="003569A0" w:rsidRPr="003569A0">
        <w:rPr>
          <w:rFonts w:ascii="Times New Roman" w:hAnsi="Times New Roman" w:cs="Times New Roman"/>
          <w:color w:val="000000"/>
          <w:lang w:val="lt-LT" w:eastAsia="lt-LT"/>
        </w:rPr>
        <w:t xml:space="preserve">: tiekėjas teikdamas pasiūlymą įsipareigoja laikytis visų kriterijų, įskaitant ir reikalavimo dėl antrinės pakuotės (jeigu ji bus naudojama), tokiu atveju papildomi dokumentai pasiūlymų vertinimo etape nėra teikiami. </w:t>
      </w:r>
    </w:p>
    <w:p w14:paraId="3E415EA6" w14:textId="77777777" w:rsidR="003569A0" w:rsidRPr="003569A0" w:rsidRDefault="003569A0" w:rsidP="003569A0">
      <w:pPr>
        <w:numPr>
          <w:ilvl w:val="0"/>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ne mažiau kaip 80 proc. balduose naudojamos medienos, medienos medžiagų ir gaminių turi būti iš miškų, sertifikuotų naudojant FSC ar PEFC miškų sertifikavimo sistemas arba lygiavertes sertifikavimo sistemas; įrodantys dokumentai:</w:t>
      </w:r>
    </w:p>
    <w:p w14:paraId="6CD8ECE1"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galiojantis FSC®100 arba PEFC, arba kitas darnaus miškų ūkio standarto sertifikatas, arba</w:t>
      </w:r>
    </w:p>
    <w:p w14:paraId="59046720"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pripažintos įstaigos arba paskelbtosios (notifikuotos) institucijos atlikto bandymo protokolas, tyrimų ataskaita ar pažyma, arba</w:t>
      </w:r>
    </w:p>
    <w:p w14:paraId="18F52C57"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kiti lygiaverčiai įrodymai.</w:t>
      </w:r>
    </w:p>
    <w:p w14:paraId="10B2C6CC" w14:textId="77777777" w:rsidR="003569A0" w:rsidRPr="003569A0" w:rsidRDefault="003569A0" w:rsidP="003569A0">
      <w:pPr>
        <w:numPr>
          <w:ilvl w:val="0"/>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visos plastikinės dalys, kurių masė ≥ 50 g, turi būti paženklintos kaip tinkamos perdirbti pagal LST EN ISO 11469 „Bendrasis plastikinių gaminių identifikavimas ir ženklinimas“ (toliau – LST EN ISO 11469) ar lygiavertį standartą; įrodantys dokumentai:</w:t>
      </w:r>
    </w:p>
    <w:p w14:paraId="358134A3"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ekologinis ženklas Nordic Swan arba kitas I tipo ekologinis ženklas (sertifikatas), kuris įrodytų, kad visos plastikinės dalys, kurių masė ≥ 50 g, yra paženklintos kaip tinkamos perdirbti pagal nurodytą standartą, arba</w:t>
      </w:r>
    </w:p>
    <w:p w14:paraId="38CD115B"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pripažintos įstaigos arba paskelbtosios (notifikuotos) institucijos atlikto bandymo protokolas, tyrimų ataskaita ar pažyma, arba</w:t>
      </w:r>
    </w:p>
    <w:p w14:paraId="2E1F961E"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gamintojo techniniai dokumentai, arba</w:t>
      </w:r>
    </w:p>
    <w:p w14:paraId="0CCED05F"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saugos duomenų lapas, arba</w:t>
      </w:r>
    </w:p>
    <w:p w14:paraId="751C8D52"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kiti lygiaverčiai įrodymai.</w:t>
      </w:r>
    </w:p>
    <w:p w14:paraId="6366878F" w14:textId="77777777" w:rsidR="003569A0" w:rsidRPr="003569A0" w:rsidRDefault="003569A0" w:rsidP="003569A0">
      <w:pPr>
        <w:numPr>
          <w:ilvl w:val="0"/>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jei baldo kamšalo sudėtyje naudojamos sintetinės poliesterio medžiagos, jų sudėtyje turi būti dalis perdirbtų medžiagų;</w:t>
      </w:r>
    </w:p>
    <w:p w14:paraId="6F6B740E"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7D6098">
        <w:rPr>
          <w:rFonts w:ascii="Times New Roman" w:hAnsi="Times New Roman" w:cs="Times New Roman"/>
          <w:color w:val="000000"/>
          <w:lang w:val="lt-LT" w:eastAsia="lt-LT"/>
        </w:rPr>
        <w:t>gamintojo techniniai dokumentai, kuriuose būtų nurodyta perdirbtų medžiagų dalis, arba</w:t>
      </w:r>
    </w:p>
    <w:p w14:paraId="085027A3"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7D6098">
        <w:rPr>
          <w:rFonts w:ascii="Times New Roman" w:hAnsi="Times New Roman" w:cs="Times New Roman"/>
          <w:color w:val="000000"/>
          <w:lang w:val="lt-LT" w:eastAsia="lt-LT"/>
        </w:rPr>
        <w:t xml:space="preserve">pripažintos įstaigos arba paskelbtosios (notifikuotos) institucijos atlikto bandymo protokolas, tyrimų ataskaita ar pažyma, arba </w:t>
      </w:r>
    </w:p>
    <w:p w14:paraId="060D5715"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7D6098">
        <w:rPr>
          <w:rFonts w:ascii="Times New Roman" w:hAnsi="Times New Roman" w:cs="Times New Roman"/>
          <w:color w:val="000000"/>
          <w:lang w:val="lt-LT" w:eastAsia="lt-LT"/>
        </w:rPr>
        <w:t xml:space="preserve">gamintojo ar tiekėjo deklaracija (pateikiant objektyvius įrodymus), arba </w:t>
      </w:r>
    </w:p>
    <w:p w14:paraId="48D28351"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eastAsia="lt-LT"/>
        </w:rPr>
        <w:t>kiti lygiaverčiai įrodymai.</w:t>
      </w:r>
    </w:p>
    <w:p w14:paraId="4F04873A" w14:textId="77777777" w:rsidR="003569A0" w:rsidRPr="003569A0" w:rsidRDefault="003569A0" w:rsidP="003569A0">
      <w:pPr>
        <w:numPr>
          <w:ilvl w:val="0"/>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paviršiams dengti naudojamuose produktuose:</w:t>
      </w:r>
    </w:p>
    <w:p w14:paraId="7BC49CE0" w14:textId="77777777" w:rsidR="003569A0" w:rsidRPr="003569A0" w:rsidRDefault="003569A0" w:rsidP="003569A0">
      <w:pPr>
        <w:ind w:firstLine="851"/>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0C3314A" w14:textId="77777777" w:rsidR="003569A0" w:rsidRPr="003569A0" w:rsidRDefault="003569A0" w:rsidP="003569A0">
      <w:pPr>
        <w:ind w:firstLine="851"/>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4.2. neturi būti daugiau kaip 5 proc. masės lakiųjų organinių junginių (LOJ);</w:t>
      </w:r>
    </w:p>
    <w:p w14:paraId="1B46BDB9" w14:textId="77777777" w:rsidR="003569A0" w:rsidRPr="003569A0" w:rsidRDefault="003569A0" w:rsidP="003569A0">
      <w:pPr>
        <w:ind w:firstLine="851"/>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4.3. neturi būti chromo (VI) junginių;</w:t>
      </w:r>
    </w:p>
    <w:p w14:paraId="03E933E2" w14:textId="77777777" w:rsidR="003569A0" w:rsidRPr="003569A0" w:rsidRDefault="003569A0" w:rsidP="003569A0">
      <w:pPr>
        <w:ind w:firstLine="851"/>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4.4. formaldehido išmetamieji teršalai neturi viršyti 0,05 ppm.</w:t>
      </w:r>
    </w:p>
    <w:p w14:paraId="24781821" w14:textId="77777777" w:rsidR="003569A0" w:rsidRPr="003569A0" w:rsidRDefault="003569A0" w:rsidP="003569A0">
      <w:pPr>
        <w:ind w:firstLine="851"/>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Įrodantys dokumentai:</w:t>
      </w:r>
    </w:p>
    <w:p w14:paraId="2E427837"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Ekologinis ženklas European Ecolabel arba Nordic Swan, arba kitas I tipo ekologinis ženklas (sertifikatas), kurisįrodytų, kad paviršiams naudojamuose produktuose nėra/neviršija reikalavime nurodytų medžiagų, arba</w:t>
      </w:r>
    </w:p>
    <w:p w14:paraId="470AA1BC"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pripažintos įstaigos arba paskelbtosios (notifikuotos) institucijos bandymų protokolas, tyrimų ataskaita ar pažyma arba</w:t>
      </w:r>
    </w:p>
    <w:p w14:paraId="7DEB7545"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gamintojo techniniai dokumentai, arba</w:t>
      </w:r>
    </w:p>
    <w:p w14:paraId="4CFEDF50"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augos duomenų lapas, arba</w:t>
      </w:r>
    </w:p>
    <w:p w14:paraId="68C9D4A8"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lastRenderedPageBreak/>
        <w:t>gamintojo ar tiekėjo deklaracija (pateikiant objektyvius įrodymus), arba</w:t>
      </w:r>
    </w:p>
    <w:p w14:paraId="21F00DA5"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kiti lygiaverčiai įrodymai.</w:t>
      </w:r>
    </w:p>
    <w:p w14:paraId="114839E7" w14:textId="77777777" w:rsidR="003569A0" w:rsidRPr="003569A0" w:rsidRDefault="003569A0" w:rsidP="003569A0">
      <w:pPr>
        <w:numPr>
          <w:ilvl w:val="0"/>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 Sutarties vykdymo metu, jeigu prekės yra tiekiamos arba perduodamos antrinėje pakuotėje, tokiu atveju tiekėjas patiekdamas prekes pirkimo vykdytojui, turi pateikti prekės (-ių) antrinės (-ių) pakuotės (-čių) tinkamumą perdirbti (perdirbamumą) ir (ar) vienalytiškumą (homogeniškumą) patvirtinančius dokumentus:</w:t>
      </w:r>
    </w:p>
    <w:p w14:paraId="1AE206EC"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7D6098">
        <w:rPr>
          <w:rFonts w:ascii="Times New Roman" w:hAnsi="Times New Roman" w:cs="Times New Roman"/>
          <w:color w:val="000000"/>
          <w:lang w:val="lt-LT" w:eastAsia="lt-LT"/>
        </w:rPr>
        <w:t>tiekėjo ar gamintojo dokumentai, įrodantys, kad pakuotės yra homogeniškos ir (ar) atitinkamai paženklintos, arba</w:t>
      </w:r>
    </w:p>
    <w:p w14:paraId="6C304175"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7D6098">
        <w:rPr>
          <w:rFonts w:ascii="Times New Roman" w:hAnsi="Times New Roman" w:cs="Times New Roman"/>
          <w:color w:val="000000"/>
          <w:lang w:val="lt-LT" w:eastAsia="lt-LT"/>
        </w:rPr>
        <w:t xml:space="preserve">dokumentai, pagrindžiantys atitiktį standartams (pavyzdžiui, sertifikatas, akredituotos laboratorijos tyrimų išduota, tinkamumą perdirbti patvirtinanti ataskaita / pažyma), pagal kuriuos įrodoma, kad pakuočių medžiagos perdirbamos pvz., standartas LST EN 13432 „Pakuotė. </w:t>
      </w:r>
      <w:r w:rsidRPr="003569A0">
        <w:rPr>
          <w:rFonts w:ascii="Times New Roman" w:hAnsi="Times New Roman" w:cs="Times New Roman"/>
          <w:color w:val="000000"/>
          <w:lang w:eastAsia="lt-LT"/>
        </w:rPr>
        <w:t xml:space="preserve">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w:t>
      </w:r>
    </w:p>
    <w:p w14:paraId="124C086A"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7D6098">
        <w:rPr>
          <w:rFonts w:ascii="Times New Roman" w:hAnsi="Times New Roman" w:cs="Times New Roman"/>
          <w:color w:val="000000"/>
          <w:lang w:val="lt-LT" w:eastAsia="lt-LT"/>
        </w:rPr>
        <w:t>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w:t>
      </w:r>
    </w:p>
    <w:p w14:paraId="21BBA52B" w14:textId="7673953D" w:rsidR="00D666CB" w:rsidRPr="00476082" w:rsidRDefault="003569A0" w:rsidP="00476082">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eastAsia="lt-LT"/>
        </w:rPr>
        <w:t>kiti lygiaverčiai įrodymai.</w:t>
      </w:r>
    </w:p>
    <w:p w14:paraId="6061EB3C" w14:textId="380BA08B" w:rsidR="00D666CB" w:rsidRPr="00473FF5" w:rsidRDefault="00D666CB" w:rsidP="00D148CB">
      <w:pPr>
        <w:rPr>
          <w:rFonts w:ascii="Times New Roman" w:hAnsi="Times New Roman" w:cs="Times New Roman"/>
          <w:noProof/>
          <w:color w:val="000000" w:themeColor="text1"/>
          <w:sz w:val="20"/>
          <w:szCs w:val="20"/>
          <w:lang w:val="lv-LV"/>
        </w:rPr>
      </w:pPr>
    </w:p>
    <w:p w14:paraId="7853B2E7" w14:textId="65373CE6" w:rsidR="00D26078" w:rsidRPr="00473FF5" w:rsidRDefault="00D26078" w:rsidP="000A1B15">
      <w:pPr>
        <w:rPr>
          <w:rFonts w:ascii="Times New Roman" w:hAnsi="Times New Roman" w:cs="Times New Roman"/>
          <w:noProof/>
          <w:color w:val="000000" w:themeColor="text1"/>
          <w:sz w:val="20"/>
          <w:szCs w:val="20"/>
          <w:lang w:val="lv-LV"/>
        </w:rPr>
      </w:pPr>
    </w:p>
    <w:sectPr w:rsidR="00D26078" w:rsidRPr="00473FF5" w:rsidSect="00D5659F">
      <w:pgSz w:w="16840" w:h="11900" w:orient="landscape"/>
      <w:pgMar w:top="1418"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256"/>
    <w:multiLevelType w:val="hybridMultilevel"/>
    <w:tmpl w:val="1FC0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F4441"/>
    <w:multiLevelType w:val="hybridMultilevel"/>
    <w:tmpl w:val="790C1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11B3C"/>
    <w:multiLevelType w:val="hybridMultilevel"/>
    <w:tmpl w:val="E8B28590"/>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392C99"/>
    <w:multiLevelType w:val="hybridMultilevel"/>
    <w:tmpl w:val="FFFFFFFF"/>
    <w:lvl w:ilvl="0" w:tplc="2E1C3960">
      <w:start w:val="1"/>
      <w:numFmt w:val="decimal"/>
      <w:lvlText w:val="%1."/>
      <w:lvlJc w:val="left"/>
      <w:pPr>
        <w:ind w:left="1211" w:hanging="360"/>
      </w:pPr>
      <w:rPr>
        <w:rFonts w:cs="Times New Roman" w:hint="default"/>
      </w:rPr>
    </w:lvl>
    <w:lvl w:ilvl="1" w:tplc="6B284252">
      <w:numFmt w:val="bullet"/>
      <w:lvlText w:val="-"/>
      <w:lvlJc w:val="left"/>
      <w:pPr>
        <w:ind w:left="1931" w:hanging="360"/>
      </w:pPr>
      <w:rPr>
        <w:rFonts w:ascii="Times New Roman" w:eastAsia="Times New Roman" w:hAnsi="Times New Roman" w:hint="default"/>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4" w15:restartNumberingAfterBreak="0">
    <w:nsid w:val="1E6A7FB6"/>
    <w:multiLevelType w:val="multilevel"/>
    <w:tmpl w:val="6F126FB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826424"/>
    <w:multiLevelType w:val="hybridMultilevel"/>
    <w:tmpl w:val="FA7C1B5A"/>
    <w:lvl w:ilvl="0" w:tplc="B56EDA82">
      <w:start w:val="1"/>
      <w:numFmt w:val="decimal"/>
      <w:lvlText w:val="%1."/>
      <w:lvlJc w:val="left"/>
      <w:pPr>
        <w:ind w:left="720" w:hanging="360"/>
      </w:pPr>
    </w:lvl>
    <w:lvl w:ilvl="1" w:tplc="646AB3F2">
      <w:start w:val="1"/>
      <w:numFmt w:val="decimal"/>
      <w:lvlText w:val="%2."/>
      <w:lvlJc w:val="left"/>
      <w:pPr>
        <w:ind w:left="720" w:hanging="360"/>
      </w:pPr>
    </w:lvl>
    <w:lvl w:ilvl="2" w:tplc="FEA6CD6E">
      <w:start w:val="1"/>
      <w:numFmt w:val="decimal"/>
      <w:lvlText w:val="%3."/>
      <w:lvlJc w:val="left"/>
      <w:pPr>
        <w:ind w:left="720" w:hanging="360"/>
      </w:pPr>
    </w:lvl>
    <w:lvl w:ilvl="3" w:tplc="AE988DD8">
      <w:start w:val="1"/>
      <w:numFmt w:val="decimal"/>
      <w:lvlText w:val="%4."/>
      <w:lvlJc w:val="left"/>
      <w:pPr>
        <w:ind w:left="720" w:hanging="360"/>
      </w:pPr>
    </w:lvl>
    <w:lvl w:ilvl="4" w:tplc="04C0B408">
      <w:start w:val="1"/>
      <w:numFmt w:val="decimal"/>
      <w:lvlText w:val="%5."/>
      <w:lvlJc w:val="left"/>
      <w:pPr>
        <w:ind w:left="720" w:hanging="360"/>
      </w:pPr>
    </w:lvl>
    <w:lvl w:ilvl="5" w:tplc="23409A56">
      <w:start w:val="1"/>
      <w:numFmt w:val="decimal"/>
      <w:lvlText w:val="%6."/>
      <w:lvlJc w:val="left"/>
      <w:pPr>
        <w:ind w:left="720" w:hanging="360"/>
      </w:pPr>
    </w:lvl>
    <w:lvl w:ilvl="6" w:tplc="7A42B26A">
      <w:start w:val="1"/>
      <w:numFmt w:val="decimal"/>
      <w:lvlText w:val="%7."/>
      <w:lvlJc w:val="left"/>
      <w:pPr>
        <w:ind w:left="720" w:hanging="360"/>
      </w:pPr>
    </w:lvl>
    <w:lvl w:ilvl="7" w:tplc="31DAD2B2">
      <w:start w:val="1"/>
      <w:numFmt w:val="decimal"/>
      <w:lvlText w:val="%8."/>
      <w:lvlJc w:val="left"/>
      <w:pPr>
        <w:ind w:left="720" w:hanging="360"/>
      </w:pPr>
    </w:lvl>
    <w:lvl w:ilvl="8" w:tplc="9DAAFEBC">
      <w:start w:val="1"/>
      <w:numFmt w:val="decimal"/>
      <w:lvlText w:val="%9."/>
      <w:lvlJc w:val="left"/>
      <w:pPr>
        <w:ind w:left="720" w:hanging="360"/>
      </w:pPr>
    </w:lvl>
  </w:abstractNum>
  <w:abstractNum w:abstractNumId="6" w15:restartNumberingAfterBreak="0">
    <w:nsid w:val="1FF065C7"/>
    <w:multiLevelType w:val="hybridMultilevel"/>
    <w:tmpl w:val="543045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656481"/>
    <w:multiLevelType w:val="hybridMultilevel"/>
    <w:tmpl w:val="7E40D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E64B43"/>
    <w:multiLevelType w:val="hybridMultilevel"/>
    <w:tmpl w:val="3048AD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597A92"/>
    <w:multiLevelType w:val="hybridMultilevel"/>
    <w:tmpl w:val="1B4CABD6"/>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DF1F02"/>
    <w:multiLevelType w:val="hybridMultilevel"/>
    <w:tmpl w:val="7D780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4C323F"/>
    <w:multiLevelType w:val="hybridMultilevel"/>
    <w:tmpl w:val="D074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DA7FC3"/>
    <w:multiLevelType w:val="hybridMultilevel"/>
    <w:tmpl w:val="7A8A8E16"/>
    <w:lvl w:ilvl="0" w:tplc="485E9780">
      <w:start w:val="1"/>
      <w:numFmt w:val="decimal"/>
      <w:lvlText w:val="%1."/>
      <w:lvlJc w:val="left"/>
      <w:pPr>
        <w:ind w:left="720" w:hanging="360"/>
      </w:pPr>
    </w:lvl>
    <w:lvl w:ilvl="1" w:tplc="A1025E3E">
      <w:start w:val="1"/>
      <w:numFmt w:val="decimal"/>
      <w:lvlText w:val="%2."/>
      <w:lvlJc w:val="left"/>
      <w:pPr>
        <w:ind w:left="720" w:hanging="360"/>
      </w:pPr>
    </w:lvl>
    <w:lvl w:ilvl="2" w:tplc="EBFE23E0">
      <w:start w:val="1"/>
      <w:numFmt w:val="decimal"/>
      <w:lvlText w:val="%3."/>
      <w:lvlJc w:val="left"/>
      <w:pPr>
        <w:ind w:left="720" w:hanging="360"/>
      </w:pPr>
    </w:lvl>
    <w:lvl w:ilvl="3" w:tplc="A71C7D5C">
      <w:start w:val="1"/>
      <w:numFmt w:val="decimal"/>
      <w:lvlText w:val="%4."/>
      <w:lvlJc w:val="left"/>
      <w:pPr>
        <w:ind w:left="720" w:hanging="360"/>
      </w:pPr>
    </w:lvl>
    <w:lvl w:ilvl="4" w:tplc="A7CA750E">
      <w:start w:val="1"/>
      <w:numFmt w:val="decimal"/>
      <w:lvlText w:val="%5."/>
      <w:lvlJc w:val="left"/>
      <w:pPr>
        <w:ind w:left="720" w:hanging="360"/>
      </w:pPr>
    </w:lvl>
    <w:lvl w:ilvl="5" w:tplc="1BC6D3BE">
      <w:start w:val="1"/>
      <w:numFmt w:val="decimal"/>
      <w:lvlText w:val="%6."/>
      <w:lvlJc w:val="left"/>
      <w:pPr>
        <w:ind w:left="720" w:hanging="360"/>
      </w:pPr>
    </w:lvl>
    <w:lvl w:ilvl="6" w:tplc="E24C25D0">
      <w:start w:val="1"/>
      <w:numFmt w:val="decimal"/>
      <w:lvlText w:val="%7."/>
      <w:lvlJc w:val="left"/>
      <w:pPr>
        <w:ind w:left="720" w:hanging="360"/>
      </w:pPr>
    </w:lvl>
    <w:lvl w:ilvl="7" w:tplc="1E7820FA">
      <w:start w:val="1"/>
      <w:numFmt w:val="decimal"/>
      <w:lvlText w:val="%8."/>
      <w:lvlJc w:val="left"/>
      <w:pPr>
        <w:ind w:left="720" w:hanging="360"/>
      </w:pPr>
    </w:lvl>
    <w:lvl w:ilvl="8" w:tplc="78C241F2">
      <w:start w:val="1"/>
      <w:numFmt w:val="decimal"/>
      <w:lvlText w:val="%9."/>
      <w:lvlJc w:val="left"/>
      <w:pPr>
        <w:ind w:left="720" w:hanging="360"/>
      </w:pPr>
    </w:lvl>
  </w:abstractNum>
  <w:abstractNum w:abstractNumId="13" w15:restartNumberingAfterBreak="0">
    <w:nsid w:val="40D85CCE"/>
    <w:multiLevelType w:val="hybridMultilevel"/>
    <w:tmpl w:val="D2E074FC"/>
    <w:lvl w:ilvl="0" w:tplc="7FBCE3BE">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AB7C4E"/>
    <w:multiLevelType w:val="hybridMultilevel"/>
    <w:tmpl w:val="83A82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2823DC"/>
    <w:multiLevelType w:val="hybridMultilevel"/>
    <w:tmpl w:val="D4543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0DE4E58"/>
    <w:multiLevelType w:val="hybridMultilevel"/>
    <w:tmpl w:val="A1FC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9963582">
    <w:abstractNumId w:val="6"/>
  </w:num>
  <w:num w:numId="2" w16cid:durableId="852304316">
    <w:abstractNumId w:val="16"/>
  </w:num>
  <w:num w:numId="3" w16cid:durableId="924654074">
    <w:abstractNumId w:val="11"/>
  </w:num>
  <w:num w:numId="4" w16cid:durableId="993337377">
    <w:abstractNumId w:val="14"/>
  </w:num>
  <w:num w:numId="5" w16cid:durableId="936211431">
    <w:abstractNumId w:val="7"/>
  </w:num>
  <w:num w:numId="6" w16cid:durableId="1785348047">
    <w:abstractNumId w:val="0"/>
  </w:num>
  <w:num w:numId="7" w16cid:durableId="1533302457">
    <w:abstractNumId w:val="10"/>
  </w:num>
  <w:num w:numId="8" w16cid:durableId="827408034">
    <w:abstractNumId w:val="1"/>
  </w:num>
  <w:num w:numId="9" w16cid:durableId="678626074">
    <w:abstractNumId w:val="4"/>
  </w:num>
  <w:num w:numId="10" w16cid:durableId="1771243056">
    <w:abstractNumId w:val="8"/>
  </w:num>
  <w:num w:numId="11" w16cid:durableId="884221786">
    <w:abstractNumId w:val="13"/>
  </w:num>
  <w:num w:numId="12" w16cid:durableId="1493522057">
    <w:abstractNumId w:val="2"/>
  </w:num>
  <w:num w:numId="13" w16cid:durableId="1439255359">
    <w:abstractNumId w:val="9"/>
  </w:num>
  <w:num w:numId="14" w16cid:durableId="1219055913">
    <w:abstractNumId w:val="15"/>
  </w:num>
  <w:num w:numId="15" w16cid:durableId="909190032">
    <w:abstractNumId w:val="12"/>
  </w:num>
  <w:num w:numId="16" w16cid:durableId="267545049">
    <w:abstractNumId w:val="5"/>
  </w:num>
  <w:num w:numId="17" w16cid:durableId="1865512646">
    <w:abstractNumId w:val="3"/>
  </w:num>
  <w:num w:numId="18" w16cid:durableId="1824201051">
    <w:abstractNumId w:val="11"/>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95E"/>
    <w:rsid w:val="00003478"/>
    <w:rsid w:val="0000615A"/>
    <w:rsid w:val="000063E0"/>
    <w:rsid w:val="00007130"/>
    <w:rsid w:val="000078AE"/>
    <w:rsid w:val="00010499"/>
    <w:rsid w:val="000149F7"/>
    <w:rsid w:val="000158F1"/>
    <w:rsid w:val="00022AD2"/>
    <w:rsid w:val="00023C70"/>
    <w:rsid w:val="000279F6"/>
    <w:rsid w:val="00032B78"/>
    <w:rsid w:val="00033731"/>
    <w:rsid w:val="00034BE8"/>
    <w:rsid w:val="00036349"/>
    <w:rsid w:val="00036863"/>
    <w:rsid w:val="00046916"/>
    <w:rsid w:val="00050FF6"/>
    <w:rsid w:val="0005348C"/>
    <w:rsid w:val="0005570A"/>
    <w:rsid w:val="00061517"/>
    <w:rsid w:val="00061F24"/>
    <w:rsid w:val="00064F61"/>
    <w:rsid w:val="00065277"/>
    <w:rsid w:val="00070BE8"/>
    <w:rsid w:val="00070D21"/>
    <w:rsid w:val="000770BE"/>
    <w:rsid w:val="00083660"/>
    <w:rsid w:val="00084144"/>
    <w:rsid w:val="00084D1E"/>
    <w:rsid w:val="0008710C"/>
    <w:rsid w:val="000901CC"/>
    <w:rsid w:val="00092256"/>
    <w:rsid w:val="00093F49"/>
    <w:rsid w:val="000958B2"/>
    <w:rsid w:val="000A1B15"/>
    <w:rsid w:val="000A2712"/>
    <w:rsid w:val="000A464F"/>
    <w:rsid w:val="000A4B32"/>
    <w:rsid w:val="000A7FFE"/>
    <w:rsid w:val="000B0C75"/>
    <w:rsid w:val="000B5E55"/>
    <w:rsid w:val="000B6CAE"/>
    <w:rsid w:val="000C343E"/>
    <w:rsid w:val="000C586C"/>
    <w:rsid w:val="000C74F7"/>
    <w:rsid w:val="000D2317"/>
    <w:rsid w:val="000D5BAB"/>
    <w:rsid w:val="000D643B"/>
    <w:rsid w:val="000D6A7A"/>
    <w:rsid w:val="000D6BF6"/>
    <w:rsid w:val="000E5E5C"/>
    <w:rsid w:val="000E6BD7"/>
    <w:rsid w:val="000E799B"/>
    <w:rsid w:val="000F1109"/>
    <w:rsid w:val="000F4729"/>
    <w:rsid w:val="001018C4"/>
    <w:rsid w:val="00102437"/>
    <w:rsid w:val="001041C2"/>
    <w:rsid w:val="001041FB"/>
    <w:rsid w:val="00105B09"/>
    <w:rsid w:val="00106DFE"/>
    <w:rsid w:val="00107588"/>
    <w:rsid w:val="00114B48"/>
    <w:rsid w:val="00120A45"/>
    <w:rsid w:val="00121F54"/>
    <w:rsid w:val="0012283F"/>
    <w:rsid w:val="00125DEE"/>
    <w:rsid w:val="00126519"/>
    <w:rsid w:val="00135737"/>
    <w:rsid w:val="00140906"/>
    <w:rsid w:val="00141F68"/>
    <w:rsid w:val="00142F19"/>
    <w:rsid w:val="00150DA0"/>
    <w:rsid w:val="001535E3"/>
    <w:rsid w:val="00157016"/>
    <w:rsid w:val="001611C0"/>
    <w:rsid w:val="001641CF"/>
    <w:rsid w:val="0016469B"/>
    <w:rsid w:val="00166EA0"/>
    <w:rsid w:val="001673E2"/>
    <w:rsid w:val="00167502"/>
    <w:rsid w:val="001713CE"/>
    <w:rsid w:val="00172DEB"/>
    <w:rsid w:val="0017440F"/>
    <w:rsid w:val="001752C3"/>
    <w:rsid w:val="001756D7"/>
    <w:rsid w:val="00175DDB"/>
    <w:rsid w:val="001770FB"/>
    <w:rsid w:val="00180668"/>
    <w:rsid w:val="001813DD"/>
    <w:rsid w:val="00182093"/>
    <w:rsid w:val="00182D80"/>
    <w:rsid w:val="0018463F"/>
    <w:rsid w:val="001872D8"/>
    <w:rsid w:val="00190873"/>
    <w:rsid w:val="00191664"/>
    <w:rsid w:val="0019336A"/>
    <w:rsid w:val="00193D51"/>
    <w:rsid w:val="00194ECC"/>
    <w:rsid w:val="001960A9"/>
    <w:rsid w:val="001965A8"/>
    <w:rsid w:val="001A072E"/>
    <w:rsid w:val="001A0D10"/>
    <w:rsid w:val="001A139C"/>
    <w:rsid w:val="001A2460"/>
    <w:rsid w:val="001A4692"/>
    <w:rsid w:val="001B4D5D"/>
    <w:rsid w:val="001C0B2B"/>
    <w:rsid w:val="001C3040"/>
    <w:rsid w:val="001D010B"/>
    <w:rsid w:val="001D0291"/>
    <w:rsid w:val="001D3093"/>
    <w:rsid w:val="001D3744"/>
    <w:rsid w:val="001D3E7A"/>
    <w:rsid w:val="001D6FFB"/>
    <w:rsid w:val="001E013E"/>
    <w:rsid w:val="001E23B1"/>
    <w:rsid w:val="001E285C"/>
    <w:rsid w:val="001E2EFD"/>
    <w:rsid w:val="001E42D5"/>
    <w:rsid w:val="001E72F9"/>
    <w:rsid w:val="001F0594"/>
    <w:rsid w:val="001F0D0E"/>
    <w:rsid w:val="001F127F"/>
    <w:rsid w:val="001F3AF2"/>
    <w:rsid w:val="001F4DB5"/>
    <w:rsid w:val="001F5982"/>
    <w:rsid w:val="001F674F"/>
    <w:rsid w:val="002005E7"/>
    <w:rsid w:val="002007C9"/>
    <w:rsid w:val="00202E3B"/>
    <w:rsid w:val="00203251"/>
    <w:rsid w:val="00206331"/>
    <w:rsid w:val="00206402"/>
    <w:rsid w:val="00206FBB"/>
    <w:rsid w:val="00210459"/>
    <w:rsid w:val="00212893"/>
    <w:rsid w:val="0021315D"/>
    <w:rsid w:val="002134D8"/>
    <w:rsid w:val="00213E8E"/>
    <w:rsid w:val="00214E61"/>
    <w:rsid w:val="002158F2"/>
    <w:rsid w:val="002177F1"/>
    <w:rsid w:val="00221478"/>
    <w:rsid w:val="00221FF3"/>
    <w:rsid w:val="0022697C"/>
    <w:rsid w:val="00227F5D"/>
    <w:rsid w:val="0023204A"/>
    <w:rsid w:val="00232B0C"/>
    <w:rsid w:val="002378E0"/>
    <w:rsid w:val="002432FE"/>
    <w:rsid w:val="0024440B"/>
    <w:rsid w:val="002458CF"/>
    <w:rsid w:val="00245E43"/>
    <w:rsid w:val="00254631"/>
    <w:rsid w:val="00254D99"/>
    <w:rsid w:val="002564FE"/>
    <w:rsid w:val="00256FE1"/>
    <w:rsid w:val="0025783A"/>
    <w:rsid w:val="00260AFD"/>
    <w:rsid w:val="00263201"/>
    <w:rsid w:val="0026322B"/>
    <w:rsid w:val="00263936"/>
    <w:rsid w:val="0026463B"/>
    <w:rsid w:val="00273C54"/>
    <w:rsid w:val="0027418B"/>
    <w:rsid w:val="00274B84"/>
    <w:rsid w:val="002769D2"/>
    <w:rsid w:val="00277551"/>
    <w:rsid w:val="00281FD3"/>
    <w:rsid w:val="00282452"/>
    <w:rsid w:val="0028280E"/>
    <w:rsid w:val="002836BD"/>
    <w:rsid w:val="00284814"/>
    <w:rsid w:val="002909C5"/>
    <w:rsid w:val="002A47CB"/>
    <w:rsid w:val="002A6B02"/>
    <w:rsid w:val="002A7072"/>
    <w:rsid w:val="002B06CA"/>
    <w:rsid w:val="002B501D"/>
    <w:rsid w:val="002B7A20"/>
    <w:rsid w:val="002B7F6D"/>
    <w:rsid w:val="002C20F7"/>
    <w:rsid w:val="002C628B"/>
    <w:rsid w:val="002C64D1"/>
    <w:rsid w:val="002D1550"/>
    <w:rsid w:val="002D4B02"/>
    <w:rsid w:val="002D5585"/>
    <w:rsid w:val="002D60FF"/>
    <w:rsid w:val="002E0EAA"/>
    <w:rsid w:val="002E0FF0"/>
    <w:rsid w:val="002E1683"/>
    <w:rsid w:val="002E2098"/>
    <w:rsid w:val="002E2B22"/>
    <w:rsid w:val="002E2BF1"/>
    <w:rsid w:val="002E2E69"/>
    <w:rsid w:val="002E3865"/>
    <w:rsid w:val="002E6B49"/>
    <w:rsid w:val="002F1E90"/>
    <w:rsid w:val="002F41AF"/>
    <w:rsid w:val="003000F2"/>
    <w:rsid w:val="00303819"/>
    <w:rsid w:val="00305448"/>
    <w:rsid w:val="003103DB"/>
    <w:rsid w:val="0031093E"/>
    <w:rsid w:val="00311A1F"/>
    <w:rsid w:val="00314411"/>
    <w:rsid w:val="00316E02"/>
    <w:rsid w:val="00316F0B"/>
    <w:rsid w:val="00316F62"/>
    <w:rsid w:val="00317826"/>
    <w:rsid w:val="00320CAA"/>
    <w:rsid w:val="00321A68"/>
    <w:rsid w:val="003229A7"/>
    <w:rsid w:val="0032354F"/>
    <w:rsid w:val="00327C01"/>
    <w:rsid w:val="003303E0"/>
    <w:rsid w:val="00335352"/>
    <w:rsid w:val="00340115"/>
    <w:rsid w:val="00341DE0"/>
    <w:rsid w:val="00341F10"/>
    <w:rsid w:val="003457C5"/>
    <w:rsid w:val="00345902"/>
    <w:rsid w:val="00350630"/>
    <w:rsid w:val="00352ADA"/>
    <w:rsid w:val="0035674A"/>
    <w:rsid w:val="003569A0"/>
    <w:rsid w:val="00361DA1"/>
    <w:rsid w:val="00363806"/>
    <w:rsid w:val="00363A34"/>
    <w:rsid w:val="00363CB1"/>
    <w:rsid w:val="00364ED2"/>
    <w:rsid w:val="00366F28"/>
    <w:rsid w:val="003721C2"/>
    <w:rsid w:val="0037353C"/>
    <w:rsid w:val="00375595"/>
    <w:rsid w:val="00380E7D"/>
    <w:rsid w:val="003A09D6"/>
    <w:rsid w:val="003A1E3A"/>
    <w:rsid w:val="003A233A"/>
    <w:rsid w:val="003A60B0"/>
    <w:rsid w:val="003A6362"/>
    <w:rsid w:val="003A6EEB"/>
    <w:rsid w:val="003A74F8"/>
    <w:rsid w:val="003B0F74"/>
    <w:rsid w:val="003B3248"/>
    <w:rsid w:val="003B523E"/>
    <w:rsid w:val="003B730C"/>
    <w:rsid w:val="003C33D0"/>
    <w:rsid w:val="003C3878"/>
    <w:rsid w:val="003C5656"/>
    <w:rsid w:val="003C75C5"/>
    <w:rsid w:val="003D15F9"/>
    <w:rsid w:val="003D1F44"/>
    <w:rsid w:val="003D2E59"/>
    <w:rsid w:val="003D37DC"/>
    <w:rsid w:val="003D5E3D"/>
    <w:rsid w:val="003D6943"/>
    <w:rsid w:val="003E0B34"/>
    <w:rsid w:val="003E0C59"/>
    <w:rsid w:val="003E2E1F"/>
    <w:rsid w:val="003E67B3"/>
    <w:rsid w:val="003F2AAE"/>
    <w:rsid w:val="003F2B3A"/>
    <w:rsid w:val="003F48D3"/>
    <w:rsid w:val="003F54FC"/>
    <w:rsid w:val="00405644"/>
    <w:rsid w:val="00410155"/>
    <w:rsid w:val="004104D4"/>
    <w:rsid w:val="0041064F"/>
    <w:rsid w:val="00410FFA"/>
    <w:rsid w:val="00411568"/>
    <w:rsid w:val="00412F82"/>
    <w:rsid w:val="00415E96"/>
    <w:rsid w:val="00416741"/>
    <w:rsid w:val="0041717F"/>
    <w:rsid w:val="00417633"/>
    <w:rsid w:val="00417BC1"/>
    <w:rsid w:val="00420047"/>
    <w:rsid w:val="004237B7"/>
    <w:rsid w:val="00424D78"/>
    <w:rsid w:val="00425011"/>
    <w:rsid w:val="00427DB6"/>
    <w:rsid w:val="004313FE"/>
    <w:rsid w:val="00433DEE"/>
    <w:rsid w:val="00435AE6"/>
    <w:rsid w:val="004365A8"/>
    <w:rsid w:val="00440ADE"/>
    <w:rsid w:val="004505B8"/>
    <w:rsid w:val="004528C6"/>
    <w:rsid w:val="004530D8"/>
    <w:rsid w:val="00453251"/>
    <w:rsid w:val="0045398C"/>
    <w:rsid w:val="004548CC"/>
    <w:rsid w:val="0045563E"/>
    <w:rsid w:val="00456BC5"/>
    <w:rsid w:val="00462F6E"/>
    <w:rsid w:val="0046405A"/>
    <w:rsid w:val="00470689"/>
    <w:rsid w:val="0047297D"/>
    <w:rsid w:val="00473FF5"/>
    <w:rsid w:val="00475373"/>
    <w:rsid w:val="00476082"/>
    <w:rsid w:val="004767D7"/>
    <w:rsid w:val="00476829"/>
    <w:rsid w:val="004819AE"/>
    <w:rsid w:val="00481BAA"/>
    <w:rsid w:val="004835BF"/>
    <w:rsid w:val="004860BF"/>
    <w:rsid w:val="00487275"/>
    <w:rsid w:val="0049143A"/>
    <w:rsid w:val="00491B33"/>
    <w:rsid w:val="00492150"/>
    <w:rsid w:val="004921C8"/>
    <w:rsid w:val="00493674"/>
    <w:rsid w:val="00493FFB"/>
    <w:rsid w:val="00494448"/>
    <w:rsid w:val="00496A78"/>
    <w:rsid w:val="004A13FC"/>
    <w:rsid w:val="004A2679"/>
    <w:rsid w:val="004A2987"/>
    <w:rsid w:val="004A3661"/>
    <w:rsid w:val="004A4036"/>
    <w:rsid w:val="004A667D"/>
    <w:rsid w:val="004A7008"/>
    <w:rsid w:val="004B1AE6"/>
    <w:rsid w:val="004B4FA0"/>
    <w:rsid w:val="004C0177"/>
    <w:rsid w:val="004C0946"/>
    <w:rsid w:val="004C1434"/>
    <w:rsid w:val="004C321D"/>
    <w:rsid w:val="004C612B"/>
    <w:rsid w:val="004C6C8A"/>
    <w:rsid w:val="004D3A73"/>
    <w:rsid w:val="004D3ECB"/>
    <w:rsid w:val="004D5FFB"/>
    <w:rsid w:val="004D6195"/>
    <w:rsid w:val="004E0615"/>
    <w:rsid w:val="004E0917"/>
    <w:rsid w:val="004E0F77"/>
    <w:rsid w:val="004E30CC"/>
    <w:rsid w:val="004E3C5D"/>
    <w:rsid w:val="004E43C4"/>
    <w:rsid w:val="004E4B08"/>
    <w:rsid w:val="004E603B"/>
    <w:rsid w:val="004F0173"/>
    <w:rsid w:val="004F0EC4"/>
    <w:rsid w:val="004F4E71"/>
    <w:rsid w:val="004F4E9B"/>
    <w:rsid w:val="0050408B"/>
    <w:rsid w:val="00505C1E"/>
    <w:rsid w:val="00506813"/>
    <w:rsid w:val="00510110"/>
    <w:rsid w:val="00511F59"/>
    <w:rsid w:val="005120A6"/>
    <w:rsid w:val="005120AD"/>
    <w:rsid w:val="00514F5F"/>
    <w:rsid w:val="00515BDB"/>
    <w:rsid w:val="00516FDC"/>
    <w:rsid w:val="00520381"/>
    <w:rsid w:val="00523021"/>
    <w:rsid w:val="00523270"/>
    <w:rsid w:val="005256CF"/>
    <w:rsid w:val="00526C31"/>
    <w:rsid w:val="00527959"/>
    <w:rsid w:val="00532884"/>
    <w:rsid w:val="00533303"/>
    <w:rsid w:val="005339C5"/>
    <w:rsid w:val="0053424A"/>
    <w:rsid w:val="005355E5"/>
    <w:rsid w:val="005430F6"/>
    <w:rsid w:val="0054361B"/>
    <w:rsid w:val="00543BEB"/>
    <w:rsid w:val="00543E5B"/>
    <w:rsid w:val="00546732"/>
    <w:rsid w:val="00550FEA"/>
    <w:rsid w:val="005524AC"/>
    <w:rsid w:val="00553813"/>
    <w:rsid w:val="0055482D"/>
    <w:rsid w:val="00556013"/>
    <w:rsid w:val="00556CAD"/>
    <w:rsid w:val="0056010D"/>
    <w:rsid w:val="0056504C"/>
    <w:rsid w:val="0056634B"/>
    <w:rsid w:val="005668CC"/>
    <w:rsid w:val="005706CA"/>
    <w:rsid w:val="00571598"/>
    <w:rsid w:val="00574C28"/>
    <w:rsid w:val="00577BEC"/>
    <w:rsid w:val="005828BD"/>
    <w:rsid w:val="00584FBE"/>
    <w:rsid w:val="00586C70"/>
    <w:rsid w:val="005878FA"/>
    <w:rsid w:val="00587AA2"/>
    <w:rsid w:val="005917BF"/>
    <w:rsid w:val="00592727"/>
    <w:rsid w:val="00596B5F"/>
    <w:rsid w:val="005A241E"/>
    <w:rsid w:val="005A4A0A"/>
    <w:rsid w:val="005A6BF4"/>
    <w:rsid w:val="005B2166"/>
    <w:rsid w:val="005B32D2"/>
    <w:rsid w:val="005B456C"/>
    <w:rsid w:val="005B6084"/>
    <w:rsid w:val="005B6CC7"/>
    <w:rsid w:val="005C2150"/>
    <w:rsid w:val="005D0145"/>
    <w:rsid w:val="005D2A39"/>
    <w:rsid w:val="005D44E3"/>
    <w:rsid w:val="005D64B2"/>
    <w:rsid w:val="005D7258"/>
    <w:rsid w:val="005D7328"/>
    <w:rsid w:val="005E19FF"/>
    <w:rsid w:val="005E2DCB"/>
    <w:rsid w:val="005E364F"/>
    <w:rsid w:val="005E3F12"/>
    <w:rsid w:val="005E5298"/>
    <w:rsid w:val="005F0754"/>
    <w:rsid w:val="005F1F55"/>
    <w:rsid w:val="005F3E64"/>
    <w:rsid w:val="006043A2"/>
    <w:rsid w:val="00604406"/>
    <w:rsid w:val="00605AB9"/>
    <w:rsid w:val="006068AE"/>
    <w:rsid w:val="006071E8"/>
    <w:rsid w:val="0061029D"/>
    <w:rsid w:val="006111A6"/>
    <w:rsid w:val="00617197"/>
    <w:rsid w:val="006171BA"/>
    <w:rsid w:val="00617350"/>
    <w:rsid w:val="00623901"/>
    <w:rsid w:val="00627329"/>
    <w:rsid w:val="00630EDF"/>
    <w:rsid w:val="00631053"/>
    <w:rsid w:val="0063466C"/>
    <w:rsid w:val="00640224"/>
    <w:rsid w:val="0064075F"/>
    <w:rsid w:val="00643A20"/>
    <w:rsid w:val="0064559C"/>
    <w:rsid w:val="0064737D"/>
    <w:rsid w:val="00647BB9"/>
    <w:rsid w:val="00653476"/>
    <w:rsid w:val="00655B3A"/>
    <w:rsid w:val="00656E36"/>
    <w:rsid w:val="006572A4"/>
    <w:rsid w:val="00657B20"/>
    <w:rsid w:val="00661C27"/>
    <w:rsid w:val="0066791E"/>
    <w:rsid w:val="006701D3"/>
    <w:rsid w:val="00672002"/>
    <w:rsid w:val="00675359"/>
    <w:rsid w:val="00676816"/>
    <w:rsid w:val="00680220"/>
    <w:rsid w:val="006807EE"/>
    <w:rsid w:val="0068190D"/>
    <w:rsid w:val="00681BB7"/>
    <w:rsid w:val="00682A74"/>
    <w:rsid w:val="00687020"/>
    <w:rsid w:val="00687102"/>
    <w:rsid w:val="00692454"/>
    <w:rsid w:val="006925BB"/>
    <w:rsid w:val="00692C90"/>
    <w:rsid w:val="0069445E"/>
    <w:rsid w:val="006961F2"/>
    <w:rsid w:val="006A32AD"/>
    <w:rsid w:val="006A4E12"/>
    <w:rsid w:val="006B1D03"/>
    <w:rsid w:val="006B25B5"/>
    <w:rsid w:val="006B5EC1"/>
    <w:rsid w:val="006B6E38"/>
    <w:rsid w:val="006C0A75"/>
    <w:rsid w:val="006C765C"/>
    <w:rsid w:val="006D195F"/>
    <w:rsid w:val="006D5B2D"/>
    <w:rsid w:val="006E2FF2"/>
    <w:rsid w:val="006E3B3F"/>
    <w:rsid w:val="006E7F55"/>
    <w:rsid w:val="006F0155"/>
    <w:rsid w:val="006F268E"/>
    <w:rsid w:val="006F2A62"/>
    <w:rsid w:val="006F389F"/>
    <w:rsid w:val="006F4177"/>
    <w:rsid w:val="006F7851"/>
    <w:rsid w:val="0070078F"/>
    <w:rsid w:val="00706443"/>
    <w:rsid w:val="0071716C"/>
    <w:rsid w:val="00721BE8"/>
    <w:rsid w:val="0072206A"/>
    <w:rsid w:val="007309AB"/>
    <w:rsid w:val="00730FAC"/>
    <w:rsid w:val="00732082"/>
    <w:rsid w:val="00747A2C"/>
    <w:rsid w:val="00750568"/>
    <w:rsid w:val="007568D5"/>
    <w:rsid w:val="00756A93"/>
    <w:rsid w:val="007602BF"/>
    <w:rsid w:val="00760BDB"/>
    <w:rsid w:val="00762EF8"/>
    <w:rsid w:val="007656CA"/>
    <w:rsid w:val="00765738"/>
    <w:rsid w:val="0076723E"/>
    <w:rsid w:val="00767646"/>
    <w:rsid w:val="00767F95"/>
    <w:rsid w:val="00770048"/>
    <w:rsid w:val="00772832"/>
    <w:rsid w:val="00774175"/>
    <w:rsid w:val="00775CDE"/>
    <w:rsid w:val="0078562B"/>
    <w:rsid w:val="00791084"/>
    <w:rsid w:val="007919AA"/>
    <w:rsid w:val="00791FB8"/>
    <w:rsid w:val="00793831"/>
    <w:rsid w:val="00794208"/>
    <w:rsid w:val="00797FEA"/>
    <w:rsid w:val="007A030B"/>
    <w:rsid w:val="007A5ECC"/>
    <w:rsid w:val="007B1635"/>
    <w:rsid w:val="007C2404"/>
    <w:rsid w:val="007C2A26"/>
    <w:rsid w:val="007C3B44"/>
    <w:rsid w:val="007C69F3"/>
    <w:rsid w:val="007D03B4"/>
    <w:rsid w:val="007D2562"/>
    <w:rsid w:val="007D3622"/>
    <w:rsid w:val="007D39A6"/>
    <w:rsid w:val="007D42F4"/>
    <w:rsid w:val="007D6098"/>
    <w:rsid w:val="007D6F77"/>
    <w:rsid w:val="007D758C"/>
    <w:rsid w:val="007D75FB"/>
    <w:rsid w:val="007E17F7"/>
    <w:rsid w:val="007F1CF9"/>
    <w:rsid w:val="007F246D"/>
    <w:rsid w:val="007F3998"/>
    <w:rsid w:val="007F62D0"/>
    <w:rsid w:val="007F6A94"/>
    <w:rsid w:val="00800708"/>
    <w:rsid w:val="00801358"/>
    <w:rsid w:val="00801DDC"/>
    <w:rsid w:val="00804797"/>
    <w:rsid w:val="00807D74"/>
    <w:rsid w:val="00815235"/>
    <w:rsid w:val="00815679"/>
    <w:rsid w:val="00815782"/>
    <w:rsid w:val="00817686"/>
    <w:rsid w:val="00832047"/>
    <w:rsid w:val="00832FE7"/>
    <w:rsid w:val="008363EC"/>
    <w:rsid w:val="00836B57"/>
    <w:rsid w:val="00841113"/>
    <w:rsid w:val="00852E4D"/>
    <w:rsid w:val="00856528"/>
    <w:rsid w:val="00857ADD"/>
    <w:rsid w:val="00863405"/>
    <w:rsid w:val="00870C5D"/>
    <w:rsid w:val="0087101F"/>
    <w:rsid w:val="00871C43"/>
    <w:rsid w:val="0087557C"/>
    <w:rsid w:val="00876944"/>
    <w:rsid w:val="00881165"/>
    <w:rsid w:val="00885A2F"/>
    <w:rsid w:val="00886CDA"/>
    <w:rsid w:val="00892286"/>
    <w:rsid w:val="008940DC"/>
    <w:rsid w:val="00894218"/>
    <w:rsid w:val="00896873"/>
    <w:rsid w:val="00896B88"/>
    <w:rsid w:val="008A4694"/>
    <w:rsid w:val="008A5479"/>
    <w:rsid w:val="008B039F"/>
    <w:rsid w:val="008B0617"/>
    <w:rsid w:val="008B4BE1"/>
    <w:rsid w:val="008B5BF8"/>
    <w:rsid w:val="008C46A7"/>
    <w:rsid w:val="008D160C"/>
    <w:rsid w:val="008D34DC"/>
    <w:rsid w:val="008D4A09"/>
    <w:rsid w:val="008D5FE6"/>
    <w:rsid w:val="008E0563"/>
    <w:rsid w:val="008E0778"/>
    <w:rsid w:val="008E1C04"/>
    <w:rsid w:val="008E59C0"/>
    <w:rsid w:val="008E6B2B"/>
    <w:rsid w:val="008F1049"/>
    <w:rsid w:val="008F1F91"/>
    <w:rsid w:val="008F320F"/>
    <w:rsid w:val="008F38F4"/>
    <w:rsid w:val="008F5737"/>
    <w:rsid w:val="008F67B9"/>
    <w:rsid w:val="009012DC"/>
    <w:rsid w:val="00903061"/>
    <w:rsid w:val="009056A7"/>
    <w:rsid w:val="00907529"/>
    <w:rsid w:val="00907CE1"/>
    <w:rsid w:val="009111D2"/>
    <w:rsid w:val="0091195E"/>
    <w:rsid w:val="00912AA2"/>
    <w:rsid w:val="00920B99"/>
    <w:rsid w:val="0092208A"/>
    <w:rsid w:val="0092276B"/>
    <w:rsid w:val="009238F3"/>
    <w:rsid w:val="00930D39"/>
    <w:rsid w:val="00934896"/>
    <w:rsid w:val="00934FCA"/>
    <w:rsid w:val="009350FD"/>
    <w:rsid w:val="0093572F"/>
    <w:rsid w:val="00942761"/>
    <w:rsid w:val="00947474"/>
    <w:rsid w:val="00951063"/>
    <w:rsid w:val="009514F8"/>
    <w:rsid w:val="00955D95"/>
    <w:rsid w:val="00955FD5"/>
    <w:rsid w:val="00956907"/>
    <w:rsid w:val="00957C00"/>
    <w:rsid w:val="009625F5"/>
    <w:rsid w:val="00964124"/>
    <w:rsid w:val="00966C8D"/>
    <w:rsid w:val="00970543"/>
    <w:rsid w:val="00970D04"/>
    <w:rsid w:val="00973B68"/>
    <w:rsid w:val="009753D6"/>
    <w:rsid w:val="009765F3"/>
    <w:rsid w:val="00981D93"/>
    <w:rsid w:val="00981EC0"/>
    <w:rsid w:val="00981ECD"/>
    <w:rsid w:val="009843F8"/>
    <w:rsid w:val="009A0255"/>
    <w:rsid w:val="009A4141"/>
    <w:rsid w:val="009A44AC"/>
    <w:rsid w:val="009A5C0B"/>
    <w:rsid w:val="009B02C8"/>
    <w:rsid w:val="009B2B2D"/>
    <w:rsid w:val="009B2B6D"/>
    <w:rsid w:val="009B36E1"/>
    <w:rsid w:val="009B48C4"/>
    <w:rsid w:val="009C2B25"/>
    <w:rsid w:val="009C7322"/>
    <w:rsid w:val="009D031F"/>
    <w:rsid w:val="009D3790"/>
    <w:rsid w:val="009D3DBD"/>
    <w:rsid w:val="009F198C"/>
    <w:rsid w:val="009F4EB5"/>
    <w:rsid w:val="009F5808"/>
    <w:rsid w:val="009F7DC5"/>
    <w:rsid w:val="00A02070"/>
    <w:rsid w:val="00A05BF8"/>
    <w:rsid w:val="00A16290"/>
    <w:rsid w:val="00A220B3"/>
    <w:rsid w:val="00A23694"/>
    <w:rsid w:val="00A24A07"/>
    <w:rsid w:val="00A24DFC"/>
    <w:rsid w:val="00A26BF3"/>
    <w:rsid w:val="00A277C9"/>
    <w:rsid w:val="00A27BA0"/>
    <w:rsid w:val="00A32070"/>
    <w:rsid w:val="00A36040"/>
    <w:rsid w:val="00A42187"/>
    <w:rsid w:val="00A4303E"/>
    <w:rsid w:val="00A461CB"/>
    <w:rsid w:val="00A51AE7"/>
    <w:rsid w:val="00A54104"/>
    <w:rsid w:val="00A56743"/>
    <w:rsid w:val="00A56785"/>
    <w:rsid w:val="00A56844"/>
    <w:rsid w:val="00A56EF5"/>
    <w:rsid w:val="00A61C28"/>
    <w:rsid w:val="00A65030"/>
    <w:rsid w:val="00A65710"/>
    <w:rsid w:val="00A659EF"/>
    <w:rsid w:val="00A65E93"/>
    <w:rsid w:val="00A70C53"/>
    <w:rsid w:val="00A76112"/>
    <w:rsid w:val="00A76C0F"/>
    <w:rsid w:val="00A76EA5"/>
    <w:rsid w:val="00A77AC3"/>
    <w:rsid w:val="00A77EAB"/>
    <w:rsid w:val="00A80514"/>
    <w:rsid w:val="00A81EFE"/>
    <w:rsid w:val="00A848B7"/>
    <w:rsid w:val="00A855AB"/>
    <w:rsid w:val="00A8638B"/>
    <w:rsid w:val="00A90351"/>
    <w:rsid w:val="00A96CE4"/>
    <w:rsid w:val="00AA3C78"/>
    <w:rsid w:val="00AA4A55"/>
    <w:rsid w:val="00AA4EFB"/>
    <w:rsid w:val="00AA5716"/>
    <w:rsid w:val="00AA7778"/>
    <w:rsid w:val="00AB09ED"/>
    <w:rsid w:val="00AB0F5D"/>
    <w:rsid w:val="00AB1B02"/>
    <w:rsid w:val="00AB38DD"/>
    <w:rsid w:val="00AB76B4"/>
    <w:rsid w:val="00AC0A43"/>
    <w:rsid w:val="00AC0F68"/>
    <w:rsid w:val="00AC1FB8"/>
    <w:rsid w:val="00AC27E4"/>
    <w:rsid w:val="00AC64E2"/>
    <w:rsid w:val="00AD1569"/>
    <w:rsid w:val="00AD1D36"/>
    <w:rsid w:val="00AD396D"/>
    <w:rsid w:val="00AD478D"/>
    <w:rsid w:val="00AD49D7"/>
    <w:rsid w:val="00AD6782"/>
    <w:rsid w:val="00AE0308"/>
    <w:rsid w:val="00AE03C9"/>
    <w:rsid w:val="00AE23AE"/>
    <w:rsid w:val="00AE3D05"/>
    <w:rsid w:val="00AE4313"/>
    <w:rsid w:val="00AE6DEF"/>
    <w:rsid w:val="00AF23FA"/>
    <w:rsid w:val="00AF5168"/>
    <w:rsid w:val="00AF5AFD"/>
    <w:rsid w:val="00B00962"/>
    <w:rsid w:val="00B05D8E"/>
    <w:rsid w:val="00B0602F"/>
    <w:rsid w:val="00B06711"/>
    <w:rsid w:val="00B06741"/>
    <w:rsid w:val="00B07E80"/>
    <w:rsid w:val="00B1274C"/>
    <w:rsid w:val="00B15AC4"/>
    <w:rsid w:val="00B170DC"/>
    <w:rsid w:val="00B21898"/>
    <w:rsid w:val="00B23ADC"/>
    <w:rsid w:val="00B24A7D"/>
    <w:rsid w:val="00B278CF"/>
    <w:rsid w:val="00B30A89"/>
    <w:rsid w:val="00B34C74"/>
    <w:rsid w:val="00B42BAB"/>
    <w:rsid w:val="00B43BCC"/>
    <w:rsid w:val="00B45B59"/>
    <w:rsid w:val="00B46002"/>
    <w:rsid w:val="00B468D7"/>
    <w:rsid w:val="00B46F1A"/>
    <w:rsid w:val="00B51E7D"/>
    <w:rsid w:val="00B54899"/>
    <w:rsid w:val="00B54E2C"/>
    <w:rsid w:val="00B56B3A"/>
    <w:rsid w:val="00B57823"/>
    <w:rsid w:val="00B614C5"/>
    <w:rsid w:val="00B63F0B"/>
    <w:rsid w:val="00B64F0A"/>
    <w:rsid w:val="00B67BF1"/>
    <w:rsid w:val="00B70BAA"/>
    <w:rsid w:val="00B75694"/>
    <w:rsid w:val="00B772DF"/>
    <w:rsid w:val="00B81CE6"/>
    <w:rsid w:val="00B8441B"/>
    <w:rsid w:val="00B852B4"/>
    <w:rsid w:val="00B86169"/>
    <w:rsid w:val="00B86F16"/>
    <w:rsid w:val="00B92D86"/>
    <w:rsid w:val="00B92E4B"/>
    <w:rsid w:val="00B944E3"/>
    <w:rsid w:val="00B97DE5"/>
    <w:rsid w:val="00B97F67"/>
    <w:rsid w:val="00BA1731"/>
    <w:rsid w:val="00BA3C71"/>
    <w:rsid w:val="00BA416E"/>
    <w:rsid w:val="00BA5BFB"/>
    <w:rsid w:val="00BA639D"/>
    <w:rsid w:val="00BA6803"/>
    <w:rsid w:val="00BB059F"/>
    <w:rsid w:val="00BB1938"/>
    <w:rsid w:val="00BB372A"/>
    <w:rsid w:val="00BB43D6"/>
    <w:rsid w:val="00BB52A4"/>
    <w:rsid w:val="00BC0F24"/>
    <w:rsid w:val="00BD68BA"/>
    <w:rsid w:val="00BE46F8"/>
    <w:rsid w:val="00BE6C8E"/>
    <w:rsid w:val="00BE71BA"/>
    <w:rsid w:val="00BE7667"/>
    <w:rsid w:val="00BF168E"/>
    <w:rsid w:val="00BF539E"/>
    <w:rsid w:val="00BF53A2"/>
    <w:rsid w:val="00C00B06"/>
    <w:rsid w:val="00C00F67"/>
    <w:rsid w:val="00C051AA"/>
    <w:rsid w:val="00C10005"/>
    <w:rsid w:val="00C11DEA"/>
    <w:rsid w:val="00C12CD5"/>
    <w:rsid w:val="00C14BE0"/>
    <w:rsid w:val="00C20589"/>
    <w:rsid w:val="00C23A50"/>
    <w:rsid w:val="00C25723"/>
    <w:rsid w:val="00C2622D"/>
    <w:rsid w:val="00C26532"/>
    <w:rsid w:val="00C2768D"/>
    <w:rsid w:val="00C311C6"/>
    <w:rsid w:val="00C3386C"/>
    <w:rsid w:val="00C34998"/>
    <w:rsid w:val="00C37185"/>
    <w:rsid w:val="00C37839"/>
    <w:rsid w:val="00C43F4C"/>
    <w:rsid w:val="00C44292"/>
    <w:rsid w:val="00C44CD3"/>
    <w:rsid w:val="00C44F78"/>
    <w:rsid w:val="00C471BC"/>
    <w:rsid w:val="00C51799"/>
    <w:rsid w:val="00C51C26"/>
    <w:rsid w:val="00C52022"/>
    <w:rsid w:val="00C558F0"/>
    <w:rsid w:val="00C559A0"/>
    <w:rsid w:val="00C56C0B"/>
    <w:rsid w:val="00C607AB"/>
    <w:rsid w:val="00C611B6"/>
    <w:rsid w:val="00C64876"/>
    <w:rsid w:val="00C652B6"/>
    <w:rsid w:val="00C65EC4"/>
    <w:rsid w:val="00C6701D"/>
    <w:rsid w:val="00C6730C"/>
    <w:rsid w:val="00C7001F"/>
    <w:rsid w:val="00C704AD"/>
    <w:rsid w:val="00C71FCE"/>
    <w:rsid w:val="00C7575B"/>
    <w:rsid w:val="00C76902"/>
    <w:rsid w:val="00C8113D"/>
    <w:rsid w:val="00C82BE1"/>
    <w:rsid w:val="00C86C4C"/>
    <w:rsid w:val="00C936E4"/>
    <w:rsid w:val="00C9402D"/>
    <w:rsid w:val="00C94691"/>
    <w:rsid w:val="00C97698"/>
    <w:rsid w:val="00CA027A"/>
    <w:rsid w:val="00CA2398"/>
    <w:rsid w:val="00CA453D"/>
    <w:rsid w:val="00CB3DC1"/>
    <w:rsid w:val="00CB41B6"/>
    <w:rsid w:val="00CC0CC0"/>
    <w:rsid w:val="00CC0E78"/>
    <w:rsid w:val="00CC3B01"/>
    <w:rsid w:val="00CC6D45"/>
    <w:rsid w:val="00CC7A45"/>
    <w:rsid w:val="00CD000E"/>
    <w:rsid w:val="00CD1DCE"/>
    <w:rsid w:val="00CD3A89"/>
    <w:rsid w:val="00CD67A6"/>
    <w:rsid w:val="00CE6A9A"/>
    <w:rsid w:val="00CE6E09"/>
    <w:rsid w:val="00CE79CB"/>
    <w:rsid w:val="00CF05C4"/>
    <w:rsid w:val="00CF3575"/>
    <w:rsid w:val="00CF5023"/>
    <w:rsid w:val="00CF6EB9"/>
    <w:rsid w:val="00CF759F"/>
    <w:rsid w:val="00D00251"/>
    <w:rsid w:val="00D00D19"/>
    <w:rsid w:val="00D02129"/>
    <w:rsid w:val="00D02D29"/>
    <w:rsid w:val="00D03FE2"/>
    <w:rsid w:val="00D041D6"/>
    <w:rsid w:val="00D047D5"/>
    <w:rsid w:val="00D04BDD"/>
    <w:rsid w:val="00D04C2C"/>
    <w:rsid w:val="00D12C4A"/>
    <w:rsid w:val="00D12E70"/>
    <w:rsid w:val="00D13602"/>
    <w:rsid w:val="00D148CB"/>
    <w:rsid w:val="00D15099"/>
    <w:rsid w:val="00D16A4B"/>
    <w:rsid w:val="00D22F1B"/>
    <w:rsid w:val="00D26078"/>
    <w:rsid w:val="00D26106"/>
    <w:rsid w:val="00D26BFC"/>
    <w:rsid w:val="00D27903"/>
    <w:rsid w:val="00D3006D"/>
    <w:rsid w:val="00D3201E"/>
    <w:rsid w:val="00D35A30"/>
    <w:rsid w:val="00D41D11"/>
    <w:rsid w:val="00D4309B"/>
    <w:rsid w:val="00D50BDB"/>
    <w:rsid w:val="00D517D6"/>
    <w:rsid w:val="00D52684"/>
    <w:rsid w:val="00D5439A"/>
    <w:rsid w:val="00D54684"/>
    <w:rsid w:val="00D5542B"/>
    <w:rsid w:val="00D5659F"/>
    <w:rsid w:val="00D57CF5"/>
    <w:rsid w:val="00D62D4B"/>
    <w:rsid w:val="00D634ED"/>
    <w:rsid w:val="00D63F9E"/>
    <w:rsid w:val="00D65D15"/>
    <w:rsid w:val="00D666CB"/>
    <w:rsid w:val="00D70C26"/>
    <w:rsid w:val="00D7284C"/>
    <w:rsid w:val="00D7580E"/>
    <w:rsid w:val="00D80B05"/>
    <w:rsid w:val="00D81172"/>
    <w:rsid w:val="00D81DBC"/>
    <w:rsid w:val="00D91545"/>
    <w:rsid w:val="00D922AA"/>
    <w:rsid w:val="00D948E4"/>
    <w:rsid w:val="00D94A2E"/>
    <w:rsid w:val="00D97937"/>
    <w:rsid w:val="00DA0DF1"/>
    <w:rsid w:val="00DA6CCA"/>
    <w:rsid w:val="00DB2039"/>
    <w:rsid w:val="00DB359C"/>
    <w:rsid w:val="00DB371A"/>
    <w:rsid w:val="00DB7E12"/>
    <w:rsid w:val="00DC00D2"/>
    <w:rsid w:val="00DC197E"/>
    <w:rsid w:val="00DC1C09"/>
    <w:rsid w:val="00DC2EC9"/>
    <w:rsid w:val="00DC378D"/>
    <w:rsid w:val="00DC5D15"/>
    <w:rsid w:val="00DC769A"/>
    <w:rsid w:val="00DC775B"/>
    <w:rsid w:val="00DC7BAF"/>
    <w:rsid w:val="00DD143B"/>
    <w:rsid w:val="00DD1716"/>
    <w:rsid w:val="00DD3570"/>
    <w:rsid w:val="00DD4108"/>
    <w:rsid w:val="00DD5376"/>
    <w:rsid w:val="00DD6C31"/>
    <w:rsid w:val="00DD6C3B"/>
    <w:rsid w:val="00DD7A4C"/>
    <w:rsid w:val="00DD7F17"/>
    <w:rsid w:val="00DE009B"/>
    <w:rsid w:val="00DE3E01"/>
    <w:rsid w:val="00DE6F4A"/>
    <w:rsid w:val="00DE7632"/>
    <w:rsid w:val="00DF239F"/>
    <w:rsid w:val="00DF27D4"/>
    <w:rsid w:val="00DF3523"/>
    <w:rsid w:val="00DF4B79"/>
    <w:rsid w:val="00DF69DF"/>
    <w:rsid w:val="00E03D07"/>
    <w:rsid w:val="00E03DD2"/>
    <w:rsid w:val="00E10CCD"/>
    <w:rsid w:val="00E11A00"/>
    <w:rsid w:val="00E13280"/>
    <w:rsid w:val="00E157A4"/>
    <w:rsid w:val="00E16946"/>
    <w:rsid w:val="00E173F6"/>
    <w:rsid w:val="00E179DC"/>
    <w:rsid w:val="00E21638"/>
    <w:rsid w:val="00E22CA6"/>
    <w:rsid w:val="00E2301D"/>
    <w:rsid w:val="00E24651"/>
    <w:rsid w:val="00E31C25"/>
    <w:rsid w:val="00E339BC"/>
    <w:rsid w:val="00E3447B"/>
    <w:rsid w:val="00E408AC"/>
    <w:rsid w:val="00E420B8"/>
    <w:rsid w:val="00E437DE"/>
    <w:rsid w:val="00E477B4"/>
    <w:rsid w:val="00E601AA"/>
    <w:rsid w:val="00E64C5A"/>
    <w:rsid w:val="00E71674"/>
    <w:rsid w:val="00E72FBE"/>
    <w:rsid w:val="00E7450D"/>
    <w:rsid w:val="00E74799"/>
    <w:rsid w:val="00E77E57"/>
    <w:rsid w:val="00E86A57"/>
    <w:rsid w:val="00E873A2"/>
    <w:rsid w:val="00E9112D"/>
    <w:rsid w:val="00E94D7E"/>
    <w:rsid w:val="00EA21E5"/>
    <w:rsid w:val="00EA569B"/>
    <w:rsid w:val="00EA638D"/>
    <w:rsid w:val="00EA6655"/>
    <w:rsid w:val="00EB0847"/>
    <w:rsid w:val="00EB36CD"/>
    <w:rsid w:val="00EB44EA"/>
    <w:rsid w:val="00EC0E3C"/>
    <w:rsid w:val="00EC39CD"/>
    <w:rsid w:val="00EC3A74"/>
    <w:rsid w:val="00EC4194"/>
    <w:rsid w:val="00EC6308"/>
    <w:rsid w:val="00EC6F8F"/>
    <w:rsid w:val="00EC7230"/>
    <w:rsid w:val="00EC7C91"/>
    <w:rsid w:val="00ED277F"/>
    <w:rsid w:val="00ED6CC5"/>
    <w:rsid w:val="00ED7793"/>
    <w:rsid w:val="00EE046B"/>
    <w:rsid w:val="00EE4AB7"/>
    <w:rsid w:val="00EF2696"/>
    <w:rsid w:val="00EF647D"/>
    <w:rsid w:val="00EF7F14"/>
    <w:rsid w:val="00F040F3"/>
    <w:rsid w:val="00F046AB"/>
    <w:rsid w:val="00F052B6"/>
    <w:rsid w:val="00F077D2"/>
    <w:rsid w:val="00F12FE2"/>
    <w:rsid w:val="00F14ED8"/>
    <w:rsid w:val="00F15212"/>
    <w:rsid w:val="00F17628"/>
    <w:rsid w:val="00F20050"/>
    <w:rsid w:val="00F20E95"/>
    <w:rsid w:val="00F236C8"/>
    <w:rsid w:val="00F248CE"/>
    <w:rsid w:val="00F26A86"/>
    <w:rsid w:val="00F27362"/>
    <w:rsid w:val="00F30C7B"/>
    <w:rsid w:val="00F3175C"/>
    <w:rsid w:val="00F41609"/>
    <w:rsid w:val="00F419DB"/>
    <w:rsid w:val="00F43844"/>
    <w:rsid w:val="00F43CEA"/>
    <w:rsid w:val="00F44791"/>
    <w:rsid w:val="00F4486E"/>
    <w:rsid w:val="00F45827"/>
    <w:rsid w:val="00F45F76"/>
    <w:rsid w:val="00F5187F"/>
    <w:rsid w:val="00F525DF"/>
    <w:rsid w:val="00F52DAD"/>
    <w:rsid w:val="00F57DF8"/>
    <w:rsid w:val="00F609DB"/>
    <w:rsid w:val="00F64657"/>
    <w:rsid w:val="00F676FF"/>
    <w:rsid w:val="00F70577"/>
    <w:rsid w:val="00F710E9"/>
    <w:rsid w:val="00F71A4B"/>
    <w:rsid w:val="00F72414"/>
    <w:rsid w:val="00F7318C"/>
    <w:rsid w:val="00F74201"/>
    <w:rsid w:val="00F76BF1"/>
    <w:rsid w:val="00F81A25"/>
    <w:rsid w:val="00F82807"/>
    <w:rsid w:val="00F82BD6"/>
    <w:rsid w:val="00F83712"/>
    <w:rsid w:val="00F9057F"/>
    <w:rsid w:val="00F90FAD"/>
    <w:rsid w:val="00F912FA"/>
    <w:rsid w:val="00F91380"/>
    <w:rsid w:val="00F930CB"/>
    <w:rsid w:val="00F942AF"/>
    <w:rsid w:val="00F969C3"/>
    <w:rsid w:val="00FA7C5B"/>
    <w:rsid w:val="00FB08BF"/>
    <w:rsid w:val="00FB1043"/>
    <w:rsid w:val="00FB16DD"/>
    <w:rsid w:val="00FB2AB4"/>
    <w:rsid w:val="00FB3F99"/>
    <w:rsid w:val="00FB5B39"/>
    <w:rsid w:val="00FB5D85"/>
    <w:rsid w:val="00FB78BE"/>
    <w:rsid w:val="00FC0D57"/>
    <w:rsid w:val="00FC1731"/>
    <w:rsid w:val="00FC45D6"/>
    <w:rsid w:val="00FC4DA9"/>
    <w:rsid w:val="00FC7313"/>
    <w:rsid w:val="00FD00D9"/>
    <w:rsid w:val="00FD1153"/>
    <w:rsid w:val="00FD371B"/>
    <w:rsid w:val="00FD4D10"/>
    <w:rsid w:val="00FD7D43"/>
    <w:rsid w:val="00FE3409"/>
    <w:rsid w:val="00FE5EFC"/>
    <w:rsid w:val="00FE63B9"/>
    <w:rsid w:val="00FF4350"/>
    <w:rsid w:val="00FF474B"/>
    <w:rsid w:val="00FF79C8"/>
    <w:rsid w:val="00FF7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70EF6E"/>
  <w14:defaultImageDpi w14:val="300"/>
  <w15:docId w15:val="{26282759-299F-8C44-91AC-685F1218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1064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6322B"/>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qFormat/>
    <w:rsid w:val="00E74799"/>
    <w:pPr>
      <w:keepNext/>
      <w:outlineLvl w:val="6"/>
    </w:pPr>
    <w:rPr>
      <w:rFonts w:ascii="Arial" w:eastAsia="Times New Roman" w:hAnsi="Arial" w:cs="Times New Roman"/>
      <w:bCs/>
      <w:sz w:val="22"/>
      <w:u w:val="single"/>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91195E"/>
    <w:pPr>
      <w:widowControl w:val="0"/>
      <w:tabs>
        <w:tab w:val="center" w:pos="4153"/>
        <w:tab w:val="right" w:pos="8306"/>
      </w:tabs>
      <w:spacing w:after="20"/>
      <w:jc w:val="both"/>
    </w:pPr>
    <w:rPr>
      <w:rFonts w:ascii="Times New Roman" w:eastAsia="Times New Roman" w:hAnsi="Times New Roman" w:cs="Times New Roman"/>
      <w:szCs w:val="20"/>
      <w:lang w:val="lt-LT" w:eastAsia="lt-LT"/>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91195E"/>
    <w:rPr>
      <w:rFonts w:ascii="Times New Roman" w:eastAsia="Times New Roman" w:hAnsi="Times New Roman" w:cs="Times New Roman"/>
      <w:szCs w:val="20"/>
      <w:lang w:val="lt-LT" w:eastAsia="lt-LT"/>
    </w:rPr>
  </w:style>
  <w:style w:type="paragraph" w:styleId="NoSpacing">
    <w:name w:val="No Spacing"/>
    <w:uiPriority w:val="1"/>
    <w:qFormat/>
    <w:rsid w:val="004C6C8A"/>
    <w:rPr>
      <w:rFonts w:ascii="Calibri" w:eastAsia="Calibri" w:hAnsi="Calibri" w:cs="Times New Roman"/>
      <w:sz w:val="22"/>
      <w:szCs w:val="22"/>
    </w:rPr>
  </w:style>
  <w:style w:type="character" w:customStyle="1" w:styleId="Heading7Char">
    <w:name w:val="Heading 7 Char"/>
    <w:basedOn w:val="DefaultParagraphFont"/>
    <w:link w:val="Heading7"/>
    <w:rsid w:val="00E74799"/>
    <w:rPr>
      <w:rFonts w:ascii="Arial" w:eastAsia="Times New Roman" w:hAnsi="Arial" w:cs="Times New Roman"/>
      <w:bCs/>
      <w:sz w:val="22"/>
      <w:u w:val="single"/>
      <w:lang w:val="lt-LT" w:eastAsia="lt-LT"/>
    </w:rPr>
  </w:style>
  <w:style w:type="paragraph" w:customStyle="1" w:styleId="DiagramaDiagrama9">
    <w:name w:val="Diagrama Diagrama9"/>
    <w:basedOn w:val="Normal"/>
    <w:rsid w:val="00E74799"/>
    <w:pPr>
      <w:spacing w:after="160" w:line="240" w:lineRule="exact"/>
    </w:pPr>
    <w:rPr>
      <w:rFonts w:ascii="Verdana" w:eastAsia="Times New Roman" w:hAnsi="Verdana" w:cs="Times New Roman"/>
      <w:sz w:val="20"/>
      <w:szCs w:val="20"/>
      <w:lang w:eastAsia="lt-LT"/>
    </w:rPr>
  </w:style>
  <w:style w:type="paragraph" w:styleId="BodyText">
    <w:name w:val="Body Text"/>
    <w:basedOn w:val="Normal"/>
    <w:link w:val="BodyTextChar"/>
    <w:rsid w:val="00E74799"/>
    <w:rPr>
      <w:rFonts w:ascii="Arial" w:eastAsia="Times New Roman" w:hAnsi="Arial" w:cs="Times New Roman"/>
      <w:sz w:val="22"/>
      <w:lang w:val="lt-LT" w:eastAsia="lt-LT"/>
    </w:rPr>
  </w:style>
  <w:style w:type="character" w:customStyle="1" w:styleId="BodyTextChar">
    <w:name w:val="Body Text Char"/>
    <w:basedOn w:val="DefaultParagraphFont"/>
    <w:link w:val="BodyText"/>
    <w:rsid w:val="00E74799"/>
    <w:rPr>
      <w:rFonts w:ascii="Arial" w:eastAsia="Times New Roman" w:hAnsi="Arial" w:cs="Times New Roman"/>
      <w:sz w:val="22"/>
      <w:lang w:val="lt-LT"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680220"/>
    <w:pPr>
      <w:ind w:left="720"/>
      <w:contextualSpacing/>
    </w:pPr>
  </w:style>
  <w:style w:type="character" w:customStyle="1" w:styleId="Heading4Char">
    <w:name w:val="Heading 4 Char"/>
    <w:basedOn w:val="DefaultParagraphFont"/>
    <w:link w:val="Heading4"/>
    <w:uiPriority w:val="9"/>
    <w:semiHidden/>
    <w:rsid w:val="0026322B"/>
    <w:rPr>
      <w:rFonts w:asciiTheme="majorHAnsi" w:eastAsiaTheme="majorEastAsia" w:hAnsiTheme="majorHAnsi" w:cstheme="majorBidi"/>
      <w:b/>
      <w:bCs/>
      <w:i/>
      <w:iCs/>
      <w:color w:val="4F81BD" w:themeColor="accent1"/>
    </w:rPr>
  </w:style>
  <w:style w:type="table" w:styleId="TableGrid">
    <w:name w:val="Table Grid"/>
    <w:basedOn w:val="TableNormal"/>
    <w:rsid w:val="00C6487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7297D"/>
    <w:pPr>
      <w:tabs>
        <w:tab w:val="center" w:pos="4536"/>
        <w:tab w:val="right" w:pos="9072"/>
      </w:tabs>
    </w:pPr>
    <w:rPr>
      <w:rFonts w:ascii="Times New Roman" w:eastAsia="Times New Roman" w:hAnsi="Times New Roman" w:cs="Times New Roman"/>
      <w:lang w:val="lt-LT" w:eastAsia="lt-LT"/>
    </w:rPr>
  </w:style>
  <w:style w:type="character" w:customStyle="1" w:styleId="FooterChar">
    <w:name w:val="Footer Char"/>
    <w:basedOn w:val="DefaultParagraphFont"/>
    <w:link w:val="Footer"/>
    <w:uiPriority w:val="99"/>
    <w:rsid w:val="0047297D"/>
    <w:rPr>
      <w:rFonts w:ascii="Times New Roman" w:eastAsia="Times New Roman" w:hAnsi="Times New Roman" w:cs="Times New Roman"/>
      <w:lang w:val="lt-LT" w:eastAsia="lt-LT"/>
    </w:rPr>
  </w:style>
  <w:style w:type="paragraph" w:customStyle="1" w:styleId="DiagramaDiagrama90">
    <w:name w:val="Diagrama Diagrama9"/>
    <w:basedOn w:val="Normal"/>
    <w:rsid w:val="00C652B6"/>
    <w:pPr>
      <w:spacing w:after="160" w:line="240" w:lineRule="exact"/>
    </w:pPr>
    <w:rPr>
      <w:rFonts w:ascii="Verdana" w:eastAsia="Times New Roman" w:hAnsi="Verdana" w:cs="Times New Roman"/>
      <w:sz w:val="20"/>
      <w:szCs w:val="20"/>
      <w:lang w:eastAsia="lt-LT"/>
    </w:rPr>
  </w:style>
  <w:style w:type="paragraph" w:customStyle="1" w:styleId="DiagramaDiagrama91">
    <w:name w:val="Diagrama Diagrama9"/>
    <w:basedOn w:val="Normal"/>
    <w:rsid w:val="00AF5AFD"/>
    <w:pPr>
      <w:spacing w:after="160" w:line="240" w:lineRule="exact"/>
    </w:pPr>
    <w:rPr>
      <w:rFonts w:ascii="Verdana" w:eastAsia="Times New Roman" w:hAnsi="Verdana" w:cs="Times New Roman"/>
      <w:sz w:val="20"/>
      <w:szCs w:val="20"/>
      <w:lang w:eastAsia="lt-LT"/>
    </w:rPr>
  </w:style>
  <w:style w:type="character" w:customStyle="1" w:styleId="Heading3Char">
    <w:name w:val="Heading 3 Char"/>
    <w:basedOn w:val="DefaultParagraphFont"/>
    <w:link w:val="Heading3"/>
    <w:rsid w:val="0041064F"/>
    <w:rPr>
      <w:rFonts w:asciiTheme="majorHAnsi" w:eastAsiaTheme="majorEastAsia" w:hAnsiTheme="majorHAnsi" w:cstheme="majorBidi"/>
      <w:b/>
      <w:bCs/>
      <w:color w:val="4F81BD" w:themeColor="accent1"/>
    </w:rPr>
  </w:style>
  <w:style w:type="character" w:styleId="Emphasis">
    <w:name w:val="Emphasis"/>
    <w:qFormat/>
    <w:rsid w:val="00EF2696"/>
    <w:rPr>
      <w:i/>
      <w:iCs/>
    </w:rPr>
  </w:style>
  <w:style w:type="paragraph" w:customStyle="1" w:styleId="Body2">
    <w:name w:val="Body 2"/>
    <w:rsid w:val="00E03D07"/>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CC6D45"/>
  </w:style>
  <w:style w:type="paragraph" w:styleId="NormalWeb">
    <w:name w:val="Normal (Web)"/>
    <w:basedOn w:val="Normal"/>
    <w:uiPriority w:val="99"/>
    <w:semiHidden/>
    <w:unhideWhenUsed/>
    <w:rsid w:val="00F9057F"/>
    <w:pPr>
      <w:spacing w:before="100" w:beforeAutospacing="1" w:after="100" w:afterAutospacing="1"/>
    </w:pPr>
    <w:rPr>
      <w:rFonts w:ascii="Times New Roman" w:eastAsia="Times New Roman" w:hAnsi="Times New Roman" w:cs="Times New Roman"/>
      <w:lang w:eastAsia="en-GB"/>
    </w:rPr>
  </w:style>
  <w:style w:type="character" w:styleId="Hyperlink">
    <w:name w:val="Hyperlink"/>
    <w:uiPriority w:val="99"/>
    <w:rsid w:val="0019336A"/>
    <w:rPr>
      <w:color w:val="0000FF"/>
      <w:u w:val="single"/>
    </w:rPr>
  </w:style>
  <w:style w:type="character" w:styleId="FollowedHyperlink">
    <w:name w:val="FollowedHyperlink"/>
    <w:basedOn w:val="DefaultParagraphFont"/>
    <w:uiPriority w:val="99"/>
    <w:semiHidden/>
    <w:unhideWhenUsed/>
    <w:rsid w:val="00F609DB"/>
    <w:rPr>
      <w:color w:val="800080" w:themeColor="followedHyperlink"/>
      <w:u w:val="single"/>
    </w:rPr>
  </w:style>
  <w:style w:type="character" w:styleId="IntenseEmphasis">
    <w:name w:val="Intense Emphasis"/>
    <w:basedOn w:val="DefaultParagraphFont"/>
    <w:uiPriority w:val="21"/>
    <w:qFormat/>
    <w:rsid w:val="00F7318C"/>
    <w:rPr>
      <w:i/>
      <w:iCs/>
      <w:color w:val="365F91" w:themeColor="accent1" w:themeShade="BF"/>
    </w:rPr>
  </w:style>
  <w:style w:type="character" w:customStyle="1" w:styleId="apple-converted-space">
    <w:name w:val="apple-converted-space"/>
    <w:basedOn w:val="DefaultParagraphFont"/>
    <w:rsid w:val="005D2A39"/>
  </w:style>
  <w:style w:type="character" w:styleId="CommentReference">
    <w:name w:val="annotation reference"/>
    <w:basedOn w:val="DefaultParagraphFont"/>
    <w:uiPriority w:val="99"/>
    <w:semiHidden/>
    <w:unhideWhenUsed/>
    <w:rsid w:val="00E873A2"/>
    <w:rPr>
      <w:sz w:val="16"/>
      <w:szCs w:val="16"/>
    </w:rPr>
  </w:style>
  <w:style w:type="paragraph" w:styleId="CommentText">
    <w:name w:val="annotation text"/>
    <w:basedOn w:val="Normal"/>
    <w:link w:val="CommentTextChar"/>
    <w:uiPriority w:val="99"/>
    <w:unhideWhenUsed/>
    <w:rsid w:val="00E873A2"/>
    <w:rPr>
      <w:sz w:val="20"/>
      <w:szCs w:val="20"/>
    </w:rPr>
  </w:style>
  <w:style w:type="character" w:customStyle="1" w:styleId="CommentTextChar">
    <w:name w:val="Comment Text Char"/>
    <w:basedOn w:val="DefaultParagraphFont"/>
    <w:link w:val="CommentText"/>
    <w:uiPriority w:val="99"/>
    <w:rsid w:val="00E873A2"/>
    <w:rPr>
      <w:sz w:val="20"/>
      <w:szCs w:val="20"/>
    </w:rPr>
  </w:style>
  <w:style w:type="paragraph" w:styleId="CommentSubject">
    <w:name w:val="annotation subject"/>
    <w:basedOn w:val="CommentText"/>
    <w:next w:val="CommentText"/>
    <w:link w:val="CommentSubjectChar"/>
    <w:uiPriority w:val="99"/>
    <w:semiHidden/>
    <w:unhideWhenUsed/>
    <w:rsid w:val="00E873A2"/>
    <w:rPr>
      <w:b/>
      <w:bCs/>
    </w:rPr>
  </w:style>
  <w:style w:type="character" w:customStyle="1" w:styleId="CommentSubjectChar">
    <w:name w:val="Comment Subject Char"/>
    <w:basedOn w:val="CommentTextChar"/>
    <w:link w:val="CommentSubject"/>
    <w:uiPriority w:val="99"/>
    <w:semiHidden/>
    <w:rsid w:val="00E873A2"/>
    <w:rPr>
      <w:b/>
      <w:bCs/>
      <w:sz w:val="20"/>
      <w:szCs w:val="20"/>
    </w:rPr>
  </w:style>
  <w:style w:type="character" w:styleId="UnresolvedMention">
    <w:name w:val="Unresolved Mention"/>
    <w:basedOn w:val="DefaultParagraphFont"/>
    <w:uiPriority w:val="99"/>
    <w:semiHidden/>
    <w:unhideWhenUsed/>
    <w:rsid w:val="009D3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9257">
      <w:bodyDiv w:val="1"/>
      <w:marLeft w:val="0"/>
      <w:marRight w:val="0"/>
      <w:marTop w:val="0"/>
      <w:marBottom w:val="0"/>
      <w:divBdr>
        <w:top w:val="none" w:sz="0" w:space="0" w:color="auto"/>
        <w:left w:val="none" w:sz="0" w:space="0" w:color="auto"/>
        <w:bottom w:val="none" w:sz="0" w:space="0" w:color="auto"/>
        <w:right w:val="none" w:sz="0" w:space="0" w:color="auto"/>
      </w:divBdr>
    </w:div>
    <w:div w:id="221797962">
      <w:bodyDiv w:val="1"/>
      <w:marLeft w:val="0"/>
      <w:marRight w:val="0"/>
      <w:marTop w:val="0"/>
      <w:marBottom w:val="0"/>
      <w:divBdr>
        <w:top w:val="none" w:sz="0" w:space="0" w:color="auto"/>
        <w:left w:val="none" w:sz="0" w:space="0" w:color="auto"/>
        <w:bottom w:val="none" w:sz="0" w:space="0" w:color="auto"/>
        <w:right w:val="none" w:sz="0" w:space="0" w:color="auto"/>
      </w:divBdr>
    </w:div>
    <w:div w:id="1192918600">
      <w:bodyDiv w:val="1"/>
      <w:marLeft w:val="0"/>
      <w:marRight w:val="0"/>
      <w:marTop w:val="0"/>
      <w:marBottom w:val="0"/>
      <w:divBdr>
        <w:top w:val="none" w:sz="0" w:space="0" w:color="auto"/>
        <w:left w:val="none" w:sz="0" w:space="0" w:color="auto"/>
        <w:bottom w:val="none" w:sz="0" w:space="0" w:color="auto"/>
        <w:right w:val="none" w:sz="0" w:space="0" w:color="auto"/>
      </w:divBdr>
    </w:div>
    <w:div w:id="1292591225">
      <w:bodyDiv w:val="1"/>
      <w:marLeft w:val="0"/>
      <w:marRight w:val="0"/>
      <w:marTop w:val="0"/>
      <w:marBottom w:val="0"/>
      <w:divBdr>
        <w:top w:val="none" w:sz="0" w:space="0" w:color="auto"/>
        <w:left w:val="none" w:sz="0" w:space="0" w:color="auto"/>
        <w:bottom w:val="none" w:sz="0" w:space="0" w:color="auto"/>
        <w:right w:val="none" w:sz="0" w:space="0" w:color="auto"/>
      </w:divBdr>
      <w:divsChild>
        <w:div w:id="2096507870">
          <w:marLeft w:val="0"/>
          <w:marRight w:val="0"/>
          <w:marTop w:val="0"/>
          <w:marBottom w:val="0"/>
          <w:divBdr>
            <w:top w:val="none" w:sz="0" w:space="0" w:color="auto"/>
            <w:left w:val="none" w:sz="0" w:space="0" w:color="auto"/>
            <w:bottom w:val="none" w:sz="0" w:space="0" w:color="auto"/>
            <w:right w:val="none" w:sz="0" w:space="0" w:color="auto"/>
          </w:divBdr>
        </w:div>
        <w:div w:id="181172391">
          <w:marLeft w:val="0"/>
          <w:marRight w:val="0"/>
          <w:marTop w:val="0"/>
          <w:marBottom w:val="0"/>
          <w:divBdr>
            <w:top w:val="none" w:sz="0" w:space="0" w:color="auto"/>
            <w:left w:val="none" w:sz="0" w:space="0" w:color="auto"/>
            <w:bottom w:val="none" w:sz="0" w:space="0" w:color="auto"/>
            <w:right w:val="none" w:sz="0" w:space="0" w:color="auto"/>
          </w:divBdr>
        </w:div>
        <w:div w:id="1186213335">
          <w:marLeft w:val="0"/>
          <w:marRight w:val="0"/>
          <w:marTop w:val="0"/>
          <w:marBottom w:val="0"/>
          <w:divBdr>
            <w:top w:val="none" w:sz="0" w:space="0" w:color="auto"/>
            <w:left w:val="none" w:sz="0" w:space="0" w:color="auto"/>
            <w:bottom w:val="none" w:sz="0" w:space="0" w:color="auto"/>
            <w:right w:val="none" w:sz="0" w:space="0" w:color="auto"/>
          </w:divBdr>
        </w:div>
        <w:div w:id="136144475">
          <w:marLeft w:val="0"/>
          <w:marRight w:val="0"/>
          <w:marTop w:val="0"/>
          <w:marBottom w:val="0"/>
          <w:divBdr>
            <w:top w:val="none" w:sz="0" w:space="0" w:color="auto"/>
            <w:left w:val="none" w:sz="0" w:space="0" w:color="auto"/>
            <w:bottom w:val="none" w:sz="0" w:space="0" w:color="auto"/>
            <w:right w:val="none" w:sz="0" w:space="0" w:color="auto"/>
          </w:divBdr>
          <w:divsChild>
            <w:div w:id="870918087">
              <w:marLeft w:val="0"/>
              <w:marRight w:val="0"/>
              <w:marTop w:val="0"/>
              <w:marBottom w:val="0"/>
              <w:divBdr>
                <w:top w:val="none" w:sz="0" w:space="0" w:color="auto"/>
                <w:left w:val="none" w:sz="0" w:space="0" w:color="auto"/>
                <w:bottom w:val="none" w:sz="0" w:space="0" w:color="auto"/>
                <w:right w:val="none" w:sz="0" w:space="0" w:color="auto"/>
              </w:divBdr>
            </w:div>
            <w:div w:id="516969172">
              <w:marLeft w:val="0"/>
              <w:marRight w:val="0"/>
              <w:marTop w:val="0"/>
              <w:marBottom w:val="0"/>
              <w:divBdr>
                <w:top w:val="none" w:sz="0" w:space="0" w:color="auto"/>
                <w:left w:val="none" w:sz="0" w:space="0" w:color="auto"/>
                <w:bottom w:val="none" w:sz="0" w:space="0" w:color="auto"/>
                <w:right w:val="none" w:sz="0" w:space="0" w:color="auto"/>
              </w:divBdr>
            </w:div>
            <w:div w:id="879703027">
              <w:marLeft w:val="0"/>
              <w:marRight w:val="0"/>
              <w:marTop w:val="0"/>
              <w:marBottom w:val="0"/>
              <w:divBdr>
                <w:top w:val="none" w:sz="0" w:space="0" w:color="auto"/>
                <w:left w:val="none" w:sz="0" w:space="0" w:color="auto"/>
                <w:bottom w:val="none" w:sz="0" w:space="0" w:color="auto"/>
                <w:right w:val="none" w:sz="0" w:space="0" w:color="auto"/>
              </w:divBdr>
            </w:div>
            <w:div w:id="4389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skyrius|c6f42a81-bb89-4be3-9a95-2e5b672ae452;Bendrųjų reikalų skyrius|98e1b560-c021-41d6-9632-b7f5b05ae6e9</a14285f26a0b45bfa54ed9a05aaa3ab1>
    <DmsRegDoc xmlns="4b2e9d09-07c5-42d4-ad0a-92e216c40b99">327031</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57521137c339ce396808eda07d5a1c83">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d072d3bc83bf5f89f288bc078e0d807c"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05A03-481D-4AE9-8632-3D452D28FF4B}">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73431091-DCB1-4FDF-9717-5DBC76E1559B}">
  <ds:schemaRefs>
    <ds:schemaRef ds:uri="http://schemas.microsoft.com/sharepoint/v3/contenttype/forms"/>
  </ds:schemaRefs>
</ds:datastoreItem>
</file>

<file path=customXml/itemProps3.xml><?xml version="1.0" encoding="utf-8"?>
<ds:datastoreItem xmlns:ds="http://schemas.openxmlformats.org/officeDocument/2006/customXml" ds:itemID="{C849F5D4-E900-4658-86BA-9D78BDBD6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D3DF0C-41A7-BC4C-B15C-F563922C1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3</Pages>
  <Words>4254</Words>
  <Characters>2426</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 I DALIS PASTABOS</vt:lpstr>
      <vt:lpstr>TECHNINĖ SPECIFIKACIJA I DALIS PASTABOS</vt:lpstr>
    </vt:vector>
  </TitlesOfParts>
  <Manager/>
  <Company/>
  <LinksUpToDate>false</LinksUpToDate>
  <CharactersWithSpaces>6667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 I DALIS PASTABOS</dc:title>
  <dc:creator>Miroslav Prokopovič</dc:creator>
  <cp:lastModifiedBy>Miroslav Prokopovič</cp:lastModifiedBy>
  <cp:revision>62</cp:revision>
  <dcterms:created xsi:type="dcterms:W3CDTF">2025-10-17T09:54:00Z</dcterms:created>
  <dcterms:modified xsi:type="dcterms:W3CDTF">2026-02-12T17:36:00Z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4" name="TaxCatchAll">
    <vt:lpwstr>4358;#Švietimo ir mokslo projektų skyrius|c6f42a81-bb89-4be3-9a95-2e5b672ae452;#3465;#Pirkimų ir pažeidimų prevencijos skyrius|910dd03e-a0db-46f4-af07-603a3c0d6728</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Narmontienė;#656;#Giedrius Uogelė;#790;#Lina Jucytė;#803;#i:0#.w|cpma\neringa-sa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115879</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120129</vt:lpwstr>
  </property>
</Properties>
</file>