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7187B7" w14:textId="77777777" w:rsidR="003E56E1" w:rsidRPr="00F05E4C" w:rsidRDefault="003E56E1" w:rsidP="003E56E1">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t>Kiekvienai pirkimo daliai bus sudaroma atskira sutartis</w:t>
      </w: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06745" w14:textId="77777777" w:rsidR="003E56E1" w:rsidRDefault="003E56E1" w:rsidP="003E56E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0B3709C" w14:textId="2A33D00D" w:rsidR="003E56E1" w:rsidRPr="00CE2264" w:rsidRDefault="003E56E1" w:rsidP="003E56E1">
            <w:pPr>
              <w:pStyle w:val="Betarp"/>
              <w:tabs>
                <w:tab w:val="left" w:pos="993"/>
              </w:tabs>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Autobusų sustojimo stotelės su paviljonu</w:t>
            </w:r>
            <w:r w:rsidR="00F62D9F">
              <w:rPr>
                <w:rStyle w:val="normaltextrun"/>
                <w:rFonts w:ascii="Arial" w:hAnsi="Arial" w:cs="Arial"/>
                <w:sz w:val="24"/>
                <w:szCs w:val="24"/>
                <w:shd w:val="clear" w:color="auto" w:fill="FFFFFF"/>
              </w:rPr>
              <w:t xml:space="preserve"> </w:t>
            </w:r>
            <w:r w:rsidR="00F62D9F" w:rsidRPr="00970A0B">
              <w:rPr>
                <w:rStyle w:val="normaltextrun"/>
                <w:rFonts w:ascii="Arial" w:hAnsi="Arial" w:cs="Arial"/>
                <w:sz w:val="24"/>
                <w:szCs w:val="24"/>
                <w:shd w:val="clear" w:color="auto" w:fill="FFFFFF"/>
              </w:rPr>
              <w:t>adresu:</w:t>
            </w:r>
            <w:r w:rsidRPr="00CE2264">
              <w:rPr>
                <w:rStyle w:val="normaltextrun"/>
                <w:rFonts w:ascii="Arial" w:hAnsi="Arial" w:cs="Arial"/>
                <w:sz w:val="24"/>
                <w:szCs w:val="24"/>
                <w:shd w:val="clear" w:color="auto" w:fill="FFFFFF"/>
              </w:rPr>
              <w:t xml:space="preserve"> Klaipėdos raj</w:t>
            </w:r>
            <w:r w:rsidR="00F62D9F">
              <w:rPr>
                <w:rStyle w:val="normaltextrun"/>
                <w:rFonts w:ascii="Arial" w:hAnsi="Arial" w:cs="Arial"/>
                <w:sz w:val="24"/>
                <w:szCs w:val="24"/>
                <w:shd w:val="clear" w:color="auto" w:fill="FFFFFF"/>
              </w:rPr>
              <w:t>onas</w:t>
            </w:r>
            <w:r w:rsidRPr="00CE2264">
              <w:rPr>
                <w:rStyle w:val="normaltextrun"/>
                <w:rFonts w:ascii="Arial" w:hAnsi="Arial" w:cs="Arial"/>
                <w:sz w:val="24"/>
                <w:szCs w:val="24"/>
                <w:shd w:val="clear" w:color="auto" w:fill="FFFFFF"/>
              </w:rPr>
              <w:t xml:space="preserve">, </w:t>
            </w:r>
            <w:proofErr w:type="spellStart"/>
            <w:r w:rsidRPr="00CE2264">
              <w:rPr>
                <w:rStyle w:val="normaltextrun"/>
                <w:rFonts w:ascii="Arial" w:hAnsi="Arial" w:cs="Arial"/>
                <w:sz w:val="24"/>
                <w:szCs w:val="24"/>
                <w:shd w:val="clear" w:color="auto" w:fill="FFFFFF"/>
              </w:rPr>
              <w:t>Kunkių</w:t>
            </w:r>
            <w:proofErr w:type="spellEnd"/>
            <w:r w:rsidRPr="00CE2264">
              <w:rPr>
                <w:rStyle w:val="normaltextrun"/>
                <w:rFonts w:ascii="Arial" w:hAnsi="Arial" w:cs="Arial"/>
                <w:sz w:val="24"/>
                <w:szCs w:val="24"/>
                <w:shd w:val="clear" w:color="auto" w:fill="FFFFFF"/>
              </w:rPr>
              <w:t xml:space="preserve"> k., </w:t>
            </w:r>
            <w:proofErr w:type="spellStart"/>
            <w:r w:rsidRPr="00CE2264">
              <w:rPr>
                <w:rStyle w:val="normaltextrun"/>
                <w:rFonts w:ascii="Arial" w:hAnsi="Arial" w:cs="Arial"/>
                <w:sz w:val="24"/>
                <w:szCs w:val="24"/>
                <w:shd w:val="clear" w:color="auto" w:fill="FFFFFF"/>
              </w:rPr>
              <w:t>Zeigių</w:t>
            </w:r>
            <w:proofErr w:type="spellEnd"/>
            <w:r w:rsidRPr="00CE2264">
              <w:rPr>
                <w:rStyle w:val="normaltextrun"/>
                <w:rFonts w:ascii="Arial" w:hAnsi="Arial" w:cs="Arial"/>
                <w:sz w:val="24"/>
                <w:szCs w:val="24"/>
                <w:shd w:val="clear" w:color="auto" w:fill="FFFFFF"/>
              </w:rPr>
              <w:t xml:space="preserve"> g., naujos statybos aprašo parengimas.</w:t>
            </w:r>
          </w:p>
          <w:p w14:paraId="2B87E9E8" w14:textId="4CF55A1E" w:rsidR="007B5E5C" w:rsidRPr="003E56E1" w:rsidRDefault="003E56E1" w:rsidP="003E56E1">
            <w:pPr>
              <w:pStyle w:val="Betarp"/>
              <w:tabs>
                <w:tab w:val="left" w:pos="993"/>
              </w:tabs>
              <w:spacing w:line="276" w:lineRule="auto"/>
              <w:contextualSpacing/>
              <w:jc w:val="both"/>
              <w:rPr>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F62D9F">
              <w:rPr>
                <w:rStyle w:val="normaltextrun"/>
                <w:rFonts w:ascii="Arial" w:hAnsi="Arial" w:cs="Arial"/>
                <w:sz w:val="24"/>
                <w:szCs w:val="24"/>
                <w:shd w:val="clear" w:color="auto" w:fill="FFFFFF"/>
              </w:rPr>
              <w:t>A</w:t>
            </w:r>
            <w:r w:rsidR="00F62D9F" w:rsidRPr="00CE2264">
              <w:rPr>
                <w:rStyle w:val="normaltextrun"/>
                <w:rFonts w:ascii="Arial" w:hAnsi="Arial" w:cs="Arial"/>
                <w:sz w:val="24"/>
                <w:szCs w:val="24"/>
                <w:shd w:val="clear" w:color="auto" w:fill="FFFFFF"/>
              </w:rPr>
              <w:t xml:space="preserve">utobusų sustojimo </w:t>
            </w:r>
            <w:r w:rsidR="00F62D9F">
              <w:rPr>
                <w:rStyle w:val="normaltextrun"/>
                <w:rFonts w:ascii="Arial" w:hAnsi="Arial" w:cs="Arial"/>
                <w:sz w:val="24"/>
                <w:szCs w:val="24"/>
                <w:shd w:val="clear" w:color="auto" w:fill="FFFFFF"/>
              </w:rPr>
              <w:t>g</w:t>
            </w:r>
            <w:r w:rsidRPr="00CE2264">
              <w:rPr>
                <w:rStyle w:val="normaltextrun"/>
                <w:rFonts w:ascii="Arial" w:hAnsi="Arial" w:cs="Arial"/>
                <w:sz w:val="24"/>
                <w:szCs w:val="24"/>
                <w:shd w:val="clear" w:color="auto" w:fill="FFFFFF"/>
              </w:rPr>
              <w:t>alinės/pradinės stotelės su apsisukimo žiedu, infrastruktūra vairuotojų poilsiui, stogine ir sanitariniu mazgu</w:t>
            </w:r>
            <w:r w:rsidR="00F62D9F">
              <w:rPr>
                <w:rStyle w:val="normaltextrun"/>
                <w:rFonts w:ascii="Arial" w:hAnsi="Arial" w:cs="Arial"/>
                <w:sz w:val="24"/>
                <w:szCs w:val="24"/>
                <w:shd w:val="clear" w:color="auto" w:fill="FFFFFF"/>
              </w:rPr>
              <w:t xml:space="preserve"> įrengimas</w:t>
            </w:r>
            <w:r w:rsidRPr="00CE2264">
              <w:rPr>
                <w:rStyle w:val="normaltextrun"/>
                <w:rFonts w:ascii="Arial" w:hAnsi="Arial" w:cs="Arial"/>
                <w:sz w:val="24"/>
                <w:szCs w:val="24"/>
                <w:shd w:val="clear" w:color="auto" w:fill="FFFFFF"/>
              </w:rPr>
              <w:t xml:space="preserve"> Klaipėdos raj. sav., Priekulės sen., </w:t>
            </w:r>
            <w:proofErr w:type="spellStart"/>
            <w:r w:rsidRPr="00CE2264">
              <w:rPr>
                <w:rStyle w:val="normaltextrun"/>
                <w:rFonts w:ascii="Arial" w:hAnsi="Arial" w:cs="Arial"/>
                <w:sz w:val="24"/>
                <w:szCs w:val="24"/>
                <w:shd w:val="clear" w:color="auto" w:fill="FFFFFF"/>
              </w:rPr>
              <w:t>Svencelės</w:t>
            </w:r>
            <w:proofErr w:type="spellEnd"/>
            <w:r w:rsidRPr="00CE2264">
              <w:rPr>
                <w:rStyle w:val="normaltextrun"/>
                <w:rFonts w:ascii="Arial" w:hAnsi="Arial" w:cs="Arial"/>
                <w:sz w:val="24"/>
                <w:szCs w:val="24"/>
                <w:shd w:val="clear" w:color="auto" w:fill="FFFFFF"/>
              </w:rPr>
              <w:t xml:space="preserve"> k., kelių (KL1235/KL8411) sankirtoje, naujos statybos techninio darbo projekto parengimo ir projekto vykdymo priežiūros paslaugos.  </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 xml:space="preserve">Jei Tiekėjas yra tiekėjų grupė, skiltys pildomos </w:t>
            </w:r>
            <w:r w:rsidRPr="00F05E4C">
              <w:rPr>
                <w:rFonts w:ascii="Arial" w:eastAsia="Times New Roman" w:hAnsi="Arial" w:cs="Arial"/>
                <w:i/>
                <w:iCs/>
                <w:sz w:val="24"/>
                <w:szCs w:val="24"/>
              </w:rPr>
              <w:lastRenderedPageBreak/>
              <w:t>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40E1DF68" w:rsidR="003E56E1" w:rsidRPr="00F05E4C" w:rsidRDefault="003E56E1" w:rsidP="003E56E1">
            <w:pPr>
              <w:pStyle w:val="Sraopastraipa"/>
              <w:tabs>
                <w:tab w:val="left" w:pos="993"/>
              </w:tabs>
              <w:ind w:left="0"/>
              <w:rPr>
                <w:rFonts w:ascii="Arial" w:hAnsi="Arial" w:cs="Arial"/>
                <w:szCs w:val="24"/>
              </w:rPr>
            </w:pPr>
            <w:r w:rsidRPr="003E56E1">
              <w:rPr>
                <w:rFonts w:ascii="Arial" w:hAnsi="Arial" w:cs="Arial"/>
                <w:szCs w:val="24"/>
              </w:rPr>
              <w:t>Jolanta Blinstrubienė,</w:t>
            </w:r>
            <w:r>
              <w:rPr>
                <w:rFonts w:ascii="Arial" w:hAnsi="Arial" w:cs="Arial"/>
                <w:szCs w:val="24"/>
              </w:rPr>
              <w:t xml:space="preserve"> </w:t>
            </w:r>
            <w:r w:rsidRPr="003E56E1">
              <w:rPr>
                <w:rFonts w:ascii="Arial" w:hAnsi="Arial" w:cs="Arial"/>
                <w:szCs w:val="24"/>
              </w:rPr>
              <w:t>Statybos ir kelių priežiūros  skyriaus specialistė</w:t>
            </w:r>
            <w:r>
              <w:rPr>
                <w:rFonts w:ascii="Arial" w:hAnsi="Arial" w:cs="Arial"/>
                <w:szCs w:val="24"/>
              </w:rPr>
              <w:t>, mob.tel.</w:t>
            </w:r>
            <w:r w:rsidRPr="003E56E1">
              <w:rPr>
                <w:rFonts w:ascii="Arial" w:hAnsi="Arial" w:cs="Arial"/>
                <w:szCs w:val="24"/>
              </w:rPr>
              <w:t xml:space="preserve"> +370 610 26069</w:t>
            </w:r>
            <w:r>
              <w:rPr>
                <w:rFonts w:ascii="Arial" w:hAnsi="Arial" w:cs="Arial"/>
                <w:szCs w:val="24"/>
              </w:rPr>
              <w:t>, el. paštas</w:t>
            </w:r>
            <w:r w:rsidRPr="003E56E1">
              <w:rPr>
                <w:rFonts w:ascii="Arial" w:hAnsi="Arial" w:cs="Arial"/>
                <w:szCs w:val="24"/>
              </w:rPr>
              <w:t xml:space="preserve"> </w:t>
            </w:r>
            <w:hyperlink r:id="rId12" w:history="1">
              <w:r w:rsidRPr="00292C80">
                <w:rPr>
                  <w:rStyle w:val="Hipersaitas"/>
                  <w:rFonts w:ascii="Arial" w:hAnsi="Arial" w:cs="Arial"/>
                  <w:szCs w:val="24"/>
                </w:rPr>
                <w:t>jolanta.blinstrubiene@klaipedos-r.lt</w:t>
              </w:r>
            </w:hyperlink>
            <w:r>
              <w:rPr>
                <w:rFonts w:ascii="Arial" w:hAnsi="Arial" w:cs="Arial"/>
                <w:szCs w:val="24"/>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4B8AD" w14:textId="00D943A6" w:rsidR="003E56E1" w:rsidRPr="003E56E1" w:rsidRDefault="003E56E1" w:rsidP="003E56E1">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52E810A" w14:textId="0526B4C4"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r w:rsidRPr="00F05E4C">
              <w:rPr>
                <w:rFonts w:ascii="Arial" w:eastAsia="Times New Roman" w:hAnsi="Arial" w:cs="Arial"/>
                <w:sz w:val="24"/>
                <w:szCs w:val="24"/>
              </w:rPr>
              <w:t xml:space="preserve">Tiekėjas įsipareigoja Sutartyje numatytomis sąlygomis suteikti Pirkėjui </w:t>
            </w:r>
            <w:r w:rsidR="003E56E1" w:rsidRPr="00CE2264">
              <w:rPr>
                <w:rStyle w:val="normaltextrun"/>
                <w:rFonts w:ascii="Arial" w:hAnsi="Arial" w:cs="Arial"/>
                <w:sz w:val="24"/>
                <w:szCs w:val="24"/>
                <w:shd w:val="clear" w:color="auto" w:fill="FFFFFF"/>
              </w:rPr>
              <w:t>Autobusų sustojimo stotelės su paviljonu</w:t>
            </w:r>
            <w:r w:rsidR="00F62D9F">
              <w:rPr>
                <w:rStyle w:val="normaltextrun"/>
                <w:rFonts w:ascii="Arial" w:hAnsi="Arial" w:cs="Arial"/>
                <w:sz w:val="24"/>
                <w:szCs w:val="24"/>
                <w:shd w:val="clear" w:color="auto" w:fill="FFFFFF"/>
              </w:rPr>
              <w:t xml:space="preserve"> adresu</w:t>
            </w:r>
            <w:r w:rsidR="003E56E1" w:rsidRPr="00CE2264">
              <w:rPr>
                <w:rStyle w:val="normaltextrun"/>
                <w:rFonts w:ascii="Arial" w:hAnsi="Arial" w:cs="Arial"/>
                <w:sz w:val="24"/>
                <w:szCs w:val="24"/>
                <w:shd w:val="clear" w:color="auto" w:fill="FFFFFF"/>
              </w:rPr>
              <w:t xml:space="preserve"> Klaipėdos raj</w:t>
            </w:r>
            <w:r w:rsidR="00F62D9F">
              <w:rPr>
                <w:rStyle w:val="normaltextrun"/>
                <w:rFonts w:ascii="Arial" w:hAnsi="Arial" w:cs="Arial"/>
                <w:sz w:val="24"/>
                <w:szCs w:val="24"/>
                <w:shd w:val="clear" w:color="auto" w:fill="FFFFFF"/>
              </w:rPr>
              <w:t>onas</w:t>
            </w:r>
            <w:r w:rsidR="003E56E1" w:rsidRPr="00CE2264">
              <w:rPr>
                <w:rStyle w:val="normaltextrun"/>
                <w:rFonts w:ascii="Arial" w:hAnsi="Arial" w:cs="Arial"/>
                <w:sz w:val="24"/>
                <w:szCs w:val="24"/>
                <w:shd w:val="clear" w:color="auto" w:fill="FFFFFF"/>
              </w:rPr>
              <w:t xml:space="preserve">, </w:t>
            </w:r>
            <w:proofErr w:type="spellStart"/>
            <w:r w:rsidR="003E56E1" w:rsidRPr="00CE2264">
              <w:rPr>
                <w:rStyle w:val="normaltextrun"/>
                <w:rFonts w:ascii="Arial" w:hAnsi="Arial" w:cs="Arial"/>
                <w:sz w:val="24"/>
                <w:szCs w:val="24"/>
                <w:shd w:val="clear" w:color="auto" w:fill="FFFFFF"/>
              </w:rPr>
              <w:t>Kunkių</w:t>
            </w:r>
            <w:proofErr w:type="spellEnd"/>
            <w:r w:rsidR="003E56E1" w:rsidRPr="00CE2264">
              <w:rPr>
                <w:rStyle w:val="normaltextrun"/>
                <w:rFonts w:ascii="Arial" w:hAnsi="Arial" w:cs="Arial"/>
                <w:sz w:val="24"/>
                <w:szCs w:val="24"/>
                <w:shd w:val="clear" w:color="auto" w:fill="FFFFFF"/>
              </w:rPr>
              <w:t xml:space="preserve"> k., </w:t>
            </w:r>
            <w:proofErr w:type="spellStart"/>
            <w:r w:rsidR="003E56E1" w:rsidRPr="00CE2264">
              <w:rPr>
                <w:rStyle w:val="normaltextrun"/>
                <w:rFonts w:ascii="Arial" w:hAnsi="Arial" w:cs="Arial"/>
                <w:sz w:val="24"/>
                <w:szCs w:val="24"/>
                <w:shd w:val="clear" w:color="auto" w:fill="FFFFFF"/>
              </w:rPr>
              <w:t>Zeigių</w:t>
            </w:r>
            <w:proofErr w:type="spellEnd"/>
            <w:r w:rsidR="003E56E1" w:rsidRPr="00CE2264">
              <w:rPr>
                <w:rStyle w:val="normaltextrun"/>
                <w:rFonts w:ascii="Arial" w:hAnsi="Arial" w:cs="Arial"/>
                <w:sz w:val="24"/>
                <w:szCs w:val="24"/>
                <w:shd w:val="clear" w:color="auto" w:fill="FFFFFF"/>
              </w:rPr>
              <w:t xml:space="preserve"> g., naujos statybos aprašo parengim</w:t>
            </w:r>
            <w:r w:rsidR="003E56E1">
              <w:rPr>
                <w:rStyle w:val="normaltextrun"/>
                <w:rFonts w:ascii="Arial" w:hAnsi="Arial" w:cs="Arial"/>
                <w:sz w:val="24"/>
                <w:szCs w:val="24"/>
                <w:shd w:val="clear" w:color="auto" w:fill="FFFFFF"/>
              </w:rPr>
              <w:t xml:space="preserve">ą </w:t>
            </w:r>
            <w:r w:rsidR="003E56E1">
              <w:rPr>
                <w:rStyle w:val="normaltextrun"/>
                <w:rFonts w:ascii="Arial" w:hAnsi="Arial" w:cs="Arial"/>
                <w:b/>
                <w:bCs/>
                <w:sz w:val="24"/>
                <w:szCs w:val="24"/>
                <w:shd w:val="clear" w:color="auto" w:fill="FFFFFF"/>
              </w:rPr>
              <w:t>(I pirkimo dalis)</w:t>
            </w:r>
            <w:r w:rsidR="003E56E1" w:rsidRPr="003E56E1">
              <w:rPr>
                <w:rStyle w:val="normaltextrun"/>
                <w:rFonts w:ascii="Arial" w:hAnsi="Arial" w:cs="Arial"/>
                <w:sz w:val="24"/>
                <w:szCs w:val="24"/>
                <w:shd w:val="clear" w:color="auto" w:fill="FFFFFF"/>
              </w:rPr>
              <w:t>;</w:t>
            </w:r>
            <w:r w:rsidR="003E56E1">
              <w:rPr>
                <w:rStyle w:val="normaltextrun"/>
                <w:rFonts w:ascii="Arial" w:hAnsi="Arial" w:cs="Arial"/>
                <w:sz w:val="24"/>
                <w:szCs w:val="24"/>
                <w:shd w:val="clear" w:color="auto" w:fill="FFFFFF"/>
              </w:rPr>
              <w:t xml:space="preserve"> </w:t>
            </w:r>
            <w:r w:rsidR="00F62D9F">
              <w:rPr>
                <w:rStyle w:val="normaltextrun"/>
                <w:rFonts w:ascii="Arial" w:hAnsi="Arial" w:cs="Arial"/>
                <w:sz w:val="24"/>
                <w:szCs w:val="24"/>
                <w:shd w:val="clear" w:color="auto" w:fill="FFFFFF"/>
              </w:rPr>
              <w:t>A</w:t>
            </w:r>
            <w:r w:rsidR="00F62D9F" w:rsidRPr="00CE2264">
              <w:rPr>
                <w:rStyle w:val="normaltextrun"/>
                <w:rFonts w:ascii="Arial" w:hAnsi="Arial" w:cs="Arial"/>
                <w:sz w:val="24"/>
                <w:szCs w:val="24"/>
                <w:shd w:val="clear" w:color="auto" w:fill="FFFFFF"/>
              </w:rPr>
              <w:t xml:space="preserve">utobusų sustojimo </w:t>
            </w:r>
            <w:r w:rsidR="00970A0B">
              <w:rPr>
                <w:rStyle w:val="normaltextrun"/>
                <w:rFonts w:ascii="Arial" w:hAnsi="Arial" w:cs="Arial"/>
                <w:sz w:val="24"/>
                <w:szCs w:val="24"/>
                <w:shd w:val="clear" w:color="auto" w:fill="FFFFFF"/>
              </w:rPr>
              <w:t>g</w:t>
            </w:r>
            <w:r w:rsidR="003E56E1" w:rsidRPr="00CE2264">
              <w:rPr>
                <w:rStyle w:val="normaltextrun"/>
                <w:rFonts w:ascii="Arial" w:hAnsi="Arial" w:cs="Arial"/>
                <w:sz w:val="24"/>
                <w:szCs w:val="24"/>
                <w:shd w:val="clear" w:color="auto" w:fill="FFFFFF"/>
              </w:rPr>
              <w:t>alinės/pradinės stotelės su apsisukimo žiedu, infrastruktūra vairuotojų poilsiui, stogine ir sanitariniu mazgu</w:t>
            </w:r>
            <w:r w:rsidR="00970A0B">
              <w:rPr>
                <w:rStyle w:val="normaltextrun"/>
                <w:rFonts w:ascii="Arial" w:hAnsi="Arial" w:cs="Arial"/>
                <w:sz w:val="24"/>
                <w:szCs w:val="24"/>
                <w:shd w:val="clear" w:color="auto" w:fill="FFFFFF"/>
              </w:rPr>
              <w:t xml:space="preserve"> įrengimas</w:t>
            </w:r>
            <w:r w:rsidR="003E56E1" w:rsidRPr="00CE2264">
              <w:rPr>
                <w:rStyle w:val="normaltextrun"/>
                <w:rFonts w:ascii="Arial" w:hAnsi="Arial" w:cs="Arial"/>
                <w:sz w:val="24"/>
                <w:szCs w:val="24"/>
                <w:shd w:val="clear" w:color="auto" w:fill="FFFFFF"/>
              </w:rPr>
              <w:t xml:space="preserve"> Klaipėdos raj. sav., Priekulės sen., </w:t>
            </w:r>
            <w:proofErr w:type="spellStart"/>
            <w:r w:rsidR="003E56E1" w:rsidRPr="00CE2264">
              <w:rPr>
                <w:rStyle w:val="normaltextrun"/>
                <w:rFonts w:ascii="Arial" w:hAnsi="Arial" w:cs="Arial"/>
                <w:sz w:val="24"/>
                <w:szCs w:val="24"/>
                <w:shd w:val="clear" w:color="auto" w:fill="FFFFFF"/>
              </w:rPr>
              <w:t>Svencelės</w:t>
            </w:r>
            <w:proofErr w:type="spellEnd"/>
            <w:r w:rsidR="003E56E1" w:rsidRPr="00CE2264">
              <w:rPr>
                <w:rStyle w:val="normaltextrun"/>
                <w:rFonts w:ascii="Arial" w:hAnsi="Arial" w:cs="Arial"/>
                <w:sz w:val="24"/>
                <w:szCs w:val="24"/>
                <w:shd w:val="clear" w:color="auto" w:fill="FFFFFF"/>
              </w:rPr>
              <w:t xml:space="preserve"> k., kelių (KL1235/KL8411) sankirtoje, naujos statybos techninio darbo projekto parengimo ir projekto vykdymo priežiūros paslaug</w:t>
            </w:r>
            <w:r w:rsidR="003E56E1">
              <w:rPr>
                <w:rStyle w:val="normaltextrun"/>
                <w:rFonts w:ascii="Arial" w:hAnsi="Arial" w:cs="Arial"/>
                <w:sz w:val="24"/>
                <w:szCs w:val="24"/>
                <w:shd w:val="clear" w:color="auto" w:fill="FFFFFF"/>
              </w:rPr>
              <w:t xml:space="preserve">as </w:t>
            </w:r>
            <w:r w:rsidR="003E56E1">
              <w:rPr>
                <w:rStyle w:val="normaltextrun"/>
                <w:rFonts w:ascii="Arial" w:hAnsi="Arial" w:cs="Arial"/>
                <w:b/>
                <w:bCs/>
                <w:sz w:val="24"/>
                <w:szCs w:val="24"/>
                <w:shd w:val="clear" w:color="auto" w:fill="FFFFFF"/>
              </w:rPr>
              <w:t>(II pirkimo dalis)</w:t>
            </w:r>
            <w:r w:rsidR="003E56E1" w:rsidRPr="00CE2264">
              <w:rPr>
                <w:rStyle w:val="normaltextrun"/>
                <w:rFonts w:ascii="Arial" w:hAnsi="Arial" w:cs="Arial"/>
                <w:sz w:val="24"/>
                <w:szCs w:val="24"/>
                <w:shd w:val="clear" w:color="auto" w:fill="FFFFFF"/>
              </w:rPr>
              <w:t xml:space="preserve">.  </w:t>
            </w: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0A42A3EF"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AA6AE7">
              <w:rPr>
                <w:rFonts w:ascii="Arial" w:eastAsia="Calibri" w:hAnsi="Arial" w:cs="Arial"/>
                <w:color w:val="000000" w:themeColor="text1"/>
                <w:sz w:val="24"/>
                <w:szCs w:val="24"/>
              </w:rPr>
              <w:t>P-2025/1</w:t>
            </w:r>
            <w:r w:rsidR="003E56E1">
              <w:rPr>
                <w:rFonts w:ascii="Arial" w:eastAsia="Calibri" w:hAnsi="Arial" w:cs="Arial"/>
                <w:color w:val="000000" w:themeColor="text1"/>
                <w:sz w:val="24"/>
                <w:szCs w:val="24"/>
              </w:rPr>
              <w:t>3</w:t>
            </w:r>
            <w:r w:rsidR="003E56E1" w:rsidRPr="003E56E1">
              <w:rPr>
                <w:rFonts w:ascii="Arial" w:eastAsia="Calibri" w:hAnsi="Arial" w:cs="Arial"/>
                <w:color w:val="000000" w:themeColor="text1"/>
                <w:sz w:val="24"/>
                <w:szCs w:val="24"/>
              </w:rPr>
              <w:t>137</w:t>
            </w:r>
            <w:r w:rsidR="00AA6AE7">
              <w:rPr>
                <w:rFonts w:ascii="Arial" w:eastAsia="Calibri" w:hAnsi="Arial" w:cs="Arial"/>
                <w:color w:val="000000" w:themeColor="text1"/>
                <w:sz w:val="24"/>
                <w:szCs w:val="24"/>
              </w:rPr>
              <w:t xml:space="preserve"> </w:t>
            </w:r>
            <w:r w:rsidR="003E56E1" w:rsidRPr="003E56E1">
              <w:rPr>
                <w:rFonts w:ascii="Arial" w:eastAsia="Calibri" w:hAnsi="Arial" w:cs="Arial"/>
                <w:color w:val="000000" w:themeColor="text1"/>
                <w:sz w:val="24"/>
                <w:szCs w:val="24"/>
              </w:rPr>
              <w:t xml:space="preserve">1. </w:t>
            </w:r>
            <w:r w:rsidR="00970A0B" w:rsidRPr="00CE2264">
              <w:rPr>
                <w:rStyle w:val="normaltextrun"/>
                <w:rFonts w:ascii="Arial" w:hAnsi="Arial" w:cs="Arial"/>
                <w:sz w:val="24"/>
                <w:szCs w:val="24"/>
                <w:shd w:val="clear" w:color="auto" w:fill="FFFFFF"/>
              </w:rPr>
              <w:t>Autobusų sustojimo stotelės su paviljonu</w:t>
            </w:r>
            <w:r w:rsidR="00970A0B">
              <w:rPr>
                <w:rStyle w:val="normaltextrun"/>
                <w:rFonts w:ascii="Arial" w:hAnsi="Arial" w:cs="Arial"/>
                <w:sz w:val="24"/>
                <w:szCs w:val="24"/>
                <w:shd w:val="clear" w:color="auto" w:fill="FFFFFF"/>
              </w:rPr>
              <w:t xml:space="preserve"> adresu</w:t>
            </w:r>
            <w:r w:rsidR="00970A0B" w:rsidRPr="00CE2264">
              <w:rPr>
                <w:rStyle w:val="normaltextrun"/>
                <w:rFonts w:ascii="Arial" w:hAnsi="Arial" w:cs="Arial"/>
                <w:sz w:val="24"/>
                <w:szCs w:val="24"/>
                <w:shd w:val="clear" w:color="auto" w:fill="FFFFFF"/>
              </w:rPr>
              <w:t xml:space="preserve"> Klaipėdos raj</w:t>
            </w:r>
            <w:r w:rsidR="00970A0B">
              <w:rPr>
                <w:rStyle w:val="normaltextrun"/>
                <w:rFonts w:ascii="Arial" w:hAnsi="Arial" w:cs="Arial"/>
                <w:sz w:val="24"/>
                <w:szCs w:val="24"/>
                <w:shd w:val="clear" w:color="auto" w:fill="FFFFFF"/>
              </w:rPr>
              <w:t>onas</w:t>
            </w:r>
            <w:r w:rsidR="00970A0B" w:rsidRPr="00CE2264">
              <w:rPr>
                <w:rStyle w:val="normaltextrun"/>
                <w:rFonts w:ascii="Arial" w:hAnsi="Arial" w:cs="Arial"/>
                <w:sz w:val="24"/>
                <w:szCs w:val="24"/>
                <w:shd w:val="clear" w:color="auto" w:fill="FFFFFF"/>
              </w:rPr>
              <w:t xml:space="preserve">, </w:t>
            </w:r>
            <w:proofErr w:type="spellStart"/>
            <w:r w:rsidR="00970A0B" w:rsidRPr="00CE2264">
              <w:rPr>
                <w:rStyle w:val="normaltextrun"/>
                <w:rFonts w:ascii="Arial" w:hAnsi="Arial" w:cs="Arial"/>
                <w:sz w:val="24"/>
                <w:szCs w:val="24"/>
                <w:shd w:val="clear" w:color="auto" w:fill="FFFFFF"/>
              </w:rPr>
              <w:t>Kunkių</w:t>
            </w:r>
            <w:proofErr w:type="spellEnd"/>
            <w:r w:rsidR="00970A0B" w:rsidRPr="00CE2264">
              <w:rPr>
                <w:rStyle w:val="normaltextrun"/>
                <w:rFonts w:ascii="Arial" w:hAnsi="Arial" w:cs="Arial"/>
                <w:sz w:val="24"/>
                <w:szCs w:val="24"/>
                <w:shd w:val="clear" w:color="auto" w:fill="FFFFFF"/>
              </w:rPr>
              <w:t xml:space="preserve"> k., </w:t>
            </w:r>
            <w:proofErr w:type="spellStart"/>
            <w:r w:rsidR="00970A0B" w:rsidRPr="00CE2264">
              <w:rPr>
                <w:rStyle w:val="normaltextrun"/>
                <w:rFonts w:ascii="Arial" w:hAnsi="Arial" w:cs="Arial"/>
                <w:sz w:val="24"/>
                <w:szCs w:val="24"/>
                <w:shd w:val="clear" w:color="auto" w:fill="FFFFFF"/>
              </w:rPr>
              <w:t>Zeigių</w:t>
            </w:r>
            <w:proofErr w:type="spellEnd"/>
            <w:r w:rsidR="00970A0B" w:rsidRPr="00CE2264">
              <w:rPr>
                <w:rStyle w:val="normaltextrun"/>
                <w:rFonts w:ascii="Arial" w:hAnsi="Arial" w:cs="Arial"/>
                <w:sz w:val="24"/>
                <w:szCs w:val="24"/>
                <w:shd w:val="clear" w:color="auto" w:fill="FFFFFF"/>
              </w:rPr>
              <w:t xml:space="preserve"> g., naujos statybos aprašo</w:t>
            </w:r>
            <w:r w:rsidR="003E56E1" w:rsidRPr="003E56E1">
              <w:rPr>
                <w:rFonts w:ascii="Arial" w:eastAsia="Calibri" w:hAnsi="Arial" w:cs="Arial"/>
                <w:color w:val="000000" w:themeColor="text1"/>
                <w:sz w:val="24"/>
                <w:szCs w:val="24"/>
              </w:rPr>
              <w:t xml:space="preserve"> parengim</w:t>
            </w:r>
            <w:r w:rsidR="00AA3FA2">
              <w:rPr>
                <w:rFonts w:ascii="Arial" w:eastAsia="Calibri" w:hAnsi="Arial" w:cs="Arial"/>
                <w:color w:val="000000" w:themeColor="text1"/>
                <w:sz w:val="24"/>
                <w:szCs w:val="24"/>
              </w:rPr>
              <w:t>as</w:t>
            </w:r>
            <w:r w:rsidR="003E56E1" w:rsidRPr="003E56E1">
              <w:rPr>
                <w:rFonts w:ascii="Arial" w:eastAsia="Calibri" w:hAnsi="Arial" w:cs="Arial"/>
                <w:color w:val="000000" w:themeColor="text1"/>
                <w:sz w:val="24"/>
                <w:szCs w:val="24"/>
              </w:rPr>
              <w:t xml:space="preserve">. 2. </w:t>
            </w:r>
            <w:r w:rsidR="00970A0B">
              <w:rPr>
                <w:rStyle w:val="normaltextrun"/>
                <w:rFonts w:ascii="Arial" w:hAnsi="Arial" w:cs="Arial"/>
                <w:sz w:val="24"/>
                <w:szCs w:val="24"/>
                <w:shd w:val="clear" w:color="auto" w:fill="FFFFFF"/>
              </w:rPr>
              <w:t>A</w:t>
            </w:r>
            <w:r w:rsidR="00970A0B" w:rsidRPr="00CE2264">
              <w:rPr>
                <w:rStyle w:val="normaltextrun"/>
                <w:rFonts w:ascii="Arial" w:hAnsi="Arial" w:cs="Arial"/>
                <w:sz w:val="24"/>
                <w:szCs w:val="24"/>
                <w:shd w:val="clear" w:color="auto" w:fill="FFFFFF"/>
              </w:rPr>
              <w:t xml:space="preserve">utobusų sustojimo </w:t>
            </w:r>
            <w:r w:rsidR="00970A0B">
              <w:rPr>
                <w:rStyle w:val="normaltextrun"/>
                <w:rFonts w:ascii="Arial" w:hAnsi="Arial" w:cs="Arial"/>
                <w:sz w:val="24"/>
                <w:szCs w:val="24"/>
                <w:shd w:val="clear" w:color="auto" w:fill="FFFFFF"/>
              </w:rPr>
              <w:t>g</w:t>
            </w:r>
            <w:r w:rsidR="00970A0B" w:rsidRPr="00CE2264">
              <w:rPr>
                <w:rStyle w:val="normaltextrun"/>
                <w:rFonts w:ascii="Arial" w:hAnsi="Arial" w:cs="Arial"/>
                <w:sz w:val="24"/>
                <w:szCs w:val="24"/>
                <w:shd w:val="clear" w:color="auto" w:fill="FFFFFF"/>
              </w:rPr>
              <w:t>alinės/pradinės stotelės su apsisukimo žiedu, infrastruktūra vairuotojų poilsiui, stogine ir sanitariniu mazgu</w:t>
            </w:r>
            <w:r w:rsidR="00970A0B">
              <w:rPr>
                <w:rStyle w:val="normaltextrun"/>
                <w:rFonts w:ascii="Arial" w:hAnsi="Arial" w:cs="Arial"/>
                <w:sz w:val="24"/>
                <w:szCs w:val="24"/>
                <w:shd w:val="clear" w:color="auto" w:fill="FFFFFF"/>
              </w:rPr>
              <w:t xml:space="preserve"> įrengimas</w:t>
            </w:r>
            <w:r w:rsidR="00970A0B" w:rsidRPr="00CE2264">
              <w:rPr>
                <w:rStyle w:val="normaltextrun"/>
                <w:rFonts w:ascii="Arial" w:hAnsi="Arial" w:cs="Arial"/>
                <w:sz w:val="24"/>
                <w:szCs w:val="24"/>
                <w:shd w:val="clear" w:color="auto" w:fill="FFFFFF"/>
              </w:rPr>
              <w:t xml:space="preserve"> Klaipėdos raj. sav., Priekulės sen., </w:t>
            </w:r>
            <w:proofErr w:type="spellStart"/>
            <w:r w:rsidR="00970A0B" w:rsidRPr="00CE2264">
              <w:rPr>
                <w:rStyle w:val="normaltextrun"/>
                <w:rFonts w:ascii="Arial" w:hAnsi="Arial" w:cs="Arial"/>
                <w:sz w:val="24"/>
                <w:szCs w:val="24"/>
                <w:shd w:val="clear" w:color="auto" w:fill="FFFFFF"/>
              </w:rPr>
              <w:t>Svencelės</w:t>
            </w:r>
            <w:proofErr w:type="spellEnd"/>
            <w:r w:rsidR="00970A0B" w:rsidRPr="00CE2264">
              <w:rPr>
                <w:rStyle w:val="normaltextrun"/>
                <w:rFonts w:ascii="Arial" w:hAnsi="Arial" w:cs="Arial"/>
                <w:sz w:val="24"/>
                <w:szCs w:val="24"/>
                <w:shd w:val="clear" w:color="auto" w:fill="FFFFFF"/>
              </w:rPr>
              <w:t xml:space="preserve"> k., kelių (KL1235/KL8411) sankirtoje</w:t>
            </w:r>
            <w:r w:rsidR="003E56E1" w:rsidRPr="003E56E1">
              <w:rPr>
                <w:rFonts w:ascii="Arial" w:eastAsia="Calibri" w:hAnsi="Arial" w:cs="Arial"/>
                <w:color w:val="000000" w:themeColor="text1"/>
                <w:sz w:val="24"/>
                <w:szCs w:val="24"/>
              </w:rPr>
              <w:t>, naujos statybos techninio darbo projekto parengimo ir projekto vykdymo priežiūros paslaug</w:t>
            </w:r>
            <w:r w:rsidR="003E56E1">
              <w:rPr>
                <w:rFonts w:ascii="Arial" w:eastAsia="Calibri" w:hAnsi="Arial" w:cs="Arial"/>
                <w:color w:val="000000" w:themeColor="text1"/>
                <w:sz w:val="24"/>
                <w:szCs w:val="24"/>
              </w:rPr>
              <w:t>o</w:t>
            </w:r>
            <w:r w:rsidR="003E56E1" w:rsidRPr="003E56E1">
              <w:rPr>
                <w:rFonts w:ascii="Arial" w:eastAsia="Calibri" w:hAnsi="Arial" w:cs="Arial"/>
                <w:color w:val="000000" w:themeColor="text1"/>
                <w:sz w:val="24"/>
                <w:szCs w:val="24"/>
              </w:rPr>
              <w:t>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3.3. Informacija apie Europos Sąjungos </w:t>
            </w:r>
            <w:r w:rsidRPr="00F05E4C">
              <w:rPr>
                <w:rFonts w:ascii="Arial" w:eastAsia="Times New Roman" w:hAnsi="Arial" w:cs="Arial"/>
                <w:b/>
                <w:bCs/>
                <w:sz w:val="24"/>
                <w:szCs w:val="24"/>
              </w:rPr>
              <w:lastRenderedPageBreak/>
              <w:t>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83DC7E4" w:rsidR="007B5E5C" w:rsidRPr="00F05E4C" w:rsidRDefault="000D4A65" w:rsidP="000D4A65">
            <w:pPr>
              <w:spacing w:after="0"/>
              <w:jc w:val="both"/>
              <w:rPr>
                <w:rFonts w:ascii="Arial" w:eastAsia="Times New Roman" w:hAnsi="Arial" w:cs="Arial"/>
                <w:sz w:val="24"/>
                <w:szCs w:val="24"/>
              </w:rPr>
            </w:pPr>
            <w:r w:rsidRPr="000D4A65">
              <w:rPr>
                <w:rFonts w:ascii="Arial" w:eastAsia="Times New Roman" w:hAnsi="Arial" w:cs="Arial"/>
                <w:sz w:val="24"/>
                <w:szCs w:val="24"/>
              </w:rPr>
              <w:lastRenderedPageBreak/>
              <w:t>Europos Sąjungos lėšomis finansuojam</w:t>
            </w:r>
            <w:r>
              <w:rPr>
                <w:rFonts w:ascii="Arial" w:eastAsia="Times New Roman" w:hAnsi="Arial" w:cs="Arial"/>
                <w:sz w:val="24"/>
                <w:szCs w:val="24"/>
              </w:rPr>
              <w:t>as</w:t>
            </w:r>
            <w:r w:rsidRPr="000D4A65">
              <w:rPr>
                <w:rFonts w:ascii="Arial" w:eastAsia="Times New Roman" w:hAnsi="Arial" w:cs="Arial"/>
                <w:sz w:val="24"/>
                <w:szCs w:val="24"/>
              </w:rPr>
              <w:t xml:space="preserve"> projekt</w:t>
            </w:r>
            <w:r>
              <w:rPr>
                <w:rFonts w:ascii="Arial" w:eastAsia="Times New Roman" w:hAnsi="Arial" w:cs="Arial"/>
                <w:sz w:val="24"/>
                <w:szCs w:val="24"/>
              </w:rPr>
              <w:t>as</w:t>
            </w:r>
            <w:r w:rsidRPr="000D4A65">
              <w:rPr>
                <w:rFonts w:ascii="Arial" w:eastAsia="Times New Roman" w:hAnsi="Arial" w:cs="Arial"/>
                <w:sz w:val="24"/>
                <w:szCs w:val="24"/>
              </w:rPr>
              <w:t xml:space="preserve"> </w:t>
            </w:r>
            <w:r>
              <w:rPr>
                <w:rFonts w:ascii="Arial" w:eastAsia="Times New Roman" w:hAnsi="Arial" w:cs="Arial"/>
                <w:sz w:val="24"/>
                <w:szCs w:val="24"/>
              </w:rPr>
              <w:t>„</w:t>
            </w:r>
            <w:r w:rsidRPr="000D4A65">
              <w:rPr>
                <w:rFonts w:ascii="Arial" w:eastAsia="Times New Roman" w:hAnsi="Arial" w:cs="Arial"/>
                <w:sz w:val="24"/>
                <w:szCs w:val="24"/>
              </w:rPr>
              <w:t xml:space="preserve">Klaipėdos regiono integruotos viešojo transporto sistemos funkcionavimui reikalingos infrastruktūros </w:t>
            </w:r>
            <w:r w:rsidRPr="000D4A65">
              <w:rPr>
                <w:rFonts w:ascii="Arial" w:eastAsia="Times New Roman" w:hAnsi="Arial" w:cs="Arial"/>
                <w:sz w:val="24"/>
                <w:szCs w:val="24"/>
              </w:rPr>
              <w:lastRenderedPageBreak/>
              <w:t>įrengimas Klaipėdos rajone"</w:t>
            </w:r>
            <w:r>
              <w:rPr>
                <w:rFonts w:ascii="Arial" w:eastAsia="Times New Roman" w:hAnsi="Arial" w:cs="Arial"/>
                <w:sz w:val="24"/>
                <w:szCs w:val="24"/>
              </w:rPr>
              <w:t xml:space="preserve">. </w:t>
            </w:r>
            <w:r w:rsidRPr="000D4A65">
              <w:rPr>
                <w:rFonts w:ascii="Arial" w:eastAsia="Times New Roman" w:hAnsi="Arial" w:cs="Arial"/>
                <w:sz w:val="24"/>
                <w:szCs w:val="24"/>
              </w:rPr>
              <w:t>Projekto kodas 23-306-P-0001</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5C4DBA49"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FE17C6" w:rsidRPr="00FE17C6">
              <w:rPr>
                <w:rFonts w:ascii="Arial" w:eastAsia="Times New Roman" w:hAnsi="Arial" w:cs="Arial"/>
                <w:b/>
                <w:bCs/>
                <w:sz w:val="24"/>
                <w:szCs w:val="24"/>
              </w:rPr>
              <w:t>Paslaugų suteikimo terminai, kai Paslaugos teikiamos etapais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6A9F1C" w14:textId="77777777" w:rsidR="000D4A65" w:rsidRPr="003E56E1" w:rsidRDefault="000D4A65" w:rsidP="00FE17C6">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CA7F115"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14843DE6" w14:textId="1C56D27D" w:rsidR="000D4A65" w:rsidRDefault="00FE17C6" w:rsidP="00FE17C6">
            <w:pPr>
              <w:spacing w:after="0"/>
              <w:jc w:val="both"/>
              <w:rPr>
                <w:rFonts w:ascii="Arial" w:eastAsia="Times New Roman" w:hAnsi="Arial" w:cs="Arial"/>
                <w:sz w:val="24"/>
                <w:szCs w:val="24"/>
              </w:rPr>
            </w:pPr>
            <w:r w:rsidRPr="00FE17C6">
              <w:rPr>
                <w:rFonts w:ascii="Arial" w:eastAsia="Times New Roman" w:hAnsi="Arial" w:cs="Arial"/>
                <w:sz w:val="24"/>
                <w:szCs w:val="24"/>
              </w:rPr>
              <w:t>Tiekėjas</w:t>
            </w:r>
            <w:r>
              <w:rPr>
                <w:rFonts w:ascii="Arial" w:eastAsia="Times New Roman" w:hAnsi="Arial" w:cs="Arial"/>
                <w:sz w:val="24"/>
                <w:szCs w:val="24"/>
              </w:rPr>
              <w:t xml:space="preserve"> </w:t>
            </w:r>
            <w:r w:rsidRPr="00FE17C6">
              <w:rPr>
                <w:rFonts w:ascii="Arial" w:eastAsia="Times New Roman" w:hAnsi="Arial" w:cs="Arial"/>
                <w:sz w:val="24"/>
                <w:szCs w:val="24"/>
              </w:rPr>
              <w:t>įsipareigoja</w:t>
            </w:r>
            <w:r>
              <w:rPr>
                <w:rFonts w:ascii="Arial" w:eastAsia="Times New Roman" w:hAnsi="Arial" w:cs="Arial"/>
                <w:sz w:val="24"/>
                <w:szCs w:val="24"/>
              </w:rPr>
              <w:t xml:space="preserve"> </w:t>
            </w:r>
            <w:r w:rsidRPr="00FE17C6">
              <w:rPr>
                <w:rFonts w:ascii="Arial" w:eastAsia="Times New Roman" w:hAnsi="Arial" w:cs="Arial"/>
                <w:sz w:val="24"/>
                <w:szCs w:val="24"/>
              </w:rPr>
              <w:t> suteikti</w:t>
            </w:r>
            <w:r>
              <w:rPr>
                <w:rFonts w:ascii="Arial" w:eastAsia="Times New Roman" w:hAnsi="Arial" w:cs="Arial"/>
                <w:sz w:val="24"/>
                <w:szCs w:val="24"/>
              </w:rPr>
              <w:t xml:space="preserve"> Paslaugas </w:t>
            </w:r>
            <w:r w:rsidRPr="00FE17C6">
              <w:rPr>
                <w:rFonts w:ascii="Arial" w:eastAsia="Times New Roman" w:hAnsi="Arial" w:cs="Arial"/>
                <w:sz w:val="24"/>
                <w:szCs w:val="24"/>
              </w:rPr>
              <w:t>Techninėje</w:t>
            </w:r>
            <w:r>
              <w:rPr>
                <w:rFonts w:ascii="Arial" w:eastAsia="Times New Roman" w:hAnsi="Arial" w:cs="Arial"/>
                <w:sz w:val="24"/>
                <w:szCs w:val="24"/>
              </w:rPr>
              <w:t xml:space="preserve"> </w:t>
            </w:r>
            <w:r w:rsidRPr="00FE17C6">
              <w:rPr>
                <w:rFonts w:ascii="Arial" w:eastAsia="Times New Roman" w:hAnsi="Arial" w:cs="Arial"/>
                <w:sz w:val="24"/>
                <w:szCs w:val="24"/>
              </w:rPr>
              <w:t>specifikacijoje </w:t>
            </w:r>
            <w:r>
              <w:rPr>
                <w:rFonts w:ascii="Arial" w:eastAsia="Times New Roman" w:hAnsi="Arial" w:cs="Arial"/>
                <w:sz w:val="24"/>
                <w:szCs w:val="24"/>
              </w:rPr>
              <w:t xml:space="preserve">(sutarties priedas Nr. 1) </w:t>
            </w:r>
            <w:r w:rsidRPr="00FE17C6">
              <w:rPr>
                <w:rFonts w:ascii="Arial" w:eastAsia="Times New Roman" w:hAnsi="Arial" w:cs="Arial"/>
                <w:sz w:val="24"/>
                <w:szCs w:val="24"/>
              </w:rPr>
              <w:t>nurodytų etapų eiliškumu, terminais ir sąlygomis.</w:t>
            </w:r>
          </w:p>
          <w:p w14:paraId="7C28BF87" w14:textId="77777777" w:rsidR="00FE17C6" w:rsidRPr="000D4A65" w:rsidRDefault="00FE17C6" w:rsidP="00FE17C6">
            <w:pPr>
              <w:spacing w:after="0"/>
              <w:jc w:val="both"/>
              <w:rPr>
                <w:rFonts w:ascii="Arial" w:eastAsia="Times New Roman" w:hAnsi="Arial" w:cs="Arial"/>
                <w:sz w:val="24"/>
                <w:szCs w:val="24"/>
              </w:rPr>
            </w:pPr>
          </w:p>
          <w:p w14:paraId="3047524F"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5883EBAB" w14:textId="4761ED43" w:rsidR="000D4A65" w:rsidRPr="000D4A65" w:rsidRDefault="000D4A65" w:rsidP="00FE17C6">
            <w:pPr>
              <w:spacing w:after="0"/>
              <w:jc w:val="both"/>
              <w:rPr>
                <w:rFonts w:ascii="Arial" w:eastAsia="Times New Roman" w:hAnsi="Arial" w:cs="Arial"/>
                <w:sz w:val="24"/>
                <w:szCs w:val="24"/>
              </w:rPr>
            </w:pPr>
            <w:r w:rsidRPr="000D4A65">
              <w:rPr>
                <w:rFonts w:ascii="Arial" w:eastAsia="Times New Roman" w:hAnsi="Arial" w:cs="Arial"/>
                <w:sz w:val="24"/>
                <w:szCs w:val="24"/>
              </w:rPr>
              <w:t>A etapas: Būtini atlikti tyrimai, techninės užduoties ir/ar paraiškų prisijungimo sąlygoms ir specialiesiems reikalavimams gauti</w:t>
            </w:r>
            <w:r w:rsidR="00FC3A23">
              <w:rPr>
                <w:rFonts w:ascii="Arial" w:eastAsia="Times New Roman" w:hAnsi="Arial" w:cs="Arial"/>
                <w:sz w:val="24"/>
                <w:szCs w:val="24"/>
              </w:rPr>
              <w:t xml:space="preserve"> </w:t>
            </w:r>
            <w:r w:rsidRPr="000D4A65">
              <w:rPr>
                <w:rFonts w:ascii="Arial" w:eastAsia="Times New Roman" w:hAnsi="Arial" w:cs="Arial"/>
                <w:sz w:val="24"/>
                <w:szCs w:val="24"/>
              </w:rPr>
              <w:t>reikalingų dokumentų rengimas, projektinių pasiūlymų parengimas, visuomenės supažindinimas su projektiniais pasiūlymais, statybos leidimo gavimas (jeigu reikia)</w:t>
            </w:r>
            <w:r w:rsidR="00FC3A23">
              <w:rPr>
                <w:rFonts w:ascii="Arial" w:eastAsia="Times New Roman" w:hAnsi="Arial" w:cs="Arial"/>
                <w:sz w:val="24"/>
                <w:szCs w:val="24"/>
              </w:rPr>
              <w:t>*</w:t>
            </w:r>
            <w:r w:rsidRPr="000D4A65">
              <w:rPr>
                <w:rFonts w:ascii="Arial" w:eastAsia="Times New Roman" w:hAnsi="Arial" w:cs="Arial"/>
                <w:sz w:val="24"/>
                <w:szCs w:val="24"/>
              </w:rPr>
              <w:t xml:space="preserve"> – per </w:t>
            </w:r>
            <w:r w:rsidR="00FC3A23">
              <w:rPr>
                <w:rFonts w:ascii="Arial" w:eastAsia="Times New Roman" w:hAnsi="Arial" w:cs="Arial"/>
                <w:b/>
                <w:bCs/>
                <w:sz w:val="24"/>
                <w:szCs w:val="24"/>
              </w:rPr>
              <w:t>150</w:t>
            </w:r>
            <w:r w:rsidRPr="000D4A65">
              <w:rPr>
                <w:rFonts w:ascii="Arial" w:eastAsia="Times New Roman" w:hAnsi="Arial" w:cs="Arial"/>
                <w:b/>
                <w:bCs/>
                <w:sz w:val="24"/>
                <w:szCs w:val="24"/>
              </w:rPr>
              <w:t xml:space="preserve">  </w:t>
            </w:r>
            <w:r w:rsidR="00FC3A23">
              <w:rPr>
                <w:rFonts w:ascii="Arial" w:eastAsia="Times New Roman" w:hAnsi="Arial" w:cs="Arial"/>
                <w:b/>
                <w:bCs/>
                <w:sz w:val="24"/>
                <w:szCs w:val="24"/>
              </w:rPr>
              <w:t>(vienas šimtas penkiasdešimt</w:t>
            </w:r>
            <w:r w:rsidRPr="000D4A65">
              <w:rPr>
                <w:rFonts w:ascii="Arial" w:eastAsia="Times New Roman" w:hAnsi="Arial" w:cs="Arial"/>
                <w:b/>
                <w:bCs/>
                <w:sz w:val="24"/>
                <w:szCs w:val="24"/>
              </w:rPr>
              <w:t>)</w:t>
            </w:r>
            <w:r w:rsidRPr="000D4A65">
              <w:rPr>
                <w:rFonts w:ascii="Arial" w:eastAsia="Times New Roman" w:hAnsi="Arial" w:cs="Arial"/>
                <w:sz w:val="24"/>
                <w:szCs w:val="24"/>
              </w:rPr>
              <w:t xml:space="preserve"> kalendorinių dienų nuo Sutarties įsigaliojimo dienos.</w:t>
            </w:r>
          </w:p>
          <w:p w14:paraId="57F4EB17" w14:textId="77777777" w:rsidR="000D4A65" w:rsidRPr="000D4A65" w:rsidRDefault="000D4A65" w:rsidP="00FE17C6">
            <w:pPr>
              <w:spacing w:after="0"/>
              <w:jc w:val="both"/>
              <w:rPr>
                <w:rFonts w:ascii="Arial" w:eastAsia="Times New Roman" w:hAnsi="Arial" w:cs="Arial"/>
                <w:sz w:val="24"/>
                <w:szCs w:val="24"/>
              </w:rPr>
            </w:pPr>
          </w:p>
          <w:p w14:paraId="69EBC7BD" w14:textId="7D5EB658" w:rsidR="000D4A65" w:rsidRPr="000D4A65" w:rsidRDefault="000D4A65" w:rsidP="00FE17C6">
            <w:pPr>
              <w:spacing w:after="0"/>
              <w:jc w:val="both"/>
              <w:rPr>
                <w:rFonts w:ascii="Arial" w:eastAsia="Times New Roman" w:hAnsi="Arial" w:cs="Arial"/>
                <w:sz w:val="24"/>
                <w:szCs w:val="24"/>
              </w:rPr>
            </w:pPr>
            <w:r w:rsidRPr="000D4A65">
              <w:rPr>
                <w:rFonts w:ascii="Arial" w:eastAsia="Times New Roman" w:hAnsi="Arial" w:cs="Arial"/>
                <w:sz w:val="24"/>
                <w:szCs w:val="24"/>
              </w:rPr>
              <w:t>B etapas: Techninio darbo projekto parengimas, projekto ekspertizė* – per</w:t>
            </w:r>
            <w:r w:rsidRPr="000D4A65">
              <w:rPr>
                <w:rFonts w:ascii="Arial" w:eastAsia="Times New Roman" w:hAnsi="Arial" w:cs="Arial"/>
                <w:b/>
                <w:bCs/>
                <w:sz w:val="24"/>
                <w:szCs w:val="24"/>
              </w:rPr>
              <w:t xml:space="preserve"> </w:t>
            </w:r>
            <w:r w:rsidR="00FC3A23">
              <w:rPr>
                <w:rFonts w:ascii="Arial" w:eastAsia="Times New Roman" w:hAnsi="Arial" w:cs="Arial"/>
                <w:b/>
                <w:bCs/>
                <w:sz w:val="24"/>
                <w:szCs w:val="24"/>
              </w:rPr>
              <w:t>120</w:t>
            </w:r>
            <w:r w:rsidRPr="000D4A65">
              <w:rPr>
                <w:rFonts w:ascii="Arial" w:eastAsia="Times New Roman" w:hAnsi="Arial" w:cs="Arial"/>
                <w:b/>
                <w:bCs/>
                <w:sz w:val="24"/>
                <w:szCs w:val="24"/>
              </w:rPr>
              <w:t xml:space="preserve"> (</w:t>
            </w:r>
            <w:r w:rsidR="00FC3A23">
              <w:rPr>
                <w:rFonts w:ascii="Arial" w:eastAsia="Times New Roman" w:hAnsi="Arial" w:cs="Arial"/>
                <w:b/>
                <w:bCs/>
                <w:sz w:val="24"/>
                <w:szCs w:val="24"/>
              </w:rPr>
              <w:t>vienas šimtas dvidešimt</w:t>
            </w:r>
            <w:r w:rsidRPr="000D4A65">
              <w:rPr>
                <w:rFonts w:ascii="Arial" w:eastAsia="Times New Roman" w:hAnsi="Arial" w:cs="Arial"/>
                <w:b/>
                <w:bCs/>
                <w:sz w:val="24"/>
                <w:szCs w:val="24"/>
              </w:rPr>
              <w:t>)</w:t>
            </w:r>
            <w:r w:rsidRPr="000D4A65">
              <w:rPr>
                <w:rFonts w:ascii="Arial" w:eastAsia="Times New Roman" w:hAnsi="Arial" w:cs="Arial"/>
                <w:sz w:val="24"/>
                <w:szCs w:val="24"/>
              </w:rPr>
              <w:t xml:space="preserve"> kalendorinių dienų </w:t>
            </w:r>
            <w:r w:rsidR="00FC3A23">
              <w:rPr>
                <w:rFonts w:ascii="Arial" w:eastAsia="Times New Roman" w:hAnsi="Arial" w:cs="Arial"/>
                <w:sz w:val="24"/>
                <w:szCs w:val="24"/>
              </w:rPr>
              <w:t>(</w:t>
            </w:r>
            <w:r w:rsidR="00FC3A23" w:rsidRPr="00FC3A23">
              <w:rPr>
                <w:rFonts w:ascii="Arial" w:eastAsia="Times New Roman" w:hAnsi="Arial" w:cs="Arial"/>
                <w:sz w:val="24"/>
                <w:szCs w:val="24"/>
              </w:rPr>
              <w:t>B etapo prad</w:t>
            </w:r>
            <w:r w:rsidR="00FC3A23" w:rsidRPr="00FC3A23">
              <w:rPr>
                <w:rFonts w:ascii="Arial" w:eastAsia="Times New Roman" w:hAnsi="Arial" w:cs="Arial" w:hint="eastAsia"/>
                <w:sz w:val="24"/>
                <w:szCs w:val="24"/>
              </w:rPr>
              <w:t>ž</w:t>
            </w:r>
            <w:r w:rsidR="00FC3A23" w:rsidRPr="00FC3A23">
              <w:rPr>
                <w:rFonts w:ascii="Arial" w:eastAsia="Times New Roman" w:hAnsi="Arial" w:cs="Arial"/>
                <w:sz w:val="24"/>
                <w:szCs w:val="24"/>
              </w:rPr>
              <w:t>ia: nuo A etapo pabaigos dienos</w:t>
            </w:r>
            <w:r w:rsidR="00FC3A23">
              <w:rPr>
                <w:rFonts w:ascii="Arial" w:eastAsia="Times New Roman" w:hAnsi="Arial" w:cs="Arial"/>
                <w:sz w:val="24"/>
                <w:szCs w:val="24"/>
              </w:rPr>
              <w:t>)</w:t>
            </w:r>
            <w:r w:rsidRPr="000D4A65">
              <w:rPr>
                <w:rFonts w:ascii="Arial" w:eastAsia="Times New Roman" w:hAnsi="Arial" w:cs="Arial"/>
                <w:sz w:val="24"/>
                <w:szCs w:val="24"/>
              </w:rPr>
              <w:t>.</w:t>
            </w:r>
          </w:p>
          <w:p w14:paraId="505B7979" w14:textId="3A248E13" w:rsidR="000D4A65" w:rsidRPr="000D4A65" w:rsidRDefault="000D4A65" w:rsidP="00FE17C6">
            <w:pPr>
              <w:spacing w:after="0"/>
              <w:jc w:val="both"/>
              <w:rPr>
                <w:rFonts w:ascii="Arial" w:eastAsia="Times New Roman" w:hAnsi="Arial" w:cs="Arial"/>
                <w:i/>
                <w:iCs/>
                <w:sz w:val="24"/>
                <w:szCs w:val="24"/>
              </w:rPr>
            </w:pPr>
            <w:r w:rsidRPr="000D4A65">
              <w:rPr>
                <w:rFonts w:ascii="Arial" w:eastAsia="Times New Roman" w:hAnsi="Arial" w:cs="Arial"/>
                <w:i/>
                <w:iCs/>
                <w:sz w:val="24"/>
                <w:szCs w:val="24"/>
              </w:rPr>
              <w:t>*statybą leidžiančio dokumento gavimo trukmė ir atitinkamai</w:t>
            </w:r>
            <w:r w:rsidR="00F70222">
              <w:rPr>
                <w:rFonts w:ascii="Arial" w:eastAsia="Times New Roman" w:hAnsi="Arial" w:cs="Arial"/>
                <w:i/>
                <w:iCs/>
                <w:sz w:val="24"/>
                <w:szCs w:val="24"/>
              </w:rPr>
              <w:t xml:space="preserve"> </w:t>
            </w:r>
            <w:r w:rsidRPr="000D4A65">
              <w:rPr>
                <w:rFonts w:ascii="Arial" w:eastAsia="Times New Roman" w:hAnsi="Arial" w:cs="Arial"/>
                <w:i/>
                <w:iCs/>
                <w:sz w:val="24"/>
                <w:szCs w:val="24"/>
              </w:rPr>
              <w:t>projekto ekspertizės atlikimo trukmė į Paslaugų trukmę neįsiskaičiuoja</w:t>
            </w:r>
            <w:r>
              <w:rPr>
                <w:rFonts w:ascii="Arial" w:eastAsia="Times New Roman" w:hAnsi="Arial" w:cs="Arial"/>
                <w:i/>
                <w:iCs/>
                <w:sz w:val="24"/>
                <w:szCs w:val="24"/>
              </w:rPr>
              <w:t>.</w:t>
            </w:r>
          </w:p>
          <w:p w14:paraId="605000D4" w14:textId="77777777" w:rsidR="000D4A65" w:rsidRPr="000D4A65" w:rsidRDefault="000D4A65" w:rsidP="00FE17C6">
            <w:pPr>
              <w:spacing w:after="0"/>
              <w:jc w:val="both"/>
              <w:rPr>
                <w:rFonts w:ascii="Arial" w:eastAsia="Times New Roman" w:hAnsi="Arial" w:cs="Arial"/>
                <w:sz w:val="24"/>
                <w:szCs w:val="24"/>
              </w:rPr>
            </w:pPr>
          </w:p>
          <w:p w14:paraId="692DEA65" w14:textId="783CB81A" w:rsidR="007B5E5C" w:rsidRPr="00BA2514" w:rsidRDefault="000D4A65" w:rsidP="00FE17C6">
            <w:pPr>
              <w:spacing w:after="0"/>
              <w:jc w:val="both"/>
              <w:rPr>
                <w:rFonts w:ascii="Arial" w:eastAsia="Times New Roman" w:hAnsi="Arial" w:cs="Arial"/>
                <w:sz w:val="24"/>
                <w:szCs w:val="24"/>
              </w:rPr>
            </w:pPr>
            <w:r w:rsidRPr="000D4A65">
              <w:rPr>
                <w:rFonts w:ascii="Arial" w:eastAsia="Times New Roman" w:hAnsi="Arial" w:cs="Arial"/>
                <w:sz w:val="24"/>
                <w:szCs w:val="24"/>
              </w:rPr>
              <w:t>C etapas:  Statinio projekto vykdymo priežiūros paslaugos  atliekamos  visu statybos darbų laikotarpiu.</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59A7E6" w14:textId="77777777" w:rsidR="000D4A65"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Turi būti pateikiami šie </w:t>
            </w:r>
            <w:r w:rsidRPr="00EF3475">
              <w:rPr>
                <w:rFonts w:ascii="Arial" w:eastAsia="Times New Roman" w:hAnsi="Arial" w:cs="Arial"/>
                <w:sz w:val="24"/>
                <w:szCs w:val="24"/>
              </w:rPr>
              <w:t>dokumentai</w:t>
            </w:r>
            <w:r w:rsidR="00EF3475" w:rsidRPr="00EF3475">
              <w:rPr>
                <w:rFonts w:ascii="Arial" w:eastAsia="Times New Roman" w:hAnsi="Arial" w:cs="Arial"/>
                <w:sz w:val="24"/>
                <w:szCs w:val="24"/>
              </w:rPr>
              <w:t xml:space="preserve"> </w:t>
            </w:r>
            <w:r w:rsidR="00EF3475" w:rsidRPr="00EF3475">
              <w:rPr>
                <w:rFonts w:ascii="Arial" w:hAnsi="Arial" w:cs="Arial"/>
                <w:kern w:val="2"/>
                <w:sz w:val="24"/>
                <w:szCs w:val="24"/>
              </w:rPr>
              <w:t>(suteikus Paslaugas arba jų dalį, arba jų etapą, arba jų periodą, privalo būti pateikiami dokumentai)</w:t>
            </w:r>
            <w:r w:rsidRPr="00EF3475">
              <w:rPr>
                <w:rFonts w:ascii="Arial" w:eastAsia="Times New Roman" w:hAnsi="Arial" w:cs="Arial"/>
                <w:sz w:val="24"/>
                <w:szCs w:val="24"/>
              </w:rPr>
              <w:t>: </w:t>
            </w:r>
            <w:r w:rsidR="0014725E" w:rsidRPr="00EF3475">
              <w:rPr>
                <w:rFonts w:ascii="Arial" w:eastAsia="Times New Roman" w:hAnsi="Arial" w:cs="Arial"/>
                <w:sz w:val="24"/>
                <w:szCs w:val="24"/>
              </w:rPr>
              <w:t xml:space="preserve"> </w:t>
            </w:r>
            <w:r w:rsidRPr="00EF3475">
              <w:rPr>
                <w:rFonts w:ascii="Arial" w:eastAsia="Times New Roman" w:hAnsi="Arial" w:cs="Arial"/>
                <w:sz w:val="24"/>
                <w:szCs w:val="24"/>
              </w:rPr>
              <w:t>Paslaugų perdavimo</w:t>
            </w:r>
            <w:r w:rsidRPr="00F05E4C">
              <w:rPr>
                <w:rFonts w:ascii="Arial" w:eastAsia="Times New Roman" w:hAnsi="Arial" w:cs="Arial"/>
                <w:sz w:val="24"/>
                <w:szCs w:val="24"/>
              </w:rPr>
              <w:t xml:space="preserve">-priėmimo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xml:space="preserve">. </w:t>
            </w:r>
          </w:p>
          <w:p w14:paraId="6B10D037" w14:textId="3B01E923"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4A14E4" w14:textId="77777777" w:rsidR="000D4A65" w:rsidRPr="003E56E1" w:rsidRDefault="000D4A65" w:rsidP="000D4A6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D9C8F33" w14:textId="77777777" w:rsidR="000D4A65" w:rsidRDefault="000D4A65" w:rsidP="000D4A65">
            <w:pPr>
              <w:spacing w:after="0"/>
              <w:jc w:val="both"/>
              <w:rPr>
                <w:rFonts w:ascii="Arial" w:eastAsia="Times New Roman" w:hAnsi="Arial" w:cs="Arial"/>
                <w:sz w:val="24"/>
                <w:szCs w:val="24"/>
              </w:rPr>
            </w:pPr>
          </w:p>
          <w:p w14:paraId="3D45CB34" w14:textId="3FBBD56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641D184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w:t>
            </w:r>
            <w:r w:rsidR="00C74944">
              <w:rPr>
                <w:rFonts w:ascii="Arial" w:eastAsia="Times New Roman" w:hAnsi="Arial" w:cs="Arial"/>
                <w:sz w:val="24"/>
                <w:szCs w:val="24"/>
              </w:rPr>
              <w:t>a</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C4AE37D"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10062BB9"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Perskaičiuota (-i) Sutarties kaina įforminama (-i) Susitarimu ir turi būti taikoma (-i) 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FB8E75" w14:textId="0323830A" w:rsidR="00C74944" w:rsidRPr="00C74944" w:rsidRDefault="00C74944" w:rsidP="00C7494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9036284" w14:textId="0DEE016B" w:rsidR="00C74944" w:rsidRDefault="00C74944" w:rsidP="00C74944">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00970A0B" w:rsidRPr="00970A0B">
              <w:rPr>
                <w:rFonts w:ascii="Arial" w:eastAsia="Times New Roman" w:hAnsi="Arial" w:cs="Arial"/>
                <w:sz w:val="24"/>
                <w:szCs w:val="24"/>
              </w:rPr>
              <w:t>Taikoma</w:t>
            </w:r>
          </w:p>
          <w:p w14:paraId="61E728AF" w14:textId="77777777" w:rsidR="00C74944" w:rsidRDefault="00C74944" w:rsidP="00C74944">
            <w:pPr>
              <w:spacing w:after="0"/>
              <w:jc w:val="both"/>
              <w:rPr>
                <w:rFonts w:ascii="Arial" w:eastAsia="Times New Roman" w:hAnsi="Arial" w:cs="Arial"/>
                <w:sz w:val="24"/>
                <w:szCs w:val="24"/>
              </w:rPr>
            </w:pPr>
          </w:p>
          <w:p w14:paraId="3A0FBE46" w14:textId="6E16F94D" w:rsidR="00C74944" w:rsidRDefault="00C74944" w:rsidP="00F05E4C">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73021EBE" w14:textId="17A73174"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4D2E0A">
              <w:rPr>
                <w:rFonts w:ascii="Arial" w:eastAsia="Times New Roman" w:hAnsi="Arial" w:cs="Arial"/>
                <w:b/>
                <w:bCs/>
                <w:sz w:val="24"/>
                <w:szCs w:val="24"/>
              </w:rPr>
              <w:t>6</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4D2E0A">
              <w:rPr>
                <w:rFonts w:ascii="Arial" w:eastAsia="Times New Roman" w:hAnsi="Arial" w:cs="Arial"/>
                <w:b/>
                <w:bCs/>
                <w:sz w:val="24"/>
                <w:szCs w:val="24"/>
              </w:rPr>
              <w:t>šešių</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1563C5">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ių</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lastRenderedPageBreak/>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Default="007B5E5C" w:rsidP="00C74944">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409F4BBB" w14:textId="77777777" w:rsidR="00C74944" w:rsidRPr="00C74944" w:rsidRDefault="00C74944" w:rsidP="00C7494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lastRenderedPageBreak/>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4918FBF" w14:textId="77777777" w:rsidR="00C74944" w:rsidRPr="005B265A" w:rsidRDefault="00C74944" w:rsidP="00C74944">
            <w:pPr>
              <w:spacing w:after="0"/>
              <w:jc w:val="both"/>
              <w:rPr>
                <w:rFonts w:ascii="Arial" w:eastAsia="Times New Roman" w:hAnsi="Arial" w:cs="Arial"/>
                <w:sz w:val="24"/>
                <w:szCs w:val="24"/>
              </w:rPr>
            </w:pPr>
          </w:p>
          <w:p w14:paraId="64A17F39" w14:textId="77777777" w:rsidR="00C74944" w:rsidRPr="00C74944" w:rsidRDefault="00C74944" w:rsidP="00C74944">
            <w:pPr>
              <w:spacing w:after="0"/>
              <w:jc w:val="both"/>
              <w:rPr>
                <w:rFonts w:ascii="Arial" w:hAnsi="Arial" w:cs="Arial"/>
                <w:b/>
                <w:bCs/>
                <w:kern w:val="2"/>
                <w:sz w:val="24"/>
                <w:szCs w:val="24"/>
                <w:shd w:val="clear" w:color="auto" w:fill="FFFFFF"/>
              </w:rPr>
            </w:pPr>
            <w:r w:rsidRPr="00C74944">
              <w:rPr>
                <w:rFonts w:ascii="Arial" w:hAnsi="Arial" w:cs="Arial"/>
                <w:b/>
                <w:bCs/>
                <w:kern w:val="2"/>
                <w:sz w:val="24"/>
                <w:szCs w:val="24"/>
                <w:shd w:val="clear" w:color="auto" w:fill="FFFFFF"/>
              </w:rPr>
              <w:t>I pirkimo dalis</w:t>
            </w:r>
          </w:p>
          <w:p w14:paraId="229A8959"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4B49432C" w14:textId="54E9274F" w:rsid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1) įvykdžius visus sutartinius įsipareigojimus, susijusius su aprašo parengimu, sumokama Sutarties kaina</w:t>
            </w:r>
            <w:r>
              <w:rPr>
                <w:rFonts w:ascii="Arial" w:hAnsi="Arial" w:cs="Arial"/>
                <w:kern w:val="2"/>
                <w:sz w:val="24"/>
                <w:szCs w:val="24"/>
                <w:shd w:val="clear" w:color="auto" w:fill="FFFFFF"/>
              </w:rPr>
              <w:t>.</w:t>
            </w:r>
          </w:p>
          <w:p w14:paraId="14B48631" w14:textId="77777777" w:rsidR="00C74944" w:rsidRPr="00C74944" w:rsidRDefault="00C74944" w:rsidP="00C74944">
            <w:pPr>
              <w:spacing w:after="0"/>
              <w:jc w:val="both"/>
              <w:rPr>
                <w:rFonts w:ascii="Arial" w:hAnsi="Arial" w:cs="Arial"/>
                <w:kern w:val="2"/>
                <w:sz w:val="24"/>
                <w:szCs w:val="24"/>
                <w:shd w:val="clear" w:color="auto" w:fill="FFFFFF"/>
              </w:rPr>
            </w:pPr>
          </w:p>
          <w:p w14:paraId="54A2C633" w14:textId="77777777" w:rsidR="00C74944" w:rsidRPr="00C74944" w:rsidRDefault="00C74944" w:rsidP="00C74944">
            <w:pPr>
              <w:spacing w:after="0"/>
              <w:jc w:val="both"/>
              <w:rPr>
                <w:rFonts w:ascii="Arial" w:hAnsi="Arial" w:cs="Arial"/>
                <w:b/>
                <w:bCs/>
                <w:kern w:val="2"/>
                <w:sz w:val="24"/>
                <w:szCs w:val="24"/>
                <w:shd w:val="clear" w:color="auto" w:fill="FFFFFF"/>
              </w:rPr>
            </w:pPr>
            <w:r w:rsidRPr="00C74944">
              <w:rPr>
                <w:rFonts w:ascii="Arial" w:hAnsi="Arial" w:cs="Arial"/>
                <w:b/>
                <w:bCs/>
                <w:kern w:val="2"/>
                <w:sz w:val="24"/>
                <w:szCs w:val="24"/>
                <w:shd w:val="clear" w:color="auto" w:fill="FFFFFF"/>
              </w:rPr>
              <w:t>II pirkimo dalis</w:t>
            </w:r>
          </w:p>
          <w:p w14:paraId="039A7CDB"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58B4875E"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1) įvykdžius visus sutartinius įsipareigojimus, susijusius su  techninio darbo projekto parengimu, sumokama Sutarties kaina už projektinių pasiūlymų ir techninio darbo projekto parengimo paslaugas;</w:t>
            </w:r>
          </w:p>
          <w:p w14:paraId="1BC72FC8" w14:textId="20BA08A0" w:rsidR="005B265A" w:rsidRPr="005B265A" w:rsidRDefault="00C74944" w:rsidP="00C74944">
            <w:pPr>
              <w:spacing w:after="0"/>
              <w:jc w:val="both"/>
              <w:rPr>
                <w:rFonts w:ascii="Arial" w:eastAsia="Times New Roman" w:hAnsi="Arial" w:cs="Arial"/>
                <w:sz w:val="24"/>
                <w:szCs w:val="24"/>
              </w:rPr>
            </w:pPr>
            <w:r w:rsidRPr="00C74944">
              <w:rPr>
                <w:rFonts w:ascii="Arial" w:hAnsi="Arial" w:cs="Arial"/>
                <w:kern w:val="2"/>
                <w:sz w:val="24"/>
                <w:szCs w:val="24"/>
                <w:shd w:val="clear" w:color="auto" w:fill="FFFFFF"/>
              </w:rPr>
              <w:t>2) už projekto vykdymo priežiūros paslaugas bus apmokama statybos darbų laikotarpiu proporcingai atliktų darbų vertei.</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9.6. Tiekėjui / Pirkėjui taikoma bauda dėl </w:t>
            </w:r>
            <w:r w:rsidRPr="00F05E4C">
              <w:rPr>
                <w:rFonts w:ascii="Arial" w:eastAsia="Times New Roman" w:hAnsi="Arial" w:cs="Arial"/>
                <w:b/>
                <w:bCs/>
                <w:sz w:val="24"/>
                <w:szCs w:val="24"/>
              </w:rPr>
              <w:lastRenderedPageBreak/>
              <w:t>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921E9D" w14:textId="77777777" w:rsidR="001563C5" w:rsidRDefault="001563C5" w:rsidP="001563C5">
            <w:pPr>
              <w:pStyle w:val="Betarp"/>
              <w:tabs>
                <w:tab w:val="left" w:pos="993"/>
              </w:tabs>
              <w:spacing w:line="276" w:lineRule="auto"/>
              <w:contextualSpacing/>
              <w:jc w:val="both"/>
              <w:rPr>
                <w:rFonts w:ascii="Arial" w:eastAsia="Times New Roman" w:hAnsi="Arial" w:cs="Arial"/>
                <w:i/>
                <w:iCs/>
                <w:sz w:val="24"/>
                <w:szCs w:val="24"/>
              </w:rPr>
            </w:pPr>
            <w:r w:rsidRPr="001563C5">
              <w:rPr>
                <w:rFonts w:ascii="Arial" w:eastAsia="Times New Roman" w:hAnsi="Arial" w:cs="Arial"/>
                <w:i/>
                <w:iCs/>
                <w:sz w:val="24"/>
                <w:szCs w:val="24"/>
                <w:highlight w:val="lightGray"/>
              </w:rPr>
              <w:t>[Įrašyti pagal pirkimo dalį]:</w:t>
            </w:r>
          </w:p>
          <w:p w14:paraId="0CC90748" w14:textId="77777777" w:rsidR="001563C5" w:rsidRPr="001563C5" w:rsidRDefault="001563C5" w:rsidP="001563C5">
            <w:pPr>
              <w:pStyle w:val="Betarp"/>
              <w:tabs>
                <w:tab w:val="left" w:pos="993"/>
              </w:tabs>
              <w:spacing w:line="276" w:lineRule="auto"/>
              <w:contextualSpacing/>
              <w:jc w:val="both"/>
              <w:rPr>
                <w:rFonts w:ascii="Arial" w:hAnsi="Arial" w:cs="Arial"/>
                <w:b/>
                <w:bCs/>
                <w:sz w:val="24"/>
                <w:szCs w:val="24"/>
                <w:shd w:val="clear" w:color="auto" w:fill="FFFFFF"/>
              </w:rPr>
            </w:pPr>
          </w:p>
          <w:p w14:paraId="1909B812"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 xml:space="preserve">I pirkimo dalis: </w:t>
            </w:r>
          </w:p>
          <w:p w14:paraId="24E7413D"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sz w:val="24"/>
                <w:szCs w:val="24"/>
              </w:rPr>
              <w:t>Ši Sutartis laikoma sudaryta ir įsigalioja nuo Sutarties pasirašymo dienos (antrosios Šalies pasirašymo dieną).</w:t>
            </w:r>
          </w:p>
          <w:p w14:paraId="56BE8B90" w14:textId="4A6CFAF9" w:rsidR="001563C5" w:rsidRPr="001563C5" w:rsidRDefault="00EB0068" w:rsidP="001563C5">
            <w:pPr>
              <w:spacing w:after="0"/>
              <w:jc w:val="both"/>
              <w:rPr>
                <w:rFonts w:ascii="Arial" w:eastAsia="Times New Roman" w:hAnsi="Arial" w:cs="Arial"/>
                <w:b/>
                <w:bCs/>
                <w:sz w:val="24"/>
                <w:szCs w:val="24"/>
              </w:rPr>
            </w:pPr>
            <w:r w:rsidRPr="00EB0068">
              <w:rPr>
                <w:rFonts w:ascii="Arial" w:eastAsia="Times New Roman" w:hAnsi="Arial" w:cs="Arial"/>
                <w:sz w:val="24"/>
                <w:szCs w:val="24"/>
              </w:rPr>
              <w:t>Sutartis galioja iki paskutinės kalendorinio mėnesio dienos, einančios po mėnesio, kurį buvo suteikta paskutinė paslauga pagal šią Sutartį, tačiau bet kokiu atveju – iki visiško šalių tarpusavio įsipareigojimų (įskaitant atsiskaitymus) įvykdymo</w:t>
            </w:r>
            <w:r w:rsidR="00E80DEC">
              <w:rPr>
                <w:rFonts w:ascii="Arial" w:eastAsia="Times New Roman" w:hAnsi="Arial" w:cs="Arial"/>
                <w:sz w:val="24"/>
                <w:szCs w:val="24"/>
              </w:rPr>
              <w:t xml:space="preserve"> (Paslaugų suteikimo terminai nurodyti </w:t>
            </w:r>
            <w:r w:rsidR="00E80DEC" w:rsidRPr="00FE17C6">
              <w:rPr>
                <w:rFonts w:ascii="Arial" w:eastAsia="Times New Roman" w:hAnsi="Arial" w:cs="Arial"/>
                <w:sz w:val="24"/>
                <w:szCs w:val="24"/>
              </w:rPr>
              <w:t>Techninėje</w:t>
            </w:r>
            <w:r w:rsidR="00E80DEC">
              <w:rPr>
                <w:rFonts w:ascii="Arial" w:eastAsia="Times New Roman" w:hAnsi="Arial" w:cs="Arial"/>
                <w:sz w:val="24"/>
                <w:szCs w:val="24"/>
              </w:rPr>
              <w:t xml:space="preserve"> </w:t>
            </w:r>
            <w:r w:rsidR="00E80DEC" w:rsidRPr="00FE17C6">
              <w:rPr>
                <w:rFonts w:ascii="Arial" w:eastAsia="Times New Roman" w:hAnsi="Arial" w:cs="Arial"/>
                <w:sz w:val="24"/>
                <w:szCs w:val="24"/>
              </w:rPr>
              <w:t>specifikacijoje </w:t>
            </w:r>
            <w:r w:rsidR="00E80DEC">
              <w:rPr>
                <w:rFonts w:ascii="Arial" w:eastAsia="Times New Roman" w:hAnsi="Arial" w:cs="Arial"/>
                <w:sz w:val="24"/>
                <w:szCs w:val="24"/>
              </w:rPr>
              <w:t>(sutarties priedas Nr. 1)</w:t>
            </w:r>
            <w:r w:rsidR="00E80DEC">
              <w:rPr>
                <w:rFonts w:ascii="Arial" w:eastAsia="Times New Roman" w:hAnsi="Arial" w:cs="Arial"/>
                <w:sz w:val="24"/>
                <w:szCs w:val="24"/>
              </w:rPr>
              <w:t>)</w:t>
            </w:r>
            <w:r w:rsidR="00FC3A23" w:rsidRPr="00EB0068">
              <w:rPr>
                <w:rFonts w:ascii="Arial" w:eastAsia="Times New Roman" w:hAnsi="Arial" w:cs="Arial"/>
                <w:sz w:val="24"/>
                <w:szCs w:val="24"/>
              </w:rPr>
              <w:t>.</w:t>
            </w:r>
          </w:p>
          <w:p w14:paraId="66FCFB50" w14:textId="77777777" w:rsidR="001563C5" w:rsidRPr="001563C5" w:rsidRDefault="001563C5" w:rsidP="001563C5">
            <w:pPr>
              <w:spacing w:after="0"/>
              <w:jc w:val="both"/>
              <w:rPr>
                <w:rFonts w:ascii="Arial" w:eastAsia="Times New Roman" w:hAnsi="Arial" w:cs="Arial"/>
                <w:b/>
                <w:bCs/>
                <w:sz w:val="24"/>
                <w:szCs w:val="24"/>
              </w:rPr>
            </w:pPr>
          </w:p>
          <w:p w14:paraId="12420A66"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II pirkimo dalis:</w:t>
            </w:r>
            <w:r w:rsidRPr="001563C5">
              <w:rPr>
                <w:rFonts w:ascii="Arial" w:eastAsia="Times New Roman" w:hAnsi="Arial" w:cs="Arial"/>
                <w:sz w:val="24"/>
                <w:szCs w:val="24"/>
              </w:rPr>
              <w:t xml:space="preserve"> </w:t>
            </w:r>
          </w:p>
          <w:p w14:paraId="0A95B8D5"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sz w:val="24"/>
                <w:szCs w:val="24"/>
              </w:rPr>
              <w:t>Ši Sutartis laikoma sudaryta ir įsigalioja nuo Sutarties pasirašymo dienos (antrosios Šalies pasirašymo dieną).</w:t>
            </w:r>
          </w:p>
          <w:p w14:paraId="2CE08BB0" w14:textId="77777777" w:rsidR="001563C5" w:rsidRPr="001563C5" w:rsidRDefault="001563C5" w:rsidP="001563C5">
            <w:pPr>
              <w:spacing w:after="0"/>
              <w:jc w:val="both"/>
              <w:rPr>
                <w:rFonts w:ascii="Arial" w:eastAsia="Times New Roman" w:hAnsi="Arial" w:cs="Arial"/>
                <w:b/>
                <w:bCs/>
                <w:sz w:val="24"/>
                <w:szCs w:val="24"/>
              </w:rPr>
            </w:pPr>
            <w:r w:rsidRPr="001563C5">
              <w:rPr>
                <w:rFonts w:ascii="Arial" w:eastAsia="Times New Roman" w:hAnsi="Arial" w:cs="Arial"/>
                <w:sz w:val="24"/>
                <w:szCs w:val="24"/>
              </w:rPr>
              <w:t xml:space="preserve">Sutartis galioja iki visiško prievolių įvykdymo (kol bus išnaudota Pradinės Sutarties vertė, bet jos terminas </w:t>
            </w:r>
            <w:r w:rsidRPr="001563C5">
              <w:rPr>
                <w:rFonts w:ascii="Arial" w:eastAsia="Times New Roman" w:hAnsi="Arial" w:cs="Arial"/>
                <w:b/>
                <w:bCs/>
                <w:sz w:val="24"/>
                <w:szCs w:val="24"/>
              </w:rPr>
              <w:t xml:space="preserve">negali būti ilgesnis kaip 36 mėn. nuo Sutarties įsigaliojimo dienos. </w:t>
            </w:r>
          </w:p>
          <w:p w14:paraId="0BBA0B99" w14:textId="00972F64" w:rsidR="001563C5" w:rsidRPr="001563C5" w:rsidRDefault="001563C5" w:rsidP="001563C5">
            <w:pPr>
              <w:spacing w:after="0"/>
              <w:jc w:val="both"/>
              <w:rPr>
                <w:rFonts w:ascii="Arial" w:eastAsia="Times New Roman" w:hAnsi="Arial" w:cs="Arial"/>
                <w:sz w:val="24"/>
                <w:szCs w:val="24"/>
              </w:rPr>
            </w:pP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189CE5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w:t>
            </w:r>
            <w:r w:rsidR="001563C5" w:rsidRPr="00F05E4C">
              <w:rPr>
                <w:rFonts w:ascii="Arial" w:eastAsia="Times New Roman" w:hAnsi="Arial" w:cs="Arial"/>
                <w:sz w:val="24"/>
                <w:szCs w:val="24"/>
              </w:rPr>
              <w:t>terminu</w:t>
            </w:r>
            <w:r w:rsidR="001563C5" w:rsidRPr="001563C5">
              <w:rPr>
                <w:rFonts w:ascii="Arial" w:eastAsia="Times New Roman" w:hAnsi="Arial" w:cs="Arial"/>
                <w:sz w:val="24"/>
                <w:szCs w:val="24"/>
              </w:rPr>
              <w:t>s daugiau nei 30 (trisdešimt) dienų</w:t>
            </w:r>
            <w:r w:rsidRPr="001563C5">
              <w:rPr>
                <w:rFonts w:ascii="Arial" w:eastAsia="Times New Roman" w:hAnsi="Arial" w:cs="Arial"/>
                <w:sz w:val="24"/>
                <w:szCs w:val="24"/>
              </w:rPr>
              <w:t>;</w:t>
            </w:r>
          </w:p>
          <w:p w14:paraId="7E17A7DB" w14:textId="42E00D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w:t>
            </w:r>
            <w:r w:rsidR="001563C5">
              <w:rPr>
                <w:rFonts w:ascii="Arial" w:eastAsia="Times New Roman" w:hAnsi="Arial" w:cs="Arial"/>
                <w:sz w:val="24"/>
                <w:szCs w:val="24"/>
              </w:rPr>
              <w:t xml:space="preserve"> </w:t>
            </w:r>
            <w:r w:rsidR="001563C5" w:rsidRPr="001563C5">
              <w:rPr>
                <w:rFonts w:ascii="Arial" w:eastAsia="Times New Roman" w:hAnsi="Arial" w:cs="Arial"/>
                <w:sz w:val="24"/>
                <w:szCs w:val="24"/>
              </w:rPr>
              <w:t>daugiau nei 30 (trisdešimt) dienų</w:t>
            </w:r>
            <w:r w:rsidRPr="001563C5">
              <w:rPr>
                <w:rFonts w:ascii="Arial" w:eastAsia="Times New Roman" w:hAnsi="Arial" w:cs="Arial"/>
                <w:sz w:val="24"/>
                <w:szCs w:val="24"/>
              </w:rPr>
              <w:t xml:space="preserve"> ir </w:t>
            </w:r>
            <w:r w:rsidRPr="00F05E4C">
              <w:rPr>
                <w:rFonts w:ascii="Arial" w:eastAsia="Times New Roman" w:hAnsi="Arial" w:cs="Arial"/>
                <w:sz w:val="24"/>
                <w:szCs w:val="24"/>
              </w:rPr>
              <w:t>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6A6105A4" w14:textId="27224FBA" w:rsidR="00BB726D"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sidR="00BB726D">
              <w:rPr>
                <w:rFonts w:ascii="Arial" w:eastAsia="Times New Roman" w:hAnsi="Arial" w:cs="Arial"/>
                <w:sz w:val="24"/>
                <w:szCs w:val="24"/>
              </w:rPr>
              <w:t>,</w:t>
            </w:r>
            <w:r w:rsidRPr="005B265A">
              <w:rPr>
                <w:rFonts w:ascii="Arial" w:eastAsia="Times New Roman" w:hAnsi="Arial" w:cs="Arial"/>
                <w:sz w:val="24"/>
                <w:szCs w:val="24"/>
              </w:rPr>
              <w:t xml:space="preserve"> pažeidimas.</w:t>
            </w:r>
            <w:r w:rsidR="00BB726D">
              <w:rPr>
                <w:rFonts w:ascii="Arial" w:eastAsia="Times New Roman" w:hAnsi="Arial" w:cs="Arial"/>
                <w:sz w:val="24"/>
                <w:szCs w:val="24"/>
              </w:rPr>
              <w:t xml:space="preserve"> </w:t>
            </w:r>
          </w:p>
          <w:p w14:paraId="0A8A4939" w14:textId="3F3EE196" w:rsidR="005B265A" w:rsidRPr="00F05E4C" w:rsidRDefault="00BB726D" w:rsidP="00F05E4C">
            <w:pPr>
              <w:spacing w:after="0"/>
              <w:jc w:val="both"/>
              <w:rPr>
                <w:rFonts w:ascii="Arial" w:eastAsia="Times New Roman" w:hAnsi="Arial" w:cs="Arial"/>
                <w:sz w:val="24"/>
                <w:szCs w:val="24"/>
              </w:rPr>
            </w:pPr>
            <w:r>
              <w:rPr>
                <w:rFonts w:ascii="Arial" w:eastAsia="Times New Roman" w:hAnsi="Arial" w:cs="Arial"/>
                <w:sz w:val="24"/>
                <w:szCs w:val="24"/>
              </w:rPr>
              <w:t xml:space="preserve">12.2.10. </w:t>
            </w:r>
            <w:r w:rsidRPr="00AB3D43">
              <w:rPr>
                <w:rFonts w:ascii="Arial" w:eastAsia="Times New Roman" w:hAnsi="Arial" w:cs="Arial"/>
                <w:sz w:val="24"/>
                <w:szCs w:val="24"/>
              </w:rPr>
              <w:t>R</w:t>
            </w:r>
            <w:r w:rsidRPr="00AB3D43">
              <w:rPr>
                <w:rFonts w:ascii="Arial" w:hAnsi="Arial" w:cs="Arial"/>
                <w:sz w:val="24"/>
                <w:szCs w:val="24"/>
              </w:rPr>
              <w:t>eikalavimų, susijusių su aplinkos apsaugos reikalavimais, nevykdymas.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468CC4" w14:textId="7FA249CA" w:rsidR="005B6BC1" w:rsidRDefault="005B265A"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005B6BC1" w:rsidRPr="005B6BC1">
              <w:rPr>
                <w:rFonts w:ascii="Arial" w:eastAsia="Times New Roman" w:hAnsi="Arial" w:cs="Arial"/>
                <w:sz w:val="24"/>
                <w:szCs w:val="24"/>
                <w:lang w:eastAsia="en-US"/>
              </w:rPr>
              <w:t xml:space="preserve">Nurodyti Sutarties priede Nr. 1 „Techninė specifikacija“ </w:t>
            </w:r>
          </w:p>
          <w:p w14:paraId="1BDC1173" w14:textId="62053E46"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w:t>
            </w:r>
            <w:r w:rsidR="005B6BC1">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8AD054"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w:t>
            </w:r>
          </w:p>
          <w:p w14:paraId="37A6A9E2" w14:textId="33C5E182"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7.4.1.1.</w:t>
            </w:r>
            <w:r w:rsidRPr="00D95ABD">
              <w:rPr>
                <w:rFonts w:ascii="Arial" w:eastAsia="Times New Roman"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966C2E"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Šalys susitaria papildyti Sutarties Bendrąsias sąlygas nurodytu punktu, tačiau kitų punktų numeracijos nekeisti: </w:t>
            </w:r>
          </w:p>
          <w:p w14:paraId="0B51468F" w14:textId="057B0B71"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95ABD">
              <w:rPr>
                <w:rFonts w:ascii="Arial" w:eastAsia="Times New Roman" w:hAnsi="Arial" w:cs="Arial"/>
                <w:sz w:val="24"/>
                <w:szCs w:val="24"/>
              </w:rPr>
              <w:t>sui</w:t>
            </w:r>
            <w:proofErr w:type="spellEnd"/>
            <w:r w:rsidRPr="00D95ABD">
              <w:rPr>
                <w:rFonts w:ascii="Arial" w:eastAsia="Times New Roman" w:hAnsi="Arial" w:cs="Arial"/>
                <w:sz w:val="24"/>
                <w:szCs w:val="24"/>
              </w:rPr>
              <w:t xml:space="preserve"> </w:t>
            </w:r>
            <w:proofErr w:type="spellStart"/>
            <w:r w:rsidRPr="00D95ABD">
              <w:rPr>
                <w:rFonts w:ascii="Arial" w:eastAsia="Times New Roman" w:hAnsi="Arial" w:cs="Arial"/>
                <w:sz w:val="24"/>
                <w:szCs w:val="24"/>
              </w:rPr>
              <w:t>generis</w:t>
            </w:r>
            <w:proofErr w:type="spellEnd"/>
            <w:r w:rsidRPr="00D95ABD">
              <w:rPr>
                <w:rFonts w:ascii="Arial" w:eastAsia="Times New Roman" w:hAnsi="Arial" w:cs="Arial"/>
                <w:sz w:val="24"/>
                <w:szCs w:val="24"/>
              </w:rPr>
              <w:t xml:space="preserve">) teisės, firmų, įmonių, organizacijų, verslo pavadinimų ar vardų savininkų ir kitos panašios teisės ar įsipareigojimai, nepriklausomai nuo to, ar jie registruoti Lietuvos Respublikoje, ar kitose šalyse, ar neregistruotini, </w:t>
            </w:r>
            <w:r w:rsidRPr="00D95ABD">
              <w:rPr>
                <w:rFonts w:ascii="Arial" w:eastAsia="Times New Roman" w:hAnsi="Arial" w:cs="Arial"/>
                <w:sz w:val="24"/>
                <w:szCs w:val="24"/>
              </w:rPr>
              <w:lastRenderedPageBreak/>
              <w:t>išskyrus atvejus, kai toks pažeidimas atsiranda dėl Pirkėjo kaltės.</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CDF39E"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Šalys susitaria išbraukti nurodytą Sutarties Bendrųjų sąlygų punktą, tačiau kitų punktų numeracijos nekeisti: </w:t>
            </w:r>
          </w:p>
          <w:p w14:paraId="5A8C57A9" w14:textId="6740B583"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281875E" w14:textId="7777777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Šalys susitaria išbraukti nurodytą Sutarties Bendrųjų sąlygų punktą, tačiau kitų punktų numeracijos nekeisti:</w:t>
            </w:r>
          </w:p>
          <w:p w14:paraId="3E32C976" w14:textId="7777777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3F4667" w14:textId="3D678312" w:rsidR="00D95ABD" w:rsidRPr="00F05E4C"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BD533A" w14:textId="067A11A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Šalys susitaria išbraukti nurodytą Sutarties Bendrųjų sąlygų punktą, tačiau kitų punktų numeracijos nekeisti:</w:t>
            </w:r>
          </w:p>
          <w:p w14:paraId="36B1702E" w14:textId="722EBF9E" w:rsidR="007B5E5C" w:rsidRPr="00F05E4C"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w:t>
            </w:r>
            <w:r w:rsidRPr="00D95ABD">
              <w:rPr>
                <w:rFonts w:ascii="Arial" w:eastAsia="Times New Roman" w:hAnsi="Arial" w:cs="Arial"/>
                <w:sz w:val="24"/>
                <w:szCs w:val="24"/>
              </w:rPr>
              <w:lastRenderedPageBreak/>
              <w:t>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FDE4" w14:textId="77777777" w:rsidR="00987AEC" w:rsidRDefault="00987AEC" w:rsidP="00191CC4">
      <w:pPr>
        <w:spacing w:after="0" w:line="240" w:lineRule="auto"/>
      </w:pPr>
      <w:r>
        <w:separator/>
      </w:r>
    </w:p>
  </w:endnote>
  <w:endnote w:type="continuationSeparator" w:id="0">
    <w:p w14:paraId="18BCAF02" w14:textId="77777777" w:rsidR="00987AEC" w:rsidRDefault="00987AEC"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6D6A" w14:textId="77777777" w:rsidR="00987AEC" w:rsidRDefault="00987AEC" w:rsidP="00191CC4">
      <w:pPr>
        <w:spacing w:after="0" w:line="240" w:lineRule="auto"/>
      </w:pPr>
      <w:r>
        <w:separator/>
      </w:r>
    </w:p>
  </w:footnote>
  <w:footnote w:type="continuationSeparator" w:id="0">
    <w:p w14:paraId="534C0828" w14:textId="77777777" w:rsidR="00987AEC" w:rsidRDefault="00987AEC"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blinstrubien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42</Pages>
  <Words>72254</Words>
  <Characters>41186</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392</cp:revision>
  <cp:lastPrinted>2024-03-05T14:06:00Z</cp:lastPrinted>
  <dcterms:created xsi:type="dcterms:W3CDTF">2024-04-12T10:23:00Z</dcterms:created>
  <dcterms:modified xsi:type="dcterms:W3CDTF">2026-02-12T11:34:00Z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