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6EE1CB0F" w:rsidR="008A33FD" w:rsidRPr="00B102AE" w:rsidRDefault="00B102AE"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B102AE">
              <w:rPr>
                <w:b/>
                <w:bCs/>
                <w:color w:val="000000"/>
                <w:sz w:val="22"/>
                <w:szCs w:val="22"/>
                <w:lang w:eastAsia="lt-LT"/>
              </w:rPr>
              <w:t>Vienkartinės priemonės. Užpakalinės kameros sulankstomi monolitiniai toriniai asferiniai IOL su kasetėmis implantavimui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040A257" w14:textId="77777777" w:rsidR="00625B9B" w:rsidRDefault="00625B9B" w:rsidP="00625B9B">
            <w:pPr>
              <w:autoSpaceDE w:val="0"/>
              <w:autoSpaceDN w:val="0"/>
              <w:adjustRightInd w:val="0"/>
            </w:pPr>
            <w:r>
              <w:rPr>
                <w:sz w:val="22"/>
                <w:szCs w:val="22"/>
              </w:rPr>
              <w:t>Akių, galvos ir kaklo chirurgijos klinikos</w:t>
            </w:r>
            <w:r w:rsidRPr="001275B8">
              <w:rPr>
                <w:sz w:val="22"/>
                <w:szCs w:val="22"/>
              </w:rPr>
              <w:t xml:space="preserve"> vadybininkė </w:t>
            </w:r>
            <w:r>
              <w:rPr>
                <w:sz w:val="22"/>
                <w:szCs w:val="22"/>
              </w:rPr>
              <w:t>Dovilė Juškienė</w:t>
            </w:r>
            <w:r w:rsidRPr="00D27B41">
              <w:rPr>
                <w:sz w:val="22"/>
                <w:szCs w:val="22"/>
              </w:rPr>
              <w:t xml:space="preserve"> darbo tel.+370</w:t>
            </w:r>
            <w:r>
              <w:rPr>
                <w:sz w:val="22"/>
                <w:szCs w:val="22"/>
              </w:rPr>
              <w:t> 677 60 987,</w:t>
            </w:r>
            <w:r w:rsidRPr="00D27B41">
              <w:rPr>
                <w:sz w:val="22"/>
                <w:szCs w:val="22"/>
              </w:rPr>
              <w:t xml:space="preserve"> el.p. </w:t>
            </w:r>
            <w:hyperlink r:id="rId6" w:history="1">
              <w:r w:rsidRPr="00923085">
                <w:rPr>
                  <w:rStyle w:val="Hipersaitas"/>
                  <w:sz w:val="22"/>
                  <w:szCs w:val="22"/>
                </w:rPr>
                <w:t>d</w:t>
              </w:r>
              <w:r w:rsidRPr="00923085">
                <w:rPr>
                  <w:rStyle w:val="Hipersaitas"/>
                </w:rPr>
                <w:t>ovile.juskiene</w:t>
              </w:r>
              <w:r w:rsidRPr="00923085">
                <w:rPr>
                  <w:rStyle w:val="Hipersaitas"/>
                  <w:sz w:val="22"/>
                  <w:szCs w:val="22"/>
                </w:rPr>
                <w:t>@kul.lt</w:t>
              </w:r>
            </w:hyperlink>
          </w:p>
          <w:p w14:paraId="2BF88BF0" w14:textId="5AA0B8CC" w:rsidR="00625B9B" w:rsidRPr="004277CA" w:rsidRDefault="00625B9B" w:rsidP="00625B9B">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3C2D035C"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625B9B">
              <w:rPr>
                <w:b/>
                <w:bCs/>
                <w:kern w:val="2"/>
                <w:sz w:val="22"/>
                <w:szCs w:val="22"/>
              </w:rPr>
              <w:t>5</w:t>
            </w:r>
            <w:r w:rsidR="00917AC7">
              <w:rPr>
                <w:b/>
                <w:bCs/>
                <w:kern w:val="2"/>
                <w:sz w:val="22"/>
                <w:szCs w:val="22"/>
              </w:rPr>
              <w:t xml:space="preserve"> (</w:t>
            </w:r>
            <w:r w:rsidR="00625B9B">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w:t>
            </w:r>
            <w:r w:rsidR="00625B9B">
              <w:rPr>
                <w:kern w:val="2"/>
                <w:sz w:val="22"/>
                <w:szCs w:val="22"/>
              </w:rPr>
              <w:t>9</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25B9B"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7D074A52"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625B9B">
              <w:rPr>
                <w:b/>
                <w:bCs/>
                <w:color w:val="000000"/>
                <w:kern w:val="2"/>
                <w:sz w:val="22"/>
                <w:szCs w:val="22"/>
              </w:rPr>
              <w:t>1</w:t>
            </w:r>
            <w:r>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625B9B">
              <w:rPr>
                <w:b/>
                <w:bCs/>
                <w:sz w:val="22"/>
                <w:szCs w:val="22"/>
              </w:rPr>
              <w:t>12</w:t>
            </w:r>
            <w:r w:rsidRPr="00461685">
              <w:rPr>
                <w:b/>
                <w:bCs/>
                <w:kern w:val="2"/>
                <w:sz w:val="22"/>
                <w:szCs w:val="22"/>
              </w:rPr>
              <w:t xml:space="preserve"> mėnesi</w:t>
            </w:r>
            <w:r w:rsidR="00625B9B">
              <w:rPr>
                <w:b/>
                <w:bCs/>
                <w:kern w:val="2"/>
                <w:sz w:val="22"/>
                <w:szCs w:val="22"/>
              </w:rPr>
              <w:t>ų</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jusk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66464</Words>
  <Characters>37885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2026-02-11T15:51:00Z</dcterms:created>
  <dcterms:modified xsi:type="dcterms:W3CDTF">2026-02-11T15:56:00Z</dcterms:modified>
</cp:coreProperties>
</file>