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415FD3F4"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AB2824">
            <w:rPr>
              <w:rFonts w:ascii="Times New Roman" w:eastAsia="Times New Roman" w:hAnsi="Times New Roman" w:cs="Times New Roman"/>
              <w:sz w:val="22"/>
              <w:szCs w:val="22"/>
            </w:rPr>
            <w:t xml:space="preserve"> </w:t>
          </w:r>
          <w:r w:rsidRPr="00AE7CE1">
            <w:rPr>
              <w:rFonts w:ascii="Times New Roman" w:eastAsia="Times New Roman" w:hAnsi="Times New Roman" w:cs="Times New Roman"/>
              <w:sz w:val="22"/>
              <w:szCs w:val="22"/>
            </w:rPr>
            <w:t>(</w:t>
          </w:r>
          <w:r w:rsidR="00AB2824">
            <w:rPr>
              <w:rFonts w:ascii="Times New Roman" w:eastAsia="Times New Roman" w:hAnsi="Times New Roman" w:cs="Times New Roman"/>
              <w:sz w:val="22"/>
              <w:szCs w:val="22"/>
            </w:rPr>
            <w:t>0</w:t>
          </w:r>
          <w:r w:rsidRPr="00AE7CE1">
            <w:rPr>
              <w:rFonts w:ascii="Times New Roman" w:eastAsia="Times New Roman" w:hAnsi="Times New Roman" w:cs="Times New Roman"/>
              <w:sz w:val="22"/>
              <w:szCs w:val="22"/>
            </w:rPr>
            <w:t xml:space="preserve"> 46) </w:t>
          </w:r>
          <w:r w:rsidR="00F60F22" w:rsidRPr="00AE7CE1">
            <w:rPr>
              <w:rFonts w:ascii="Times New Roman" w:eastAsia="Times New Roman" w:hAnsi="Times New Roman" w:cs="Times New Roman"/>
              <w:sz w:val="22"/>
              <w:szCs w:val="22"/>
            </w:rPr>
            <w:t xml:space="preserve">396 </w:t>
          </w:r>
          <w:r w:rsidR="004236E6">
            <w:rPr>
              <w:rFonts w:ascii="Times New Roman" w:eastAsia="Times New Roman" w:hAnsi="Times New Roman" w:cs="Times New Roman"/>
              <w:sz w:val="22"/>
              <w:szCs w:val="22"/>
            </w:rPr>
            <w:t>5</w:t>
          </w:r>
          <w:r w:rsidR="0039434D" w:rsidRPr="00AE7CE1">
            <w:rPr>
              <w:rFonts w:ascii="Times New Roman" w:eastAsia="Times New Roman" w:hAnsi="Times New Roman" w:cs="Times New Roman"/>
              <w:sz w:val="22"/>
              <w:szCs w:val="22"/>
            </w:rPr>
            <w:t>0</w:t>
          </w:r>
          <w:r w:rsidR="004236E6">
            <w:rPr>
              <w:rFonts w:ascii="Times New Roman" w:eastAsia="Times New Roman" w:hAnsi="Times New Roman" w:cs="Times New Roman"/>
              <w:sz w:val="22"/>
              <w:szCs w:val="22"/>
            </w:rPr>
            <w:t>2</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1CC2ABBE"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722894">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722894">
            <w:rPr>
              <w:rFonts w:ascii="Times New Roman" w:eastAsia="Times New Roman" w:hAnsi="Times New Roman" w:cs="Times New Roman"/>
              <w:noProof/>
              <w:sz w:val="22"/>
              <w:szCs w:val="22"/>
            </w:rPr>
            <w:t>0</w:t>
          </w:r>
          <w:r w:rsidR="004236E6">
            <w:rPr>
              <w:rFonts w:ascii="Times New Roman" w:eastAsia="Times New Roman" w:hAnsi="Times New Roman" w:cs="Times New Roman"/>
              <w:noProof/>
              <w:sz w:val="22"/>
              <w:szCs w:val="22"/>
            </w:rPr>
            <w:t>2</w:t>
          </w:r>
          <w:r w:rsidR="000F5BE7" w:rsidRPr="00AE7CE1">
            <w:rPr>
              <w:rFonts w:ascii="Times New Roman" w:eastAsia="Times New Roman" w:hAnsi="Times New Roman" w:cs="Times New Roman"/>
              <w:noProof/>
              <w:sz w:val="22"/>
              <w:szCs w:val="22"/>
            </w:rPr>
            <w:t>-</w:t>
          </w:r>
          <w:r w:rsidR="0033486A">
            <w:rPr>
              <w:rFonts w:ascii="Times New Roman" w:eastAsia="Times New Roman" w:hAnsi="Times New Roman" w:cs="Times New Roman"/>
              <w:noProof/>
              <w:sz w:val="22"/>
              <w:szCs w:val="22"/>
            </w:rPr>
            <w:t>17</w:t>
          </w:r>
        </w:p>
        <w:p w14:paraId="2B84068B" w14:textId="3C26DA6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Protokolu Nr.</w:t>
          </w:r>
          <w:r w:rsidR="00886297">
            <w:rPr>
              <w:rFonts w:ascii="Times New Roman" w:eastAsia="Times New Roman" w:hAnsi="Times New Roman" w:cs="Times New Roman"/>
              <w:noProof/>
              <w:sz w:val="22"/>
              <w:szCs w:val="22"/>
            </w:rPr>
            <w:t xml:space="preserve"> 3526</w:t>
          </w:r>
          <w:r w:rsidRPr="00AE7CE1">
            <w:rPr>
              <w:rFonts w:ascii="Times New Roman" w:eastAsia="Times New Roman" w:hAnsi="Times New Roman" w:cs="Times New Roman"/>
              <w:noProof/>
              <w:sz w:val="22"/>
              <w:szCs w:val="22"/>
            </w:rPr>
            <w:t xml:space="preserve"> </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5E6ED86B" w:rsidR="005E2980" w:rsidRPr="00AC42F2"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sidRPr="00AC42F2">
            <w:rPr>
              <w:rFonts w:ascii="Times New Roman" w:hAnsi="Times New Roman" w:cs="Times New Roman"/>
              <w:b/>
              <w:bCs/>
              <w:sz w:val="22"/>
              <w:szCs w:val="22"/>
            </w:rPr>
            <w:t>„</w:t>
          </w:r>
          <w:r w:rsidR="00AC42F2" w:rsidRPr="00AC42F2">
            <w:rPr>
              <w:rFonts w:ascii="Times New Roman" w:hAnsi="Times New Roman" w:cs="Times New Roman"/>
              <w:b/>
              <w:bCs/>
              <w:caps/>
              <w:sz w:val="22"/>
              <w:szCs w:val="22"/>
            </w:rPr>
            <w:t>Instrumentų ir priemonių komplektas laparoskopinei chirurgijai</w:t>
          </w:r>
          <w:r w:rsidR="00CA1FC8" w:rsidRPr="00AC42F2">
            <w:rPr>
              <w:rFonts w:ascii="Times New Roman" w:hAnsi="Times New Roman" w:cs="Times New Roman"/>
              <w:b/>
              <w:bCs/>
              <w:sz w:val="22"/>
              <w:szCs w:val="22"/>
            </w:rPr>
            <w:t>“</w:t>
          </w:r>
          <w:r w:rsidR="008F6B84" w:rsidRPr="00AC42F2">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eastAsia="Times New Roman"/>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p w14:paraId="0DDC40AE" w14:textId="4D4CA8E5" w:rsidR="001C24BC" w:rsidRPr="00CA1FC8" w:rsidRDefault="00F12B7E" w:rsidP="00026368">
              <w:pPr>
                <w:pStyle w:val="Turinys1"/>
              </w:pPr>
              <w:r>
                <w:t xml:space="preserve"> </w:t>
              </w:r>
              <w:r w:rsidR="00026368">
                <w:t xml:space="preserve"> </w:t>
              </w:r>
              <w:hyperlink w:anchor="_Toc202517982" w:history="1">
                <w:r w:rsidR="006C117D" w:rsidRPr="00C44E7F">
                  <w:rPr>
                    <w:rStyle w:val="Hipersaitas"/>
                  </w:rPr>
                  <w:t xml:space="preserve">Pirkimo sąlygų </w:t>
                </w:r>
                <w:r w:rsidR="00026368">
                  <w:rPr>
                    <w:rStyle w:val="Hipersaitas"/>
                  </w:rPr>
                  <w:t>8</w:t>
                </w:r>
                <w:r w:rsidR="006C117D" w:rsidRPr="00C44E7F">
                  <w:rPr>
                    <w:rStyle w:val="Hipersaitas"/>
                  </w:rPr>
                  <w:t xml:space="preserve"> priedas „Sutarties projektas“</w:t>
                </w:r>
                <w:r w:rsidR="006C117D">
                  <w:rPr>
                    <w:webHidden/>
                  </w:rPr>
                  <w:tab/>
                </w:r>
              </w:hyperlink>
              <w:r w:rsidR="001C24BC" w:rsidRPr="00AE7CE1">
                <w:rPr>
                  <w:b/>
                  <w:bCs/>
                  <w:color w:val="FF000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3E9B9284"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286571">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1DF4FD47"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026368">
        <w:rPr>
          <w:rFonts w:ascii="Times New Roman" w:hAnsi="Times New Roman" w:cs="Times New Roman"/>
          <w:sz w:val="22"/>
          <w:szCs w:val="22"/>
        </w:rPr>
        <w:t>Aušra Viršilienė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w:t>
      </w:r>
      <w:r w:rsidR="00026368">
        <w:rPr>
          <w:rFonts w:ascii="Times New Roman" w:hAnsi="Times New Roman" w:cs="Times New Roman"/>
          <w:sz w:val="22"/>
          <w:szCs w:val="22"/>
        </w:rPr>
        <w:t>vyresn.</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026368">
        <w:rPr>
          <w:rFonts w:ascii="Times New Roman" w:hAnsi="Times New Roman" w:cs="Times New Roman"/>
          <w:sz w:val="22"/>
          <w:szCs w:val="22"/>
        </w:rPr>
        <w:t>332287</w:t>
      </w:r>
      <w:r w:rsidRPr="00304C98">
        <w:rPr>
          <w:rFonts w:ascii="Times New Roman" w:hAnsi="Times New Roman" w:cs="Times New Roman"/>
          <w:sz w:val="22"/>
          <w:szCs w:val="22"/>
        </w:rPr>
        <w:t xml:space="preserve">, el. p. </w:t>
      </w:r>
      <w:r w:rsidR="00026368">
        <w:rPr>
          <w:rFonts w:ascii="Times New Roman" w:hAnsi="Times New Roman" w:cs="Times New Roman"/>
          <w:sz w:val="22"/>
          <w:szCs w:val="22"/>
        </w:rPr>
        <w:t>ausra.virsiliene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71D12A0C" w:rsidR="0002025E" w:rsidRPr="00AC42F2"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C42F2">
        <w:rPr>
          <w:rFonts w:ascii="Times New Roman" w:eastAsia="Calibri" w:hAnsi="Times New Roman" w:cs="Times New Roman"/>
          <w:color w:val="000000" w:themeColor="text1"/>
          <w:sz w:val="22"/>
          <w:szCs w:val="22"/>
        </w:rPr>
        <w:t>Perkančioji organizacija numato įsigyti</w:t>
      </w:r>
      <w:r w:rsidR="00575E64" w:rsidRPr="00AC42F2">
        <w:rPr>
          <w:rFonts w:ascii="Times New Roman" w:eastAsia="Calibri" w:hAnsi="Times New Roman" w:cs="Times New Roman"/>
          <w:color w:val="000000" w:themeColor="text1"/>
          <w:sz w:val="22"/>
          <w:szCs w:val="22"/>
        </w:rPr>
        <w:t xml:space="preserve"> </w:t>
      </w:r>
      <w:r w:rsidR="00AC42F2" w:rsidRPr="00AC42F2">
        <w:rPr>
          <w:rFonts w:ascii="Times New Roman" w:eastAsia="Calibri" w:hAnsi="Times New Roman" w:cs="Times New Roman"/>
          <w:color w:val="000000" w:themeColor="text1"/>
          <w:sz w:val="22"/>
          <w:szCs w:val="22"/>
        </w:rPr>
        <w:t>i</w:t>
      </w:r>
      <w:r w:rsidR="00AC42F2" w:rsidRPr="00AC42F2">
        <w:rPr>
          <w:rFonts w:ascii="Times New Roman" w:hAnsi="Times New Roman" w:cs="Times New Roman"/>
          <w:b/>
          <w:bCs/>
          <w:sz w:val="22"/>
          <w:szCs w:val="22"/>
        </w:rPr>
        <w:t>nstrumentų ir priemonių komplektą laparoskopinei chirurgijai</w:t>
      </w:r>
      <w:r w:rsidR="00CA1FC8" w:rsidRPr="00AC42F2">
        <w:rPr>
          <w:rFonts w:ascii="Times New Roman" w:eastAsia="Calibri" w:hAnsi="Times New Roman" w:cs="Times New Roman"/>
          <w:b/>
          <w:bCs/>
          <w:color w:val="000000" w:themeColor="text1"/>
          <w:sz w:val="22"/>
          <w:szCs w:val="22"/>
        </w:rPr>
        <w:t xml:space="preserve">. </w:t>
      </w:r>
      <w:r w:rsidR="0002025E" w:rsidRPr="00AC42F2">
        <w:rPr>
          <w:rFonts w:ascii="Times New Roman" w:hAnsi="Times New Roman" w:cs="Times New Roman"/>
          <w:sz w:val="22"/>
          <w:szCs w:val="22"/>
        </w:rPr>
        <w:t xml:space="preserve">Reikalavimai pirkimo objektui nustatyti specialiųjų pirkimo sąlygų </w:t>
      </w:r>
      <w:r w:rsidR="00A76E59" w:rsidRPr="00AC42F2">
        <w:rPr>
          <w:rFonts w:ascii="Times New Roman" w:hAnsi="Times New Roman" w:cs="Times New Roman"/>
          <w:sz w:val="22"/>
          <w:szCs w:val="22"/>
        </w:rPr>
        <w:t>2</w:t>
      </w:r>
      <w:r w:rsidR="0002025E" w:rsidRPr="00AC42F2">
        <w:rPr>
          <w:rFonts w:ascii="Times New Roman" w:hAnsi="Times New Roman" w:cs="Times New Roman"/>
          <w:b/>
          <w:bCs/>
          <w:sz w:val="22"/>
          <w:szCs w:val="22"/>
        </w:rPr>
        <w:t xml:space="preserve"> </w:t>
      </w:r>
      <w:r w:rsidR="0002025E" w:rsidRPr="00AC42F2">
        <w:rPr>
          <w:rFonts w:ascii="Times New Roman" w:hAnsi="Times New Roman" w:cs="Times New Roman"/>
          <w:sz w:val="22"/>
          <w:szCs w:val="22"/>
        </w:rPr>
        <w:t>priede „</w:t>
      </w:r>
      <w:r w:rsidR="00A76E59" w:rsidRPr="00AC42F2">
        <w:rPr>
          <w:rFonts w:ascii="Times New Roman" w:hAnsi="Times New Roman" w:cs="Times New Roman"/>
          <w:sz w:val="22"/>
          <w:szCs w:val="22"/>
        </w:rPr>
        <w:t>Techninė specifikacija</w:t>
      </w:r>
      <w:r w:rsidR="0002025E" w:rsidRPr="00AC42F2">
        <w:rPr>
          <w:rFonts w:ascii="Times New Roman" w:hAnsi="Times New Roman" w:cs="Times New Roman"/>
          <w:sz w:val="22"/>
          <w:szCs w:val="22"/>
        </w:rPr>
        <w:t>“</w:t>
      </w:r>
      <w:r w:rsidR="002F3F83" w:rsidRPr="00AC42F2">
        <w:rPr>
          <w:rFonts w:ascii="Times New Roman" w:hAnsi="Times New Roman" w:cs="Times New Roman"/>
          <w:sz w:val="22"/>
          <w:szCs w:val="22"/>
        </w:rPr>
        <w:t xml:space="preserve"> (šiame priede nurodyti perkamoms prekėms keliami techniniai parametrai)</w:t>
      </w:r>
      <w:r w:rsidR="00A76E59" w:rsidRPr="00AC42F2">
        <w:rPr>
          <w:rFonts w:ascii="Times New Roman" w:hAnsi="Times New Roman" w:cs="Times New Roman"/>
          <w:sz w:val="22"/>
          <w:szCs w:val="22"/>
        </w:rPr>
        <w:t xml:space="preserve"> ir </w:t>
      </w:r>
      <w:r w:rsidR="00624B4D" w:rsidRPr="00AC42F2">
        <w:rPr>
          <w:rFonts w:ascii="Times New Roman" w:hAnsi="Times New Roman" w:cs="Times New Roman"/>
          <w:sz w:val="22"/>
          <w:szCs w:val="22"/>
        </w:rPr>
        <w:t>8</w:t>
      </w:r>
      <w:r w:rsidR="0002025E" w:rsidRPr="00AC42F2">
        <w:rPr>
          <w:rFonts w:ascii="Times New Roman" w:hAnsi="Times New Roman" w:cs="Times New Roman"/>
          <w:sz w:val="22"/>
          <w:szCs w:val="22"/>
        </w:rPr>
        <w:t xml:space="preserve"> priede „Sutarties projektas“</w:t>
      </w:r>
      <w:r w:rsidR="00605E8B" w:rsidRPr="00AC42F2">
        <w:rPr>
          <w:rFonts w:ascii="Times New Roman" w:hAnsi="Times New Roman" w:cs="Times New Roman"/>
          <w:sz w:val="22"/>
          <w:szCs w:val="22"/>
        </w:rPr>
        <w:t>.</w:t>
      </w:r>
    </w:p>
    <w:p w14:paraId="0F027BE8" w14:textId="0D63E124" w:rsidR="009D02C4" w:rsidRDefault="0002025E" w:rsidP="00333F92">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AC42F2">
        <w:rPr>
          <w:rFonts w:ascii="Times New Roman" w:hAnsi="Times New Roman" w:cs="Times New Roman"/>
          <w:sz w:val="22"/>
          <w:szCs w:val="22"/>
        </w:rPr>
        <w:t>ne</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dali</w:t>
      </w:r>
      <w:r w:rsidR="00E7419F">
        <w:rPr>
          <w:rFonts w:ascii="Times New Roman" w:hAnsi="Times New Roman" w:cs="Times New Roman"/>
          <w:sz w:val="22"/>
          <w:szCs w:val="22"/>
        </w:rPr>
        <w:t>s</w:t>
      </w:r>
      <w:r w:rsidR="00AC42F2">
        <w:rPr>
          <w:rFonts w:ascii="Times New Roman" w:hAnsi="Times New Roman" w:cs="Times New Roman"/>
          <w:sz w:val="22"/>
          <w:szCs w:val="22"/>
        </w:rPr>
        <w:t>.</w:t>
      </w:r>
    </w:p>
    <w:p w14:paraId="0D433C21" w14:textId="345FB316" w:rsidR="00E10793" w:rsidRDefault="00E10793" w:rsidP="00E10793">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605E8B" w:rsidRPr="00605E8B">
        <w:rPr>
          <w:rFonts w:ascii="Times New Roman" w:hAnsi="Times New Roman" w:cs="Times New Roman"/>
          <w:sz w:val="22"/>
          <w:szCs w:val="22"/>
        </w:rPr>
        <w:t xml:space="preserve">Pirkimo apimtys, reikalavimai ir techninė specifikacija apibrėžti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Pasiūlymas turi būti pateiktas visai specialiųjų pirkimo </w:t>
      </w:r>
      <w:r w:rsidRPr="00A76E59">
        <w:rPr>
          <w:rFonts w:ascii="Times New Roman" w:hAnsi="Times New Roman" w:cs="Times New Roman"/>
          <w:sz w:val="22"/>
          <w:szCs w:val="22"/>
        </w:rPr>
        <w:t xml:space="preserve">sąlygų 6 priede „Pasiūlymo </w:t>
      </w:r>
      <w:r w:rsidRPr="00AE7CE1">
        <w:rPr>
          <w:rFonts w:ascii="Times New Roman" w:hAnsi="Times New Roman" w:cs="Times New Roman"/>
          <w:sz w:val="22"/>
          <w:szCs w:val="22"/>
        </w:rPr>
        <w:t>forma</w:t>
      </w:r>
      <w:r w:rsidRPr="00D7310F">
        <w:rPr>
          <w:rFonts w:ascii="Times New Roman" w:hAnsi="Times New Roman" w:cs="Times New Roman"/>
          <w:sz w:val="22"/>
          <w:szCs w:val="22"/>
        </w:rPr>
        <w:t xml:space="preserve">“ </w:t>
      </w:r>
      <w:r>
        <w:rPr>
          <w:rFonts w:ascii="Times New Roman" w:hAnsi="Times New Roman" w:cs="Times New Roman"/>
          <w:sz w:val="22"/>
          <w:szCs w:val="22"/>
        </w:rPr>
        <w:t>pirkimo dalies</w:t>
      </w:r>
      <w:r w:rsidRPr="00D7310F">
        <w:rPr>
          <w:rFonts w:ascii="Times New Roman" w:hAnsi="Times New Roman" w:cs="Times New Roman"/>
          <w:sz w:val="22"/>
          <w:szCs w:val="22"/>
        </w:rPr>
        <w:t xml:space="preserve"> nurodytai apimčiai</w:t>
      </w:r>
      <w:r w:rsidRPr="00AE7CE1">
        <w:rPr>
          <w:rFonts w:ascii="Times New Roman" w:hAnsi="Times New Roman" w:cs="Times New Roman"/>
          <w:sz w:val="22"/>
          <w:szCs w:val="22"/>
        </w:rPr>
        <w:t>.</w:t>
      </w:r>
    </w:p>
    <w:p w14:paraId="53C15F59" w14:textId="3298B0FD" w:rsidR="001C6DF9" w:rsidRDefault="00E10793" w:rsidP="00333F92">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2.4. </w:t>
      </w:r>
      <w:r w:rsidR="001C6DF9" w:rsidRPr="001C6DF9">
        <w:rPr>
          <w:rFonts w:ascii="Times New Roman" w:hAnsi="Times New Roman" w:cs="Times New Roman"/>
          <w:sz w:val="22"/>
          <w:szCs w:val="22"/>
        </w:rPr>
        <w:t>Pirkimas vykdomas</w:t>
      </w:r>
      <w:r w:rsidR="001C6DF9">
        <w:rPr>
          <w:rFonts w:ascii="Times New Roman" w:hAnsi="Times New Roman" w:cs="Times New Roman"/>
          <w:sz w:val="22"/>
          <w:szCs w:val="22"/>
        </w:rPr>
        <w:t xml:space="preserve"> </w:t>
      </w:r>
      <w:r w:rsidR="001C6DF9" w:rsidRPr="001C6DF9">
        <w:rPr>
          <w:rFonts w:ascii="Times New Roman" w:hAnsi="Times New Roman" w:cs="Times New Roman"/>
          <w:sz w:val="22"/>
          <w:szCs w:val="22"/>
        </w:rPr>
        <w:t>įgyvendinant iš Europos Sąjungos lėšų bendrai finansuojamą projektą Europos Sąjungos ekonomikos gaivinimo priemonė (EURI) finansavimo išlaidos (2021/2027) „Klaipėdos universiteto ligoninės filialo Klaipėdos ligoninės infekcinių ligų klinikos korpuso (pastato) modernizavimas ir paslaugų gerinimas“, projekto Nr. 09-002-P-0004.</w:t>
      </w:r>
    </w:p>
    <w:p w14:paraId="0CA81FB8" w14:textId="4E5CAB3D" w:rsidR="00325243" w:rsidRPr="00AE7CE1" w:rsidRDefault="00E10793" w:rsidP="00286232">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2.5.</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3C5D738F"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286232">
        <w:rPr>
          <w:rFonts w:ascii="Times New Roman" w:hAnsi="Times New Roman" w:cs="Times New Roman"/>
          <w:sz w:val="22"/>
          <w:szCs w:val="22"/>
        </w:rPr>
        <w:t>6</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02DC1CFA" w14:textId="3DE507C1" w:rsidR="009D594B" w:rsidRPr="00C509F7" w:rsidRDefault="009D594B" w:rsidP="00DE7037">
      <w:pPr>
        <w:pStyle w:val="Sraopastraipa"/>
        <w:spacing w:after="0" w:line="240" w:lineRule="auto"/>
        <w:ind w:left="0" w:firstLine="567"/>
        <w:jc w:val="both"/>
        <w:rPr>
          <w:rFonts w:ascii="Times New Roman" w:hAnsi="Times New Roman" w:cs="Times New Roman"/>
          <w:sz w:val="22"/>
          <w:szCs w:val="22"/>
        </w:rPr>
      </w:pPr>
      <w:r w:rsidRPr="00646BC6">
        <w:rPr>
          <w:rFonts w:ascii="Times New Roman" w:hAnsi="Times New Roman" w:cs="Times New Roman"/>
          <w:sz w:val="22"/>
          <w:szCs w:val="22"/>
        </w:rPr>
        <w:t>2.</w:t>
      </w:r>
      <w:r w:rsidR="00286232">
        <w:rPr>
          <w:rFonts w:ascii="Times New Roman" w:hAnsi="Times New Roman" w:cs="Times New Roman"/>
          <w:sz w:val="22"/>
          <w:szCs w:val="22"/>
        </w:rPr>
        <w:t>7</w:t>
      </w:r>
      <w:r w:rsidRPr="00646BC6">
        <w:rPr>
          <w:rFonts w:ascii="Times New Roman" w:hAnsi="Times New Roman" w:cs="Times New Roman"/>
          <w:sz w:val="22"/>
          <w:szCs w:val="22"/>
        </w:rPr>
        <w:t xml:space="preserve">. </w:t>
      </w:r>
      <w:r w:rsidR="00104865">
        <w:rPr>
          <w:rFonts w:ascii="Times New Roman" w:hAnsi="Times New Roman" w:cs="Times New Roman"/>
          <w:sz w:val="22"/>
          <w:szCs w:val="22"/>
        </w:rPr>
        <w:t>Pirkimo objekto įsigijimui</w:t>
      </w:r>
      <w:r w:rsidRPr="00646BC6">
        <w:rPr>
          <w:rFonts w:ascii="Times New Roman" w:hAnsi="Times New Roman" w:cs="Times New Roman"/>
          <w:sz w:val="22"/>
          <w:szCs w:val="22"/>
        </w:rPr>
        <w:t xml:space="preserve"> planuojama gauti Europos Sąjungos finansavimą. Nesant skirto finansavimo, Perkančioji organizacija turi teisę nesudaryti sutarties su išrinktu laimėtoju, o sudarius sutartį, turi teisę ją nutraukti.</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37525332" w:rsidR="009E213D" w:rsidRPr="002F2C5C" w:rsidRDefault="00970624" w:rsidP="009E213D">
      <w:pPr>
        <w:pStyle w:val="Sraopastraipa"/>
        <w:spacing w:after="120" w:line="20" w:lineRule="atLeast"/>
        <w:ind w:left="0" w:firstLine="567"/>
        <w:jc w:val="both"/>
        <w:rPr>
          <w:rFonts w:ascii="Times New Roman" w:hAnsi="Times New Roman" w:cs="Times New Roman"/>
          <w:sz w:val="22"/>
          <w:szCs w:val="22"/>
        </w:rPr>
      </w:pPr>
      <w:r w:rsidRPr="002F2C5C">
        <w:rPr>
          <w:rFonts w:ascii="Times New Roman" w:hAnsi="Times New Roman" w:cs="Times New Roman"/>
          <w:sz w:val="22"/>
          <w:szCs w:val="22"/>
        </w:rPr>
        <w:t>4.2.</w:t>
      </w:r>
      <w:r w:rsidR="009E213D" w:rsidRPr="002F2C5C">
        <w:rPr>
          <w:rFonts w:ascii="Times New Roman" w:hAnsi="Times New Roman" w:cs="Times New Roman"/>
          <w:sz w:val="22"/>
          <w:szCs w:val="22"/>
        </w:rPr>
        <w:t xml:space="preserve"> </w:t>
      </w:r>
      <w:r w:rsidR="002F2C5C" w:rsidRPr="002F2C5C">
        <w:rPr>
          <w:rFonts w:ascii="Times New Roman" w:hAnsi="Times New Roman" w:cs="Times New Roman"/>
          <w:sz w:val="22"/>
          <w:szCs w:val="22"/>
        </w:rPr>
        <w:t>Tiekėjams nenustatomi kvalifikacijos reikalavimai, reikalavimai dėl kokybės vadybos sistemos ir aplinkos apsaugos vadybos sistemos standartų laikymosi</w:t>
      </w:r>
      <w:r w:rsidR="00856091" w:rsidRPr="002F2C5C">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3C9D5B6A" w14:textId="09505C38" w:rsidR="00C0243D" w:rsidRPr="00AE7CE1" w:rsidRDefault="00B57AA2" w:rsidP="002F2C5C">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4254CC88" w14:textId="03A0FA53"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23382845"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353088">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8409CD">
        <w:rPr>
          <w:rFonts w:ascii="Times New Roman" w:hAnsi="Times New Roman" w:cs="Times New Roman"/>
          <w:i/>
          <w:iCs/>
          <w:color w:val="000000" w:themeColor="text1"/>
          <w:sz w:val="22"/>
          <w:szCs w:val="22"/>
        </w:rPr>
        <w:t>.</w:t>
      </w:r>
    </w:p>
    <w:p w14:paraId="54E73742" w14:textId="77777777"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nurodytiems kiekviename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lentelėje. </w:t>
      </w:r>
      <w:r w:rsidR="00104865">
        <w:rPr>
          <w:rFonts w:ascii="Times New Roman" w:hAnsi="Times New Roman" w:cs="Times New Roman"/>
          <w:sz w:val="22"/>
          <w:szCs w:val="22"/>
        </w:rPr>
        <w:t>P</w:t>
      </w:r>
      <w:r w:rsidR="00104865" w:rsidRPr="003E574B">
        <w:rPr>
          <w:rFonts w:ascii="Times New Roman" w:hAnsi="Times New Roman" w:cs="Times New Roman"/>
          <w:sz w:val="22"/>
          <w:szCs w:val="22"/>
        </w:rPr>
        <w:t xml:space="preserve">rekės atitiktį pagrindžiantys dokumentai gali būti teikiami </w:t>
      </w:r>
      <w:r w:rsidR="00104865">
        <w:rPr>
          <w:rFonts w:ascii="Times New Roman" w:hAnsi="Times New Roman" w:cs="Times New Roman"/>
          <w:sz w:val="22"/>
          <w:szCs w:val="22"/>
        </w:rPr>
        <w:t>anglų</w:t>
      </w:r>
      <w:r w:rsidR="00104865" w:rsidRPr="003E574B">
        <w:rPr>
          <w:rFonts w:ascii="Times New Roman" w:hAnsi="Times New Roman" w:cs="Times New Roman"/>
          <w:sz w:val="22"/>
          <w:szCs w:val="22"/>
        </w:rPr>
        <w:t xml:space="preserve"> kalba, tačiau </w:t>
      </w:r>
      <w:r w:rsidR="00104865">
        <w:rPr>
          <w:rFonts w:ascii="Times New Roman" w:hAnsi="Times New Roman" w:cs="Times New Roman"/>
          <w:sz w:val="22"/>
          <w:szCs w:val="22"/>
        </w:rPr>
        <w:t>esant poreikiui, perkančioji organizacija turi teisę prašyti pateikti</w:t>
      </w:r>
      <w:r w:rsidR="00104865" w:rsidRPr="003E574B">
        <w:rPr>
          <w:rFonts w:ascii="Times New Roman" w:hAnsi="Times New Roman" w:cs="Times New Roman"/>
          <w:sz w:val="22"/>
          <w:szCs w:val="22"/>
        </w:rPr>
        <w:t xml:space="preserve"> tinkam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vertim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privalo būti pažymėta, kurį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w:t>
      </w:r>
      <w:r w:rsidR="00104865" w:rsidRPr="003E574B">
        <w:rPr>
          <w:rFonts w:ascii="Times New Roman" w:hAnsi="Times New Roman" w:cs="Times New Roman"/>
          <w:sz w:val="22"/>
          <w:szCs w:val="22"/>
        </w:rPr>
        <w:t>techninės specifikacijos</w:t>
      </w:r>
      <w:r w:rsidR="00104865">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parametrą patvirtina nurodytas parametras, o šių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lentelėje nurodomas dokumento puslapis.</w:t>
      </w:r>
    </w:p>
    <w:p w14:paraId="00C46CA6" w14:textId="453FC255" w:rsidR="006105C9" w:rsidRPr="00B4674C" w:rsidRDefault="006105C9" w:rsidP="00104865">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D81D0E2" w14:textId="4704B0BF" w:rsidR="007C2893" w:rsidRPr="00B4674C" w:rsidRDefault="00D1577F"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D1577F">
        <w:rPr>
          <w:rFonts w:ascii="Times New Roman" w:hAnsi="Times New Roman" w:cs="Times New Roman"/>
          <w:sz w:val="22"/>
          <w:szCs w:val="22"/>
        </w:rPr>
        <w:t>6.1.1</w:t>
      </w:r>
      <w:r w:rsidR="00BF4C93">
        <w:rPr>
          <w:rFonts w:ascii="Times New Roman" w:hAnsi="Times New Roman" w:cs="Times New Roman"/>
          <w:sz w:val="22"/>
          <w:szCs w:val="22"/>
        </w:rPr>
        <w:t>1</w:t>
      </w:r>
      <w:r w:rsidRPr="00D1577F">
        <w:rPr>
          <w:rFonts w:ascii="Times New Roman" w:hAnsi="Times New Roman" w:cs="Times New Roman"/>
          <w:sz w:val="22"/>
          <w:szCs w:val="22"/>
        </w:rPr>
        <w:t>.</w:t>
      </w:r>
      <w:r w:rsidRPr="00D1577F">
        <w:rPr>
          <w:rFonts w:ascii="Times New Roman" w:hAnsi="Times New Roman" w:cs="Times New Roman"/>
          <w:sz w:val="22"/>
          <w:szCs w:val="22"/>
        </w:rPr>
        <w:tab/>
      </w:r>
      <w:r w:rsidR="00A60552" w:rsidRPr="00BF11E7">
        <w:rPr>
          <w:rFonts w:ascii="Times New Roman" w:hAnsi="Times New Roman" w:cs="Times New Roman"/>
          <w:sz w:val="24"/>
          <w:szCs w:val="24"/>
        </w:rPr>
        <w:t>kiti reikiami dokumentai</w:t>
      </w:r>
      <w:r w:rsidR="00E0498C">
        <w:rPr>
          <w:rFonts w:ascii="Times New Roman" w:hAnsi="Times New Roman" w:cs="Times New Roman"/>
          <w:sz w:val="22"/>
          <w:szCs w:val="22"/>
        </w:rPr>
        <w:t>.</w:t>
      </w:r>
    </w:p>
    <w:p w14:paraId="23CA843D" w14:textId="7D91DCB7"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lastRenderedPageBreak/>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031A6FD"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dokumentus, nurodytus specialiųjų sąlygų 6.1.10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4" w:name="_Hlk91157291"/>
      <w:r w:rsidR="00E0498C" w:rsidRPr="007A1E3F">
        <w:rPr>
          <w:rFonts w:ascii="Times New Roman" w:eastAsia="Calibri" w:hAnsi="Times New Roman" w:cs="Times New Roman"/>
          <w:sz w:val="22"/>
          <w:szCs w:val="22"/>
        </w:rPr>
        <w:t xml:space="preserve">specialiųjų pirkimo sąlygų </w:t>
      </w:r>
      <w:bookmarkEnd w:id="34"/>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72EF7AD4" w:rsidR="00E342E7" w:rsidRPr="00473EB6"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 xml:space="preserve">9.2. Laimėjusiu pasiūlymu kiekvienoje pirkimo objekto dalyje galės būti pripažinti tik po 1 (vieną) ekonomiškai naudingiausią pasiūlymą, esantį atitinkamos pirkimo objekto dalies pasiūlymų eilės pirmojoje vietoje. </w:t>
      </w:r>
      <w:r w:rsidRPr="00473EB6">
        <w:rPr>
          <w:rFonts w:ascii="Times New Roman" w:eastAsia="Calibri" w:hAnsi="Times New Roman" w:cs="Times New Roman"/>
          <w:sz w:val="22"/>
          <w:szCs w:val="22"/>
        </w:rPr>
        <w:t>Tas pats tiekėjas gali būti nustatomas laimėtoju dėl visų pirkimo objekto dalių</w:t>
      </w:r>
      <w:r w:rsidR="00E342E7" w:rsidRPr="00473EB6">
        <w:rPr>
          <w:rFonts w:ascii="Times New Roman" w:eastAsia="Calibri" w:hAnsi="Times New Roman" w:cs="Times New Roman"/>
          <w:sz w:val="22"/>
          <w:szCs w:val="22"/>
        </w:rPr>
        <w:t>.</w:t>
      </w:r>
      <w:r w:rsidR="00473EB6" w:rsidRPr="00473EB6">
        <w:rPr>
          <w:rFonts w:ascii="Times New Roman" w:hAnsi="Times New Roman" w:cs="Times New Roman"/>
          <w:sz w:val="22"/>
          <w:szCs w:val="22"/>
        </w:rPr>
        <w:t xml:space="preserve"> (Taikoma jei pirkimas skirstomas į dalis).</w:t>
      </w:r>
    </w:p>
    <w:p w14:paraId="2848F8BD" w14:textId="40CA5AD9"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095A0640"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w:t>
      </w:r>
      <w:r w:rsidR="00C941A2">
        <w:rPr>
          <w:rFonts w:ascii="Times New Roman" w:hAnsi="Times New Roman" w:cs="Times New Roman"/>
          <w:sz w:val="22"/>
          <w:szCs w:val="22"/>
        </w:rPr>
        <w:t>viena</w:t>
      </w:r>
      <w:r w:rsidR="000248CD">
        <w:rPr>
          <w:rFonts w:ascii="Times New Roman" w:hAnsi="Times New Roman" w:cs="Times New Roman"/>
          <w:sz w:val="22"/>
          <w:szCs w:val="22"/>
        </w:rPr>
        <w:t xml:space="preserve"> pirkimo sutartis dėl laimėtų dalių. </w:t>
      </w:r>
      <w:r w:rsidRPr="00AE7CE1">
        <w:rPr>
          <w:rFonts w:ascii="Times New Roman" w:hAnsi="Times New Roman" w:cs="Times New Roman"/>
          <w:sz w:val="22"/>
          <w:szCs w:val="22"/>
        </w:rPr>
        <w:t xml:space="preserve">Sutarties sąlygos pateikiamos Pirkimo sąlygų </w:t>
      </w:r>
      <w:r w:rsidR="00F42C14">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39C1C931" w14:textId="5FDD1D17" w:rsidR="009D594B" w:rsidRDefault="009D594B" w:rsidP="009932D5">
      <w:pPr>
        <w:spacing w:after="0" w:line="240" w:lineRule="auto"/>
        <w:ind w:firstLine="709"/>
        <w:jc w:val="both"/>
        <w:rPr>
          <w:rFonts w:ascii="Times New Roman" w:hAnsi="Times New Roman" w:cs="Times New Roman"/>
          <w:sz w:val="22"/>
          <w:szCs w:val="22"/>
        </w:rPr>
      </w:pPr>
      <w:r w:rsidRPr="00946C06">
        <w:rPr>
          <w:rFonts w:ascii="Times New Roman" w:hAnsi="Times New Roman" w:cs="Times New Roman"/>
          <w:sz w:val="22"/>
          <w:szCs w:val="22"/>
        </w:rPr>
        <w:t xml:space="preserve">10.3. Nesant skirto finansavimo, Perkančioji organizacija turi teisę nesudaryti sutarties (-čių) su išrinktu (-ais) laimėtoju (-jais), o sudarius sutartį (-is), turi teisę ją (-as) nutraukti. Jeigu dėl šios priežasties Sutartis </w:t>
      </w:r>
      <w:r w:rsidRPr="00946C06">
        <w:rPr>
          <w:rFonts w:ascii="Times New Roman" w:hAnsi="Times New Roman" w:cs="Times New Roman"/>
          <w:sz w:val="22"/>
          <w:szCs w:val="22"/>
        </w:rPr>
        <w:lastRenderedPageBreak/>
        <w:t>nesudaroma, Perkančioji organizacija tiekėjui atlygins tik tiesioginius nuostolius, neviršijančius 500 Eur ribos, tiekėjui pateikus tiesioginius nuostolius pagrindžiančius dokumentus.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t>Kitos sąlygos</w:t>
      </w:r>
    </w:p>
    <w:p w14:paraId="505A0E24" w14:textId="1BCC1506" w:rsidR="00E0498C" w:rsidRPr="00864F98" w:rsidRDefault="00864F98" w:rsidP="00F42C14">
      <w:pPr>
        <w:pStyle w:val="Body2"/>
        <w:numPr>
          <w:ilvl w:val="1"/>
          <w:numId w:val="13"/>
        </w:numPr>
        <w:tabs>
          <w:tab w:val="left" w:pos="851"/>
        </w:tabs>
        <w:ind w:left="0" w:firstLine="710"/>
        <w:rPr>
          <w:rFonts w:eastAsia="Calibri" w:cs="Times New Roman"/>
          <w:sz w:val="22"/>
          <w:szCs w:val="22"/>
        </w:rPr>
      </w:pPr>
      <w:r w:rsidRPr="00864F98">
        <w:rPr>
          <w:rFonts w:cs="Times New Roman"/>
          <w:color w:val="auto"/>
          <w:sz w:val="22"/>
          <w:szCs w:val="22"/>
          <w:lang w:val="lt-LT"/>
        </w:rPr>
        <w:t>Prekių pavydžių pateikimas nebus reikalaujamas</w:t>
      </w:r>
      <w:r w:rsidR="00F42C14" w:rsidRPr="00864F98">
        <w:rPr>
          <w:rFonts w:cs="Times New Roman"/>
          <w:color w:val="auto"/>
          <w:sz w:val="22"/>
          <w:szCs w:val="22"/>
          <w:lang w:val="lt-LT"/>
        </w:rPr>
        <w:t xml:space="preserve">. </w:t>
      </w:r>
    </w:p>
    <w:p w14:paraId="64D23A81" w14:textId="69572CAE" w:rsidR="00E342E7" w:rsidRPr="00F42C14" w:rsidRDefault="00E342E7" w:rsidP="00F42C14">
      <w:pPr>
        <w:shd w:val="clear" w:color="auto" w:fill="FFFFFF"/>
        <w:spacing w:after="0" w:line="240" w:lineRule="auto"/>
        <w:ind w:firstLine="710"/>
        <w:jc w:val="center"/>
        <w:rPr>
          <w:rFonts w:ascii="Times New Roman" w:eastAsia="Calibri" w:hAnsi="Times New Roman" w:cs="Times New Roman"/>
          <w:sz w:val="22"/>
          <w:szCs w:val="22"/>
        </w:rPr>
        <w:sectPr w:rsidR="00E342E7" w:rsidRPr="00F42C14"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F42C14">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7"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7"/>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864F98" w:rsidRPr="00D51822" w14:paraId="13FE038F" w14:textId="77777777" w:rsidTr="00BD0DCD">
        <w:trPr>
          <w:trHeight w:val="20"/>
        </w:trPr>
        <w:tc>
          <w:tcPr>
            <w:tcW w:w="747" w:type="dxa"/>
            <w:tcMar>
              <w:top w:w="0" w:type="dxa"/>
              <w:left w:w="108" w:type="dxa"/>
              <w:bottom w:w="0" w:type="dxa"/>
              <w:right w:w="108" w:type="dxa"/>
            </w:tcMar>
          </w:tcPr>
          <w:p w14:paraId="05ACDEAD" w14:textId="77777777" w:rsidR="00864F98" w:rsidRPr="00D51822" w:rsidRDefault="00864F98" w:rsidP="00864F9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864F98" w:rsidRPr="00D51822" w:rsidRDefault="00864F98" w:rsidP="00864F9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4F8736B6" w:rsidR="00864F98" w:rsidRPr="00D51822" w:rsidRDefault="00864F98" w:rsidP="00864F9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11B97D06" w14:textId="77777777" w:rsidR="00864F98" w:rsidRPr="00D51822" w:rsidRDefault="00864F98" w:rsidP="00864F98">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8" w:name="_Ref38539939"/>
      <w:bookmarkStart w:id="39" w:name="_Ref38541068"/>
      <w:bookmarkStart w:id="40" w:name="_Ref38885053"/>
      <w:bookmarkStart w:id="41" w:name="_Ref38899023"/>
      <w:bookmarkStart w:id="42"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8"/>
      <w:bookmarkEnd w:id="39"/>
      <w:bookmarkEnd w:id="40"/>
      <w:bookmarkEnd w:id="41"/>
      <w:bookmarkEnd w:id="42"/>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26F9F317" w:rsidR="00575E64" w:rsidRPr="00AE7CE1" w:rsidRDefault="00864F98"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w:t>
      </w:r>
      <w:r w:rsidR="00324D8D">
        <w:rPr>
          <w:rFonts w:ascii="Times New Roman" w:hAnsi="Times New Roman" w:cs="Times New Roman"/>
          <w:sz w:val="22"/>
          <w:szCs w:val="22"/>
        </w:rPr>
        <w:t>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sidR="00324D8D">
        <w:rPr>
          <w:rFonts w:ascii="Times New Roman" w:hAnsi="Times New Roman" w:cs="Times New Roman"/>
          <w:sz w:val="22"/>
          <w:szCs w:val="22"/>
        </w:rPr>
        <w:t xml:space="preserve">. </w:t>
      </w:r>
      <w:r w:rsidR="00324D8D"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Pr>
          <w:rFonts w:ascii="Times New Roman" w:hAnsi="Times New Roman" w:cs="Times New Roman"/>
          <w:b/>
          <w:bCs/>
          <w:sz w:val="22"/>
          <w:szCs w:val="22"/>
        </w:rPr>
        <w:t xml:space="preserve"> </w:t>
      </w:r>
      <w:r w:rsidR="00575E64" w:rsidRPr="00856091">
        <w:rPr>
          <w:rFonts w:ascii="Times New Roman" w:hAnsi="Times New Roman" w:cs="Times New Roman"/>
          <w:b/>
          <w:bCs/>
          <w:sz w:val="22"/>
          <w:szCs w:val="22"/>
        </w:rPr>
        <w:t>privalo užpildyti</w:t>
      </w:r>
      <w:r w:rsidR="00324D8D" w:rsidRPr="00856091">
        <w:rPr>
          <w:rFonts w:ascii="Times New Roman" w:hAnsi="Times New Roman" w:cs="Times New Roman"/>
          <w:b/>
          <w:bCs/>
          <w:sz w:val="22"/>
          <w:szCs w:val="22"/>
        </w:rPr>
        <w:t xml:space="preserve"> Techninę specifikaciją, </w:t>
      </w:r>
      <w:r w:rsidR="00F7376E">
        <w:rPr>
          <w:rFonts w:ascii="Times New Roman" w:hAnsi="Times New Roman" w:cs="Times New Roman"/>
          <w:b/>
          <w:bCs/>
          <w:sz w:val="22"/>
          <w:szCs w:val="22"/>
        </w:rPr>
        <w:t>nurodant</w:t>
      </w:r>
      <w:r w:rsidR="00324D8D"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3" w:name="_Ref38285444"/>
      <w:bookmarkStart w:id="44" w:name="_Ref38291496"/>
      <w:bookmarkStart w:id="45"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3"/>
      <w:bookmarkEnd w:id="44"/>
      <w:bookmarkEnd w:id="45"/>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6" w:name="_Ref38291223"/>
      <w:bookmarkStart w:id="47" w:name="_Ref38291334"/>
      <w:bookmarkStart w:id="4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49" w:name="_Toc202517976"/>
      <w:bookmarkStart w:id="50"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6"/>
      <w:bookmarkEnd w:id="47"/>
      <w:bookmarkEnd w:id="48"/>
      <w:bookmarkEnd w:id="49"/>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286571"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286571">
        <w:rPr>
          <w:rFonts w:ascii="Times New Roman" w:eastAsiaTheme="minorHAnsi" w:hAnsi="Times New Roman" w:cs="Times New Roman"/>
          <w:sz w:val="24"/>
          <w:szCs w:val="24"/>
        </w:rPr>
        <w:t>Jeigu kvalifikacija dėl teisės verstis atitinkama veikla nebuvo tikrinama arba tikrinama ne visa apimtimi, tiekėjas įsipareigoja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0"/>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1" w:name="_Toc202517977"/>
      <w:bookmarkStart w:id="52" w:name="_Ref38291379"/>
      <w:bookmarkStart w:id="53" w:name="_Ref38291394"/>
      <w:bookmarkStart w:id="54"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1"/>
      <w:r w:rsidRPr="00C87D7F">
        <w:rPr>
          <w:rFonts w:ascii="Times New Roman" w:eastAsia="Calibri" w:hAnsi="Times New Roman" w:cs="Times New Roman"/>
          <w:color w:val="auto"/>
          <w:sz w:val="22"/>
          <w:szCs w:val="22"/>
        </w:rPr>
        <w:t xml:space="preserve"> </w:t>
      </w:r>
      <w:bookmarkEnd w:id="52"/>
      <w:bookmarkEnd w:id="53"/>
      <w:bookmarkEnd w:id="54"/>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5"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5"/>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79FE1E7B"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E76350">
        <w:rPr>
          <w:rFonts w:ascii="Times New Roman" w:hAnsi="Times New Roman" w:cs="Times New Roman"/>
          <w:sz w:val="24"/>
          <w:szCs w:val="24"/>
        </w:rPr>
        <w:t xml:space="preserve"> EXCEL formatu</w:t>
      </w:r>
      <w:r w:rsidR="00F757B7">
        <w:rPr>
          <w:rFonts w:ascii="Times New Roman" w:hAnsi="Times New Roman" w:cs="Times New Roman"/>
          <w:sz w:val="24"/>
          <w:szCs w:val="24"/>
        </w:rPr>
        <w:t>.</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6" w:name="_Ref39586171"/>
      <w:bookmarkStart w:id="57" w:name="_Ref39673580"/>
      <w:bookmarkStart w:id="58"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59" w:name="_Ref39484039"/>
      <w:bookmarkStart w:id="60" w:name="_Ref40278562"/>
      <w:bookmarkStart w:id="61" w:name="_Toc159231066"/>
      <w:bookmarkStart w:id="62" w:name="_Toc20251797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59"/>
      <w:bookmarkEnd w:id="60"/>
      <w:bookmarkEnd w:id="61"/>
      <w:bookmarkEnd w:id="62"/>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321EB656" w:rsidR="00F77AEF" w:rsidRPr="00D51822" w:rsidRDefault="00F77AEF" w:rsidP="00F77AEF">
      <w:pPr>
        <w:pStyle w:val="paragrafesrasas2lygis"/>
        <w:spacing w:after="0"/>
        <w:ind w:firstLine="709"/>
        <w:rPr>
          <w:rFonts w:eastAsiaTheme="minorEastAsia"/>
          <w:sz w:val="24"/>
          <w:szCs w:val="24"/>
          <w:lang w:eastAsia="lt-LT"/>
        </w:rPr>
      </w:pPr>
      <w:r>
        <w:rPr>
          <w:rFonts w:eastAsiaTheme="minorEastAsia"/>
          <w:sz w:val="24"/>
          <w:szCs w:val="24"/>
          <w:lang w:eastAsia="lt-LT"/>
        </w:rPr>
        <w:t xml:space="preserve">1. </w:t>
      </w:r>
      <w:r w:rsidR="00624B4D" w:rsidRPr="00D51822">
        <w:rPr>
          <w:rFonts w:eastAsiaTheme="minorEastAsia"/>
          <w:sz w:val="24"/>
          <w:szCs w:val="24"/>
          <w:lang w:eastAsia="lt-LT"/>
        </w:rPr>
        <w:t>Perkančioji organizacija ekonomiškai naudingiausią pasiūlymą išrenka pagal kainos kriterijų</w:t>
      </w:r>
      <w:r w:rsidR="00624B4D">
        <w:rPr>
          <w:rFonts w:eastAsiaTheme="minorEastAsia"/>
          <w:sz w:val="24"/>
          <w:szCs w:val="24"/>
          <w:lang w:eastAsia="lt-LT"/>
        </w:rPr>
        <w:t xml:space="preserve">. </w:t>
      </w:r>
    </w:p>
    <w:p w14:paraId="229F53A9" w14:textId="6D3C0A53" w:rsidR="00F46BF9" w:rsidRPr="00A56431" w:rsidRDefault="00F77AEF" w:rsidP="00A56431">
      <w:pPr>
        <w:pStyle w:val="paragrafesrasas2lygis"/>
        <w:spacing w:after="0"/>
        <w:ind w:firstLine="709"/>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3" w:name="_Toc202517980"/>
      <w:bookmarkStart w:id="64" w:name="_Toc126333946"/>
    </w:p>
    <w:p w14:paraId="1492F50A" w14:textId="3E98D4BD" w:rsidR="00FA78CB" w:rsidRPr="00296EC5" w:rsidRDefault="00FA78CB" w:rsidP="00FA78CB">
      <w:pPr>
        <w:pStyle w:val="Antrat2"/>
        <w:ind w:left="5103"/>
        <w:rPr>
          <w:rFonts w:ascii="Times New Roman" w:hAnsi="Times New Roman" w:cs="Times New Roman"/>
          <w:color w:val="0070C0"/>
          <w:sz w:val="22"/>
          <w:szCs w:val="22"/>
        </w:rPr>
      </w:pPr>
      <w:bookmarkStart w:id="65" w:name="_Toc126333948"/>
      <w:bookmarkStart w:id="66" w:name="_Toc202517982"/>
      <w:bookmarkEnd w:id="63"/>
      <w:bookmarkEnd w:id="64"/>
      <w:bookmarkEnd w:id="56"/>
      <w:bookmarkEnd w:id="57"/>
      <w:bookmarkEnd w:id="58"/>
      <w:r w:rsidRPr="00296EC5">
        <w:rPr>
          <w:rFonts w:ascii="Times New Roman" w:hAnsi="Times New Roman" w:cs="Times New Roman"/>
          <w:color w:val="auto"/>
          <w:sz w:val="22"/>
          <w:szCs w:val="22"/>
        </w:rPr>
        <w:lastRenderedPageBreak/>
        <w:t xml:space="preserve">Pirkimo sąlygų </w:t>
      </w:r>
      <w:r w:rsidR="00624B4D">
        <w:rPr>
          <w:rFonts w:ascii="Times New Roman" w:hAnsi="Times New Roman" w:cs="Times New Roman"/>
          <w:color w:val="auto"/>
          <w:sz w:val="22"/>
          <w:szCs w:val="22"/>
        </w:rPr>
        <w:t>8</w:t>
      </w:r>
      <w:r w:rsidRPr="00296EC5">
        <w:rPr>
          <w:rFonts w:ascii="Times New Roman" w:hAnsi="Times New Roman" w:cs="Times New Roman"/>
          <w:color w:val="auto"/>
          <w:sz w:val="22"/>
          <w:szCs w:val="22"/>
        </w:rPr>
        <w:t xml:space="preserve"> priedas „Sutarties projektas“</w:t>
      </w:r>
      <w:bookmarkEnd w:id="65"/>
      <w:bookmarkEnd w:id="66"/>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3"/>
  </w:num>
  <w:num w:numId="3" w16cid:durableId="1528367431">
    <w:abstractNumId w:val="25"/>
  </w:num>
  <w:num w:numId="4" w16cid:durableId="1484615006">
    <w:abstractNumId w:val="29"/>
  </w:num>
  <w:num w:numId="5" w16cid:durableId="607934237">
    <w:abstractNumId w:val="21"/>
  </w:num>
  <w:num w:numId="6" w16cid:durableId="1759206832">
    <w:abstractNumId w:val="23"/>
  </w:num>
  <w:num w:numId="7" w16cid:durableId="408162091">
    <w:abstractNumId w:val="35"/>
  </w:num>
  <w:num w:numId="8" w16cid:durableId="412043720">
    <w:abstractNumId w:val="33"/>
  </w:num>
  <w:num w:numId="9" w16cid:durableId="1996449446">
    <w:abstractNumId w:val="32"/>
  </w:num>
  <w:num w:numId="10" w16cid:durableId="1318921492">
    <w:abstractNumId w:val="20"/>
  </w:num>
  <w:num w:numId="11" w16cid:durableId="182548654">
    <w:abstractNumId w:val="19"/>
  </w:num>
  <w:num w:numId="12" w16cid:durableId="1573735120">
    <w:abstractNumId w:val="15"/>
  </w:num>
  <w:num w:numId="13" w16cid:durableId="593629820">
    <w:abstractNumId w:val="17"/>
  </w:num>
  <w:num w:numId="14" w16cid:durableId="1086878064">
    <w:abstractNumId w:val="24"/>
  </w:num>
  <w:num w:numId="15" w16cid:durableId="601766584">
    <w:abstractNumId w:val="27"/>
  </w:num>
  <w:num w:numId="16" w16cid:durableId="1876188991">
    <w:abstractNumId w:val="14"/>
  </w:num>
  <w:num w:numId="17" w16cid:durableId="88375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4"/>
  </w:num>
  <w:num w:numId="23" w16cid:durableId="750396670">
    <w:abstractNumId w:val="10"/>
  </w:num>
  <w:num w:numId="24" w16cid:durableId="175846264">
    <w:abstractNumId w:val="11"/>
  </w:num>
  <w:num w:numId="25" w16cid:durableId="256329913">
    <w:abstractNumId w:val="22"/>
  </w:num>
  <w:num w:numId="26" w16cid:durableId="2143303228">
    <w:abstractNumId w:val="5"/>
  </w:num>
  <w:num w:numId="27" w16cid:durableId="887379893">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8"/>
  </w:num>
  <w:num w:numId="29" w16cid:durableId="1789858266">
    <w:abstractNumId w:val="31"/>
  </w:num>
  <w:num w:numId="30" w16cid:durableId="494614562">
    <w:abstractNumId w:val="26"/>
  </w:num>
  <w:num w:numId="31" w16cid:durableId="1473055655">
    <w:abstractNumId w:val="30"/>
  </w:num>
  <w:num w:numId="32" w16cid:durableId="510532351">
    <w:abstractNumId w:val="0"/>
  </w:num>
  <w:num w:numId="33" w16cid:durableId="1353070795">
    <w:abstractNumId w:val="34"/>
  </w:num>
  <w:num w:numId="34" w16cid:durableId="1671830144">
    <w:abstractNumId w:val="1"/>
  </w:num>
  <w:num w:numId="35" w16cid:durableId="84426993">
    <w:abstractNumId w:val="6"/>
  </w:num>
  <w:num w:numId="36" w16cid:durableId="647709576">
    <w:abstractNumId w:val="13"/>
  </w:num>
  <w:num w:numId="37" w16cid:durableId="1322124659">
    <w:abstractNumId w:val="9"/>
  </w:num>
  <w:num w:numId="38" w16cid:durableId="345593707">
    <w:abstractNumId w:val="28"/>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6"/>
  </w:num>
  <w:num w:numId="41" w16cid:durableId="1578974819">
    <w:abstractNumId w:val="2"/>
  </w:num>
  <w:num w:numId="42" w16cid:durableId="1295065342">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368"/>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3EAE"/>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6232"/>
    <w:rsid w:val="00286571"/>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2C5C"/>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59E2"/>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86A"/>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551"/>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36E6"/>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673"/>
    <w:rsid w:val="00467B1D"/>
    <w:rsid w:val="00467FCB"/>
    <w:rsid w:val="0047047D"/>
    <w:rsid w:val="00471043"/>
    <w:rsid w:val="004712B7"/>
    <w:rsid w:val="004713B5"/>
    <w:rsid w:val="0047173B"/>
    <w:rsid w:val="004720C4"/>
    <w:rsid w:val="00472910"/>
    <w:rsid w:val="00472F7A"/>
    <w:rsid w:val="00472F8C"/>
    <w:rsid w:val="0047399D"/>
    <w:rsid w:val="00473DA9"/>
    <w:rsid w:val="00473EB6"/>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04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2925"/>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3E"/>
    <w:rsid w:val="00512760"/>
    <w:rsid w:val="00512ADF"/>
    <w:rsid w:val="00512B1D"/>
    <w:rsid w:val="00512C9F"/>
    <w:rsid w:val="00512D6B"/>
    <w:rsid w:val="00512E53"/>
    <w:rsid w:val="0051329C"/>
    <w:rsid w:val="00513D2A"/>
    <w:rsid w:val="0051416C"/>
    <w:rsid w:val="0051508F"/>
    <w:rsid w:val="00515C55"/>
    <w:rsid w:val="00515CBD"/>
    <w:rsid w:val="00515E93"/>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335"/>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280"/>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4B4D"/>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278"/>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894"/>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4F98"/>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297"/>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294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86"/>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0700"/>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55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24"/>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2F2"/>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1E3F"/>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58"/>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1A2"/>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84"/>
    <w:rsid w:val="00DA38CA"/>
    <w:rsid w:val="00DA43F9"/>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6ED"/>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4FEF"/>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419F"/>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2B7E"/>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14"/>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27664</Words>
  <Characters>15769</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6</cp:revision>
  <cp:lastPrinted>2025-09-29T06:17:00Z</cp:lastPrinted>
  <dcterms:created xsi:type="dcterms:W3CDTF">2026-02-11T16:43:00Z</dcterms:created>
  <dcterms:modified xsi:type="dcterms:W3CDTF">2026-02-17T06:35:00Z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