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0FDD" w14:textId="7D0C9C55" w:rsidR="00044AF4" w:rsidRDefault="00044AF4" w:rsidP="00044A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Hlk82096411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 priedas </w:t>
      </w:r>
    </w:p>
    <w:p w14:paraId="1DB760F2" w14:textId="77777777" w:rsidR="00044AF4" w:rsidRDefault="00044AF4" w:rsidP="0071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4F58DE" w14:textId="295498A1" w:rsidR="00710703" w:rsidRPr="00B14DD4" w:rsidRDefault="00710703" w:rsidP="0071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14D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TECHNINĖ SPECIFIKACIJA</w:t>
      </w:r>
    </w:p>
    <w:p w14:paraId="4D10F30C" w14:textId="14EB346F" w:rsidR="00710703" w:rsidRPr="00B14DD4" w:rsidRDefault="00710703" w:rsidP="3E084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28252A8B" w14:textId="207C6D19" w:rsidR="002A2D39" w:rsidRPr="00B14DD4" w:rsidRDefault="794D387B" w:rsidP="002B104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DD4">
        <w:rPr>
          <w:rFonts w:ascii="Times New Roman" w:hAnsi="Times New Roman" w:cs="Times New Roman"/>
          <w:b/>
          <w:bCs/>
          <w:sz w:val="24"/>
          <w:szCs w:val="24"/>
        </w:rPr>
        <w:t xml:space="preserve">TINKLO ĮRANGOS PALAIKYMAS </w:t>
      </w:r>
    </w:p>
    <w:p w14:paraId="1334F2FC" w14:textId="77777777" w:rsidR="000049F7" w:rsidRPr="00B14DD4" w:rsidRDefault="000049F7" w:rsidP="002B1044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lang w:eastAsia="zh-CN" w:bidi="hi-IN"/>
        </w:rPr>
      </w:pPr>
    </w:p>
    <w:p w14:paraId="3E663949" w14:textId="76E787C6" w:rsidR="00613BD8" w:rsidRPr="00B14DD4" w:rsidRDefault="00E26437" w:rsidP="00613BD8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eastAsia="zh-CN" w:bidi="hi-IN"/>
        </w:rPr>
      </w:pPr>
      <w:proofErr w:type="spellStart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>Cisco</w:t>
      </w:r>
      <w:proofErr w:type="spellEnd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proofErr w:type="spellStart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>Identity</w:t>
      </w:r>
      <w:proofErr w:type="spellEnd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proofErr w:type="spellStart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>Service</w:t>
      </w:r>
      <w:proofErr w:type="spellEnd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proofErr w:type="spellStart"/>
      <w:r w:rsidRPr="00B14DD4">
        <w:rPr>
          <w:rFonts w:ascii="Times New Roman" w:eastAsia="Arial Unicode MS" w:hAnsi="Times New Roman" w:cs="Times New Roman"/>
          <w:kern w:val="2"/>
          <w:lang w:eastAsia="zh-CN" w:bidi="hi-IN"/>
        </w:rPr>
        <w:t>Engine</w:t>
      </w:r>
      <w:proofErr w:type="spellEnd"/>
      <w:r w:rsidR="00304603" w:rsidRPr="00B14DD4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programinė įranga.</w:t>
      </w:r>
    </w:p>
    <w:p w14:paraId="0F50E5E3" w14:textId="77777777" w:rsidR="00613BD8" w:rsidRPr="00B14DD4" w:rsidRDefault="00613BD8" w:rsidP="00613BD8">
      <w:pPr>
        <w:pStyle w:val="ListParagraph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96"/>
        <w:gridCol w:w="5942"/>
      </w:tblGrid>
      <w:tr w:rsidR="00EE1C1D" w:rsidRPr="00B14DD4" w14:paraId="39C75C21" w14:textId="77777777" w:rsidTr="20A95042">
        <w:trPr>
          <w:trHeight w:val="126"/>
        </w:trPr>
        <w:tc>
          <w:tcPr>
            <w:tcW w:w="306" w:type="pct"/>
            <w:shd w:val="clear" w:color="auto" w:fill="FFFFFF" w:themeFill="background1"/>
          </w:tcPr>
          <w:bookmarkEnd w:id="0"/>
          <w:p w14:paraId="7E1B2421" w14:textId="77777777" w:rsidR="00EE1C1D" w:rsidRPr="00B14DD4" w:rsidRDefault="00EE1C1D" w:rsidP="00B4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Eil. Nr.</w:t>
            </w:r>
          </w:p>
        </w:tc>
        <w:tc>
          <w:tcPr>
            <w:tcW w:w="1608" w:type="pct"/>
            <w:shd w:val="clear" w:color="auto" w:fill="FFFFFF" w:themeFill="background1"/>
          </w:tcPr>
          <w:p w14:paraId="72460849" w14:textId="77777777" w:rsidR="00EE1C1D" w:rsidRPr="00B14DD4" w:rsidRDefault="00EE1C1D" w:rsidP="00B4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Parametro</w:t>
            </w:r>
          </w:p>
          <w:p w14:paraId="03B8D3EE" w14:textId="77777777" w:rsidR="00EE1C1D" w:rsidRPr="00B14DD4" w:rsidRDefault="00EE1C1D" w:rsidP="00B4400E">
            <w:pPr>
              <w:widowControl w:val="0"/>
              <w:suppressAutoHyphens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pavadinimas</w:t>
            </w:r>
          </w:p>
        </w:tc>
        <w:tc>
          <w:tcPr>
            <w:tcW w:w="3086" w:type="pct"/>
            <w:shd w:val="clear" w:color="auto" w:fill="FFFFFF" w:themeFill="background1"/>
          </w:tcPr>
          <w:p w14:paraId="64A70B3B" w14:textId="77777777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  <w:t>Reikalaujamos parametrų reikšmės</w:t>
            </w:r>
          </w:p>
        </w:tc>
      </w:tr>
      <w:tr w:rsidR="00EE1C1D" w:rsidRPr="00B14DD4" w14:paraId="35EF3A01" w14:textId="77777777" w:rsidTr="20A95042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</w:tcPr>
          <w:p w14:paraId="30262565" w14:textId="77777777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1.1</w:t>
            </w:r>
          </w:p>
        </w:tc>
        <w:tc>
          <w:tcPr>
            <w:tcW w:w="1608" w:type="pct"/>
          </w:tcPr>
          <w:p w14:paraId="42757180" w14:textId="3EB917D0" w:rsidR="00EE1C1D" w:rsidRPr="00B14DD4" w:rsidRDefault="00DD37A2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Cisco Identity Service Engine Premier </w:t>
            </w:r>
            <w:proofErr w:type="spellStart"/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licencija</w:t>
            </w:r>
            <w:proofErr w:type="spellEnd"/>
          </w:p>
        </w:tc>
        <w:tc>
          <w:tcPr>
            <w:tcW w:w="3086" w:type="pct"/>
          </w:tcPr>
          <w:p w14:paraId="2E90253A" w14:textId="7687CA1B" w:rsidR="00EE1C1D" w:rsidRPr="00B14DD4" w:rsidRDefault="00934AA4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ISE-P-LIC</w:t>
            </w:r>
          </w:p>
        </w:tc>
      </w:tr>
      <w:tr w:rsidR="00EE1C1D" w:rsidRPr="00B14DD4" w14:paraId="6C73D19B" w14:textId="77777777" w:rsidTr="20A95042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</w:tcPr>
          <w:p w14:paraId="3591095D" w14:textId="77777777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1.2</w:t>
            </w:r>
          </w:p>
        </w:tc>
        <w:tc>
          <w:tcPr>
            <w:tcW w:w="1608" w:type="pct"/>
          </w:tcPr>
          <w:p w14:paraId="1820F5D3" w14:textId="2A235A7C" w:rsidR="00EE1C1D" w:rsidRPr="00B14DD4" w:rsidRDefault="00DD37A2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Naudojamų l</w:t>
            </w:r>
            <w:r w:rsidR="0068328E"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icencijų</w:t>
            </w:r>
            <w:r w:rsidR="00EE1C1D"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, kurioms pratęsiama programinės įrangos palaikymas, skaičius</w:t>
            </w:r>
          </w:p>
        </w:tc>
        <w:tc>
          <w:tcPr>
            <w:tcW w:w="3086" w:type="pct"/>
          </w:tcPr>
          <w:p w14:paraId="07864A29" w14:textId="5D9B80FE" w:rsidR="00EE1C1D" w:rsidRPr="00B14DD4" w:rsidRDefault="0068328E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150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vnt.</w:t>
            </w:r>
          </w:p>
          <w:p w14:paraId="43836C9B" w14:textId="0F1AB674" w:rsidR="00EE1C1D" w:rsidRPr="00B14DD4" w:rsidRDefault="00EE1C1D" w:rsidP="005E62CB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</w:p>
        </w:tc>
      </w:tr>
      <w:tr w:rsidR="00EE1C1D" w:rsidRPr="00B14DD4" w14:paraId="74B497B5" w14:textId="77777777" w:rsidTr="20A95042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</w:tcPr>
          <w:p w14:paraId="323D2830" w14:textId="77777777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1.3</w:t>
            </w:r>
          </w:p>
        </w:tc>
        <w:tc>
          <w:tcPr>
            <w:tcW w:w="1608" w:type="pct"/>
          </w:tcPr>
          <w:p w14:paraId="6F3B7D18" w14:textId="77777777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 galiojimo terminas</w:t>
            </w:r>
          </w:p>
        </w:tc>
        <w:tc>
          <w:tcPr>
            <w:tcW w:w="3086" w:type="pct"/>
          </w:tcPr>
          <w:p w14:paraId="583B02BE" w14:textId="3E922F87" w:rsidR="00EE1C1D" w:rsidRPr="00B14DD4" w:rsidRDefault="005A7A61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36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(</w:t>
            </w: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trisdešimt šeši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) mėnesi</w:t>
            </w: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ai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nuo šiuo metu naudojamos licencij</w:t>
            </w:r>
            <w:r w:rsidR="0068328E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ų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galiojimo datos pabaigos - 202</w:t>
            </w:r>
            <w:r w:rsidR="0068328E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6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-</w:t>
            </w:r>
            <w:r w:rsidR="0068328E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05</w:t>
            </w:r>
            <w:r w:rsidR="00EE1C1D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-</w:t>
            </w:r>
            <w:r w:rsidR="0068328E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04</w:t>
            </w:r>
          </w:p>
        </w:tc>
      </w:tr>
      <w:tr w:rsidR="00EE1C1D" w:rsidRPr="00B14DD4" w14:paraId="4C6744D2" w14:textId="77777777" w:rsidTr="20A95042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</w:tcPr>
          <w:p w14:paraId="7E199DCC" w14:textId="13AE550B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</w:t>
            </w:r>
            <w:r w:rsidR="00633034"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1608" w:type="pct"/>
          </w:tcPr>
          <w:p w14:paraId="37C790DC" w14:textId="1A13F401" w:rsidR="00EE1C1D" w:rsidRPr="00B14DD4" w:rsidRDefault="00EE1C1D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Kitos sąlygos</w:t>
            </w:r>
          </w:p>
        </w:tc>
        <w:tc>
          <w:tcPr>
            <w:tcW w:w="3086" w:type="pct"/>
          </w:tcPr>
          <w:p w14:paraId="7E0D1FCF" w14:textId="4304511D" w:rsidR="00EE1C1D" w:rsidRPr="00B14DD4" w:rsidRDefault="00633034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hAnsi="Times New Roman" w:cs="Times New Roman"/>
                <w:color w:val="262626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P</w:t>
            </w:r>
            <w:r w:rsidR="00EE1C1D"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ratęstų licencijų galiojimo terminai turi matytis gamintojo svetainėje.</w:t>
            </w:r>
          </w:p>
        </w:tc>
      </w:tr>
    </w:tbl>
    <w:p w14:paraId="40D5E5A0" w14:textId="212E9714" w:rsidR="3A803823" w:rsidRPr="00B14DD4" w:rsidRDefault="3A803823" w:rsidP="3A803823">
      <w:pPr>
        <w:rPr>
          <w:rFonts w:ascii="Times New Roman" w:hAnsi="Times New Roman" w:cs="Times New Roman"/>
        </w:rPr>
      </w:pPr>
    </w:p>
    <w:p w14:paraId="2AB0F117" w14:textId="5DE4C790" w:rsidR="0000639A" w:rsidRPr="00B14DD4" w:rsidRDefault="0000639A" w:rsidP="000063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14DD4">
        <w:rPr>
          <w:rFonts w:ascii="Times New Roman" w:hAnsi="Times New Roman" w:cs="Times New Roman"/>
        </w:rPr>
        <w:t>Cisco</w:t>
      </w:r>
      <w:proofErr w:type="spellEnd"/>
      <w:r w:rsidRPr="00B14DD4">
        <w:rPr>
          <w:rFonts w:ascii="Times New Roman" w:hAnsi="Times New Roman" w:cs="Times New Roman"/>
        </w:rPr>
        <w:t xml:space="preserve"> </w:t>
      </w:r>
      <w:proofErr w:type="spellStart"/>
      <w:r w:rsidR="009B2A44" w:rsidRPr="00B14DD4">
        <w:rPr>
          <w:rFonts w:ascii="Times New Roman" w:hAnsi="Times New Roman" w:cs="Times New Roman"/>
        </w:rPr>
        <w:t>Wi</w:t>
      </w:r>
      <w:proofErr w:type="spellEnd"/>
      <w:r w:rsidR="009B2A44" w:rsidRPr="00B14DD4">
        <w:rPr>
          <w:rFonts w:ascii="Times New Roman" w:hAnsi="Times New Roman" w:cs="Times New Roman"/>
        </w:rPr>
        <w:t>-Fi valdiklio</w:t>
      </w:r>
      <w:r w:rsidR="006B0024" w:rsidRPr="00B14DD4">
        <w:rPr>
          <w:rFonts w:ascii="Times New Roman" w:hAnsi="Times New Roman" w:cs="Times New Roman"/>
        </w:rPr>
        <w:t xml:space="preserve"> </w:t>
      </w:r>
      <w:r w:rsidR="00735107" w:rsidRPr="00B14DD4">
        <w:rPr>
          <w:rFonts w:ascii="Times New Roman" w:hAnsi="Times New Roman" w:cs="Times New Roman"/>
        </w:rPr>
        <w:t>programinė įranga.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96"/>
        <w:gridCol w:w="5942"/>
      </w:tblGrid>
      <w:tr w:rsidR="0000639A" w:rsidRPr="00B14DD4" w14:paraId="7AEC09EF" w14:textId="77777777" w:rsidTr="00B4400E">
        <w:trPr>
          <w:trHeight w:val="126"/>
        </w:trPr>
        <w:tc>
          <w:tcPr>
            <w:tcW w:w="306" w:type="pct"/>
            <w:shd w:val="clear" w:color="auto" w:fill="FFFFFF" w:themeFill="background1"/>
          </w:tcPr>
          <w:p w14:paraId="24707043" w14:textId="77777777" w:rsidR="0000639A" w:rsidRPr="00B14DD4" w:rsidRDefault="0000639A" w:rsidP="00B4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Eil. Nr.</w:t>
            </w:r>
          </w:p>
        </w:tc>
        <w:tc>
          <w:tcPr>
            <w:tcW w:w="1608" w:type="pct"/>
            <w:shd w:val="clear" w:color="auto" w:fill="FFFFFF" w:themeFill="background1"/>
          </w:tcPr>
          <w:p w14:paraId="088F7A1C" w14:textId="77777777" w:rsidR="0000639A" w:rsidRPr="00B14DD4" w:rsidRDefault="0000639A" w:rsidP="00B4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Parametro</w:t>
            </w:r>
          </w:p>
          <w:p w14:paraId="034C2764" w14:textId="77777777" w:rsidR="0000639A" w:rsidRPr="00B14DD4" w:rsidRDefault="0000639A" w:rsidP="00B4400E">
            <w:pPr>
              <w:widowControl w:val="0"/>
              <w:suppressAutoHyphens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pavadinimas</w:t>
            </w:r>
          </w:p>
        </w:tc>
        <w:tc>
          <w:tcPr>
            <w:tcW w:w="3086" w:type="pct"/>
            <w:shd w:val="clear" w:color="auto" w:fill="FFFFFF" w:themeFill="background1"/>
          </w:tcPr>
          <w:p w14:paraId="1B8FE90B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  <w:t>Reikalaujamos parametrų reikšmės</w:t>
            </w:r>
          </w:p>
        </w:tc>
      </w:tr>
      <w:tr w:rsidR="0000639A" w:rsidRPr="00B14DD4" w14:paraId="3CA6A430" w14:textId="77777777" w:rsidTr="00B4400E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</w:tcPr>
          <w:p w14:paraId="4C461CD8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1.1</w:t>
            </w:r>
          </w:p>
        </w:tc>
        <w:tc>
          <w:tcPr>
            <w:tcW w:w="1608" w:type="pct"/>
          </w:tcPr>
          <w:p w14:paraId="38CD7072" w14:textId="399BD520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Cisco </w:t>
            </w:r>
            <w:r w:rsidR="00050554"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Wireless C</w:t>
            </w:r>
            <w:r w:rsidR="00EA6B85"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ontroller</w:t>
            </w:r>
            <w:r w:rsidR="00050554"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DNA On-Prem Advantage</w:t>
            </w: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licencija</w:t>
            </w:r>
            <w:proofErr w:type="spellEnd"/>
          </w:p>
        </w:tc>
        <w:tc>
          <w:tcPr>
            <w:tcW w:w="3086" w:type="pct"/>
          </w:tcPr>
          <w:p w14:paraId="3C5FA76C" w14:textId="5F337CA1" w:rsidR="0000639A" w:rsidRPr="00B14DD4" w:rsidRDefault="004B182E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AIR-DNA-A-3Y</w:t>
            </w:r>
          </w:p>
        </w:tc>
      </w:tr>
      <w:tr w:rsidR="0000639A" w:rsidRPr="00B14DD4" w14:paraId="3329366E" w14:textId="77777777" w:rsidTr="00B4400E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</w:tcPr>
          <w:p w14:paraId="5FF5A9FD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1.2</w:t>
            </w:r>
          </w:p>
        </w:tc>
        <w:tc>
          <w:tcPr>
            <w:tcW w:w="1608" w:type="pct"/>
          </w:tcPr>
          <w:p w14:paraId="6E8745F8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Naudojamų licencijų, kurioms pratęsiama programinės įrangos palaikymas, skaičius</w:t>
            </w:r>
          </w:p>
        </w:tc>
        <w:tc>
          <w:tcPr>
            <w:tcW w:w="3086" w:type="pct"/>
          </w:tcPr>
          <w:p w14:paraId="56942CFC" w14:textId="7F623CA9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1</w:t>
            </w:r>
            <w:r w:rsidR="004A5345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2</w:t>
            </w: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vnt.</w:t>
            </w:r>
          </w:p>
          <w:p w14:paraId="0D8E9CFC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</w:p>
        </w:tc>
      </w:tr>
      <w:tr w:rsidR="0000639A" w:rsidRPr="00B14DD4" w14:paraId="1A7B352B" w14:textId="77777777" w:rsidTr="00B4400E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</w:tcPr>
          <w:p w14:paraId="4F19ED5B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1.3</w:t>
            </w:r>
          </w:p>
        </w:tc>
        <w:tc>
          <w:tcPr>
            <w:tcW w:w="1608" w:type="pct"/>
          </w:tcPr>
          <w:p w14:paraId="30B39C45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 galiojimo terminas</w:t>
            </w:r>
          </w:p>
        </w:tc>
        <w:tc>
          <w:tcPr>
            <w:tcW w:w="3086" w:type="pct"/>
          </w:tcPr>
          <w:p w14:paraId="757EBF3B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36 (trisdešimt šeši) mėnesiai nuo šiuo metu naudojamos licencijų galiojimo datos pabaigos - 2026-05-04</w:t>
            </w:r>
          </w:p>
        </w:tc>
      </w:tr>
      <w:tr w:rsidR="0000639A" w:rsidRPr="00B14DD4" w14:paraId="5D8958D5" w14:textId="77777777" w:rsidTr="00B4400E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</w:tcPr>
          <w:p w14:paraId="03B37A55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1.4</w:t>
            </w:r>
          </w:p>
        </w:tc>
        <w:tc>
          <w:tcPr>
            <w:tcW w:w="1608" w:type="pct"/>
          </w:tcPr>
          <w:p w14:paraId="1768BBD7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Kitos sąlygos</w:t>
            </w:r>
          </w:p>
        </w:tc>
        <w:tc>
          <w:tcPr>
            <w:tcW w:w="3086" w:type="pct"/>
          </w:tcPr>
          <w:p w14:paraId="27FAD9FC" w14:textId="77777777" w:rsidR="0000639A" w:rsidRPr="00B14DD4" w:rsidRDefault="0000639A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hAnsi="Times New Roman" w:cs="Times New Roman"/>
                <w:color w:val="262626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Pratęstų licencijų galiojimo terminai turi matytis gamintojo svetainėje.</w:t>
            </w:r>
          </w:p>
        </w:tc>
      </w:tr>
    </w:tbl>
    <w:p w14:paraId="59EE4240" w14:textId="77777777" w:rsidR="0000639A" w:rsidRPr="00B14DD4" w:rsidRDefault="0000639A" w:rsidP="0000639A">
      <w:pPr>
        <w:rPr>
          <w:rFonts w:ascii="Times New Roman" w:hAnsi="Times New Roman" w:cs="Times New Roman"/>
        </w:rPr>
      </w:pPr>
    </w:p>
    <w:p w14:paraId="74621E43" w14:textId="2EBDE42D" w:rsidR="004A5345" w:rsidRPr="00B14DD4" w:rsidRDefault="009B2A44" w:rsidP="00804D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14DD4">
        <w:rPr>
          <w:rFonts w:ascii="Times New Roman" w:hAnsi="Times New Roman" w:cs="Times New Roman"/>
        </w:rPr>
        <w:t>Cisco</w:t>
      </w:r>
      <w:proofErr w:type="spellEnd"/>
      <w:r w:rsidRPr="00B14DD4">
        <w:rPr>
          <w:rFonts w:ascii="Times New Roman" w:hAnsi="Times New Roman" w:cs="Times New Roman"/>
        </w:rPr>
        <w:t xml:space="preserve"> </w:t>
      </w:r>
      <w:r w:rsidR="00672E90" w:rsidRPr="00B14DD4">
        <w:rPr>
          <w:rFonts w:ascii="Times New Roman" w:hAnsi="Times New Roman" w:cs="Times New Roman"/>
        </w:rPr>
        <w:t xml:space="preserve">tinklo </w:t>
      </w:r>
      <w:r w:rsidRPr="00B14DD4">
        <w:rPr>
          <w:rFonts w:ascii="Times New Roman" w:hAnsi="Times New Roman" w:cs="Times New Roman"/>
        </w:rPr>
        <w:t>komutatori</w:t>
      </w:r>
      <w:r w:rsidR="00672E90" w:rsidRPr="00B14DD4">
        <w:rPr>
          <w:rFonts w:ascii="Times New Roman" w:hAnsi="Times New Roman" w:cs="Times New Roman"/>
        </w:rPr>
        <w:t>aus programinė įranga.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96"/>
        <w:gridCol w:w="5942"/>
      </w:tblGrid>
      <w:tr w:rsidR="00672E90" w:rsidRPr="00B14DD4" w14:paraId="772A96C1" w14:textId="77777777" w:rsidTr="00B4400E">
        <w:trPr>
          <w:trHeight w:val="126"/>
        </w:trPr>
        <w:tc>
          <w:tcPr>
            <w:tcW w:w="306" w:type="pct"/>
            <w:shd w:val="clear" w:color="auto" w:fill="FFFFFF" w:themeFill="background1"/>
          </w:tcPr>
          <w:p w14:paraId="3A09D54C" w14:textId="77777777" w:rsidR="00672E90" w:rsidRPr="00B14DD4" w:rsidRDefault="00672E90" w:rsidP="00B4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Eil. Nr.</w:t>
            </w:r>
          </w:p>
        </w:tc>
        <w:tc>
          <w:tcPr>
            <w:tcW w:w="1608" w:type="pct"/>
            <w:shd w:val="clear" w:color="auto" w:fill="FFFFFF" w:themeFill="background1"/>
          </w:tcPr>
          <w:p w14:paraId="264896A8" w14:textId="77777777" w:rsidR="00672E90" w:rsidRPr="00B14DD4" w:rsidRDefault="00672E90" w:rsidP="00B4400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Parametro</w:t>
            </w:r>
          </w:p>
          <w:p w14:paraId="49C880E6" w14:textId="77777777" w:rsidR="00672E90" w:rsidRPr="00B14DD4" w:rsidRDefault="00672E90" w:rsidP="00B4400E">
            <w:pPr>
              <w:widowControl w:val="0"/>
              <w:suppressAutoHyphens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color w:val="000000"/>
                <w:kern w:val="2"/>
                <w:lang w:eastAsia="zh-CN"/>
              </w:rPr>
              <w:t>pavadinimas</w:t>
            </w:r>
          </w:p>
        </w:tc>
        <w:tc>
          <w:tcPr>
            <w:tcW w:w="3086" w:type="pct"/>
            <w:shd w:val="clear" w:color="auto" w:fill="FFFFFF" w:themeFill="background1"/>
          </w:tcPr>
          <w:p w14:paraId="2C05D78A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/>
                <w:kern w:val="2"/>
                <w:lang w:eastAsia="zh-CN"/>
              </w:rPr>
              <w:t>Reikalaujamos parametrų reikšmės</w:t>
            </w:r>
          </w:p>
        </w:tc>
      </w:tr>
      <w:tr w:rsidR="00672E90" w:rsidRPr="00B14DD4" w14:paraId="7B32D3B9" w14:textId="77777777" w:rsidTr="00B4400E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</w:tcPr>
          <w:p w14:paraId="37E67136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1.1</w:t>
            </w:r>
          </w:p>
        </w:tc>
        <w:tc>
          <w:tcPr>
            <w:tcW w:w="1608" w:type="pct"/>
          </w:tcPr>
          <w:p w14:paraId="1E91EB47" w14:textId="6FFD8A87" w:rsidR="00672E90" w:rsidRPr="00B14DD4" w:rsidRDefault="00D25512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Cisco Catalyst 9300 DNA Advantage 48-Port </w:t>
            </w:r>
            <w:proofErr w:type="spellStart"/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licencija</w:t>
            </w:r>
            <w:proofErr w:type="spellEnd"/>
          </w:p>
        </w:tc>
        <w:tc>
          <w:tcPr>
            <w:tcW w:w="3086" w:type="pct"/>
          </w:tcPr>
          <w:p w14:paraId="5EFBC148" w14:textId="2B3907BF" w:rsidR="00672E90" w:rsidRPr="00B14DD4" w:rsidRDefault="00D25512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C9300-DNA-A-48-3Y </w:t>
            </w:r>
          </w:p>
        </w:tc>
      </w:tr>
      <w:tr w:rsidR="00672E90" w:rsidRPr="00B14DD4" w14:paraId="51433BB0" w14:textId="77777777" w:rsidTr="00B4400E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306" w:type="pct"/>
          </w:tcPr>
          <w:p w14:paraId="67F167FA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1.2</w:t>
            </w:r>
          </w:p>
        </w:tc>
        <w:tc>
          <w:tcPr>
            <w:tcW w:w="1608" w:type="pct"/>
          </w:tcPr>
          <w:p w14:paraId="332EC0C1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Naudojamų licencijų, kurioms pratęsiama programinės įrangos palaikymas, skaičius</w:t>
            </w:r>
          </w:p>
        </w:tc>
        <w:tc>
          <w:tcPr>
            <w:tcW w:w="3086" w:type="pct"/>
          </w:tcPr>
          <w:p w14:paraId="23A58B46" w14:textId="76401E41" w:rsidR="00672E90" w:rsidRPr="00B14DD4" w:rsidRDefault="00D25512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3</w:t>
            </w:r>
            <w:r w:rsidR="00672E90"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 xml:space="preserve"> vnt.</w:t>
            </w:r>
          </w:p>
          <w:p w14:paraId="20DCCA22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</w:p>
        </w:tc>
      </w:tr>
      <w:tr w:rsidR="00672E90" w:rsidRPr="00B14DD4" w14:paraId="4E58A80A" w14:textId="77777777" w:rsidTr="00B4400E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</w:tcPr>
          <w:p w14:paraId="1B55B7C4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1.3</w:t>
            </w:r>
          </w:p>
        </w:tc>
        <w:tc>
          <w:tcPr>
            <w:tcW w:w="1608" w:type="pct"/>
          </w:tcPr>
          <w:p w14:paraId="4277921A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Licencijos galiojimo terminas</w:t>
            </w:r>
          </w:p>
        </w:tc>
        <w:tc>
          <w:tcPr>
            <w:tcW w:w="3086" w:type="pct"/>
          </w:tcPr>
          <w:p w14:paraId="002CB642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eastAsia="zh-CN" w:bidi="hi-IN"/>
              </w:rPr>
            </w:pPr>
            <w:r w:rsidRPr="00B14DD4">
              <w:rPr>
                <w:rFonts w:ascii="Times New Roman" w:eastAsia="Arial Unicode MS" w:hAnsi="Times New Roman" w:cs="Times New Roman"/>
                <w:bCs/>
                <w:color w:val="000000"/>
                <w:kern w:val="2"/>
                <w:lang w:eastAsia="zh-CN"/>
              </w:rPr>
              <w:t>36 (trisdešimt šeši) mėnesiai nuo šiuo metu naudojamos licencijų galiojimo datos pabaigos - 2026-05-04</w:t>
            </w:r>
          </w:p>
        </w:tc>
      </w:tr>
      <w:tr w:rsidR="00672E90" w:rsidRPr="00B14DD4" w14:paraId="229AF25C" w14:textId="77777777" w:rsidTr="00B4400E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306" w:type="pct"/>
          </w:tcPr>
          <w:p w14:paraId="3A336BF7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1.4</w:t>
            </w:r>
          </w:p>
        </w:tc>
        <w:tc>
          <w:tcPr>
            <w:tcW w:w="1608" w:type="pct"/>
          </w:tcPr>
          <w:p w14:paraId="61C1ACE8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Kitos sąlygos</w:t>
            </w:r>
          </w:p>
        </w:tc>
        <w:tc>
          <w:tcPr>
            <w:tcW w:w="3086" w:type="pct"/>
          </w:tcPr>
          <w:p w14:paraId="5E1339BD" w14:textId="77777777" w:rsidR="00672E90" w:rsidRPr="00B14DD4" w:rsidRDefault="00672E90" w:rsidP="00B4400E">
            <w:pPr>
              <w:widowControl w:val="0"/>
              <w:suppressAutoHyphens/>
              <w:snapToGrid w:val="0"/>
              <w:spacing w:after="20" w:line="240" w:lineRule="auto"/>
              <w:jc w:val="both"/>
              <w:rPr>
                <w:rFonts w:ascii="Times New Roman" w:hAnsi="Times New Roman" w:cs="Times New Roman"/>
                <w:color w:val="262626"/>
              </w:rPr>
            </w:pPr>
            <w:r w:rsidRPr="00B14DD4">
              <w:rPr>
                <w:rFonts w:ascii="Times New Roman" w:eastAsia="Arial Unicode MS" w:hAnsi="Times New Roman" w:cs="Times New Roman"/>
                <w:color w:val="000000"/>
                <w:kern w:val="2"/>
                <w:lang w:eastAsia="zh-CN"/>
              </w:rPr>
              <w:t>Pratęstų licencijų galiojimo terminai turi matytis gamintojo svetainėje.</w:t>
            </w:r>
          </w:p>
        </w:tc>
      </w:tr>
    </w:tbl>
    <w:p w14:paraId="5AD4F79B" w14:textId="77777777" w:rsidR="00672E90" w:rsidRPr="00B14DD4" w:rsidRDefault="00672E90" w:rsidP="00672E90">
      <w:pPr>
        <w:rPr>
          <w:rFonts w:ascii="Times New Roman" w:hAnsi="Times New Roman" w:cs="Times New Roman"/>
        </w:rPr>
      </w:pPr>
    </w:p>
    <w:p w14:paraId="10AD9020" w14:textId="77777777" w:rsidR="00223E0A" w:rsidRPr="00B14DD4" w:rsidRDefault="00223E0A" w:rsidP="00672E90">
      <w:pPr>
        <w:rPr>
          <w:rFonts w:ascii="Times New Roman" w:hAnsi="Times New Roman" w:cs="Times New Roman"/>
        </w:rPr>
      </w:pPr>
    </w:p>
    <w:p w14:paraId="389BFEEC" w14:textId="77777777" w:rsidR="00223E0A" w:rsidRPr="00B14DD4" w:rsidRDefault="00223E0A" w:rsidP="00672E90">
      <w:pPr>
        <w:rPr>
          <w:rFonts w:ascii="Times New Roman" w:hAnsi="Times New Roman" w:cs="Times New Roman"/>
        </w:rPr>
      </w:pPr>
    </w:p>
    <w:p w14:paraId="43723AD5" w14:textId="77777777" w:rsidR="00223E0A" w:rsidRPr="00B14DD4" w:rsidRDefault="00223E0A" w:rsidP="00672E90">
      <w:pPr>
        <w:rPr>
          <w:rFonts w:ascii="Times New Roman" w:hAnsi="Times New Roman" w:cs="Times New Roman"/>
        </w:rPr>
      </w:pPr>
    </w:p>
    <w:p w14:paraId="31AC6BF3" w14:textId="77B56B99" w:rsidR="004B066F" w:rsidRPr="00B14DD4" w:rsidRDefault="004B066F" w:rsidP="000760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 xml:space="preserve">Gamintojo garantijų pratęsimas </w:t>
      </w:r>
      <w:r w:rsidR="00223E0A" w:rsidRPr="00B14DD4">
        <w:rPr>
          <w:rFonts w:ascii="Times New Roman" w:hAnsi="Times New Roman" w:cs="Times New Roman"/>
        </w:rPr>
        <w:t xml:space="preserve">šiai perkančiosios organizacijos naudojamai </w:t>
      </w:r>
      <w:proofErr w:type="spellStart"/>
      <w:r w:rsidR="00223E0A" w:rsidRPr="00B14DD4">
        <w:rPr>
          <w:rFonts w:ascii="Times New Roman" w:hAnsi="Times New Roman" w:cs="Times New Roman"/>
        </w:rPr>
        <w:t>Cisco</w:t>
      </w:r>
      <w:proofErr w:type="spellEnd"/>
      <w:r w:rsidR="00223E0A" w:rsidRPr="00B14DD4">
        <w:rPr>
          <w:rFonts w:ascii="Times New Roman" w:hAnsi="Times New Roman" w:cs="Times New Roman"/>
        </w:rPr>
        <w:t xml:space="preserve"> įrangai:</w:t>
      </w:r>
    </w:p>
    <w:tbl>
      <w:tblPr>
        <w:tblStyle w:val="TableGrid"/>
        <w:tblpPr w:leftFromText="180" w:rightFromText="180" w:vertAnchor="text" w:horzAnchor="page" w:tblpX="2462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387"/>
        <w:gridCol w:w="1701"/>
      </w:tblGrid>
      <w:tr w:rsidR="008A051C" w:rsidRPr="00B14DD4" w14:paraId="007F4254" w14:textId="77777777" w:rsidTr="00615AFD">
        <w:tc>
          <w:tcPr>
            <w:tcW w:w="1129" w:type="dxa"/>
          </w:tcPr>
          <w:p w14:paraId="3A7A76F3" w14:textId="77777777" w:rsidR="008A051C" w:rsidRPr="00B14DD4" w:rsidRDefault="008A051C" w:rsidP="008A051C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DD4">
              <w:rPr>
                <w:rFonts w:ascii="Times New Roman" w:hAnsi="Times New Roman"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5387" w:type="dxa"/>
          </w:tcPr>
          <w:p w14:paraId="07320AE4" w14:textId="77777777" w:rsidR="008A051C" w:rsidRPr="00B14DD4" w:rsidRDefault="008A051C" w:rsidP="008A051C">
            <w:pPr>
              <w:ind w:firstLine="54"/>
              <w:rPr>
                <w:rFonts w:ascii="Times New Roman" w:hAnsi="Times New Roman" w:cs="Times New Roman"/>
                <w:b/>
                <w:bCs/>
              </w:rPr>
            </w:pPr>
            <w:r w:rsidRPr="00B14DD4">
              <w:rPr>
                <w:rFonts w:ascii="Times New Roman" w:hAnsi="Times New Roman" w:cs="Times New Roman"/>
                <w:b/>
                <w:bCs/>
              </w:rPr>
              <w:t>Įrangos modelis</w:t>
            </w:r>
          </w:p>
        </w:tc>
        <w:tc>
          <w:tcPr>
            <w:tcW w:w="1701" w:type="dxa"/>
          </w:tcPr>
          <w:p w14:paraId="25D892AA" w14:textId="77777777" w:rsidR="008A051C" w:rsidRPr="00B14DD4" w:rsidRDefault="008A051C" w:rsidP="008A051C">
            <w:pPr>
              <w:ind w:firstLine="3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DD4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</w:tr>
      <w:tr w:rsidR="008A051C" w:rsidRPr="00B14DD4" w14:paraId="339F497B" w14:textId="77777777" w:rsidTr="00615AFD">
        <w:tc>
          <w:tcPr>
            <w:tcW w:w="1129" w:type="dxa"/>
          </w:tcPr>
          <w:p w14:paraId="2D203754" w14:textId="77777777" w:rsidR="008A051C" w:rsidRPr="00B14DD4" w:rsidRDefault="008A051C" w:rsidP="008A051C">
            <w:pPr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14:paraId="47F76ECD" w14:textId="4BE52DC6" w:rsidR="008A051C" w:rsidRPr="00B14DD4" w:rsidRDefault="00AF435E" w:rsidP="008A051C">
            <w:pPr>
              <w:ind w:firstLine="54"/>
              <w:rPr>
                <w:rFonts w:ascii="Times New Roman" w:hAnsi="Times New Roman" w:cs="Times New Roman"/>
                <w:lang w:val="en-GB"/>
              </w:rPr>
            </w:pPr>
            <w:r w:rsidRPr="00B14DD4">
              <w:rPr>
                <w:rFonts w:ascii="Times New Roman" w:hAnsi="Times New Roman" w:cs="Times New Roman"/>
              </w:rPr>
              <w:t>C9300-48P-A</w:t>
            </w:r>
          </w:p>
        </w:tc>
        <w:tc>
          <w:tcPr>
            <w:tcW w:w="1701" w:type="dxa"/>
          </w:tcPr>
          <w:p w14:paraId="7A629948" w14:textId="244AAB56" w:rsidR="008A051C" w:rsidRPr="00B14DD4" w:rsidRDefault="00AF435E" w:rsidP="008A051C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2</w:t>
            </w:r>
          </w:p>
        </w:tc>
      </w:tr>
      <w:tr w:rsidR="008A051C" w:rsidRPr="00B14DD4" w14:paraId="1225E0C5" w14:textId="77777777" w:rsidTr="00615AFD">
        <w:tc>
          <w:tcPr>
            <w:tcW w:w="1129" w:type="dxa"/>
          </w:tcPr>
          <w:p w14:paraId="00D2C3F0" w14:textId="77777777" w:rsidR="008A051C" w:rsidRPr="00B14DD4" w:rsidRDefault="008A051C" w:rsidP="008A051C">
            <w:pPr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14:paraId="30B36FE8" w14:textId="3D7695A9" w:rsidR="008A051C" w:rsidRPr="00B14DD4" w:rsidRDefault="007762BD" w:rsidP="008A051C">
            <w:pPr>
              <w:ind w:firstLine="54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C9300-48T-A</w:t>
            </w:r>
          </w:p>
        </w:tc>
        <w:tc>
          <w:tcPr>
            <w:tcW w:w="1701" w:type="dxa"/>
          </w:tcPr>
          <w:p w14:paraId="6ED8E714" w14:textId="09584D7D" w:rsidR="008A051C" w:rsidRPr="00B14DD4" w:rsidRDefault="008A051C" w:rsidP="008A051C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1</w:t>
            </w:r>
          </w:p>
        </w:tc>
      </w:tr>
      <w:tr w:rsidR="008A051C" w:rsidRPr="00B14DD4" w14:paraId="64E8387B" w14:textId="77777777" w:rsidTr="00615AFD">
        <w:tc>
          <w:tcPr>
            <w:tcW w:w="1129" w:type="dxa"/>
          </w:tcPr>
          <w:p w14:paraId="522C900D" w14:textId="77777777" w:rsidR="008A051C" w:rsidRPr="00B14DD4" w:rsidRDefault="008A051C" w:rsidP="008A051C">
            <w:pPr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14:paraId="129F1C31" w14:textId="1D1A03C2" w:rsidR="008A051C" w:rsidRPr="00B14DD4" w:rsidRDefault="00C129B8" w:rsidP="008A051C">
            <w:pPr>
              <w:ind w:firstLine="54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C9105AXI-E</w:t>
            </w:r>
          </w:p>
        </w:tc>
        <w:tc>
          <w:tcPr>
            <w:tcW w:w="1701" w:type="dxa"/>
          </w:tcPr>
          <w:p w14:paraId="7D0932A1" w14:textId="77777777" w:rsidR="008A051C" w:rsidRPr="00B14DD4" w:rsidRDefault="008A051C" w:rsidP="008A051C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10</w:t>
            </w:r>
          </w:p>
        </w:tc>
      </w:tr>
      <w:tr w:rsidR="008A051C" w:rsidRPr="00B14DD4" w14:paraId="73FA1188" w14:textId="77777777" w:rsidTr="00615AFD">
        <w:tc>
          <w:tcPr>
            <w:tcW w:w="1129" w:type="dxa"/>
          </w:tcPr>
          <w:p w14:paraId="3BCBB966" w14:textId="77777777" w:rsidR="008A051C" w:rsidRPr="00B14DD4" w:rsidRDefault="008A051C" w:rsidP="008A051C">
            <w:pPr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</w:tcPr>
          <w:p w14:paraId="11945B6B" w14:textId="17CAA112" w:rsidR="008A051C" w:rsidRPr="00B14DD4" w:rsidRDefault="00106F2D" w:rsidP="008A051C">
            <w:pPr>
              <w:ind w:firstLine="54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C9120AXI-E</w:t>
            </w:r>
          </w:p>
        </w:tc>
        <w:tc>
          <w:tcPr>
            <w:tcW w:w="1701" w:type="dxa"/>
          </w:tcPr>
          <w:p w14:paraId="0383D7CA" w14:textId="3956E7B9" w:rsidR="008A051C" w:rsidRPr="00B14DD4" w:rsidRDefault="00106F2D" w:rsidP="008A051C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2</w:t>
            </w:r>
          </w:p>
        </w:tc>
      </w:tr>
      <w:tr w:rsidR="008A051C" w:rsidRPr="00B14DD4" w14:paraId="17C85EC3" w14:textId="77777777" w:rsidTr="00615AFD">
        <w:tc>
          <w:tcPr>
            <w:tcW w:w="1129" w:type="dxa"/>
          </w:tcPr>
          <w:p w14:paraId="5B7F949A" w14:textId="77777777" w:rsidR="008A051C" w:rsidRPr="00B14DD4" w:rsidRDefault="008A051C" w:rsidP="008A051C">
            <w:pPr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14:paraId="4874BE13" w14:textId="2CF154F1" w:rsidR="008A051C" w:rsidRPr="00B14DD4" w:rsidRDefault="00D5794F" w:rsidP="008A051C">
            <w:pPr>
              <w:ind w:firstLine="54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C9800-CL-K9</w:t>
            </w:r>
          </w:p>
        </w:tc>
        <w:tc>
          <w:tcPr>
            <w:tcW w:w="1701" w:type="dxa"/>
          </w:tcPr>
          <w:p w14:paraId="41ACA87B" w14:textId="41545CBF" w:rsidR="008A051C" w:rsidRPr="00B14DD4" w:rsidRDefault="008A051C" w:rsidP="008A051C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2</w:t>
            </w:r>
          </w:p>
        </w:tc>
      </w:tr>
      <w:tr w:rsidR="008A051C" w:rsidRPr="00B14DD4" w14:paraId="7266AE26" w14:textId="77777777" w:rsidTr="00615AFD">
        <w:tc>
          <w:tcPr>
            <w:tcW w:w="1129" w:type="dxa"/>
          </w:tcPr>
          <w:p w14:paraId="7CE81DC7" w14:textId="77777777" w:rsidR="008A051C" w:rsidRPr="00B14DD4" w:rsidRDefault="008A051C" w:rsidP="008A051C">
            <w:pPr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</w:tcPr>
          <w:p w14:paraId="6FCB4B4F" w14:textId="457876CF" w:rsidR="008A051C" w:rsidRPr="00B14DD4" w:rsidRDefault="00DA6D22" w:rsidP="008A051C">
            <w:pPr>
              <w:ind w:firstLine="54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R-ISE-VMC-K9</w:t>
            </w:r>
          </w:p>
        </w:tc>
        <w:tc>
          <w:tcPr>
            <w:tcW w:w="1701" w:type="dxa"/>
          </w:tcPr>
          <w:p w14:paraId="651504D1" w14:textId="3972C1E9" w:rsidR="008A051C" w:rsidRPr="00B14DD4" w:rsidRDefault="008A051C" w:rsidP="008A051C">
            <w:pPr>
              <w:ind w:firstLine="30"/>
              <w:jc w:val="center"/>
              <w:rPr>
                <w:rFonts w:ascii="Times New Roman" w:hAnsi="Times New Roman" w:cs="Times New Roman"/>
              </w:rPr>
            </w:pPr>
            <w:r w:rsidRPr="00B14DD4">
              <w:rPr>
                <w:rFonts w:ascii="Times New Roman" w:hAnsi="Times New Roman" w:cs="Times New Roman"/>
              </w:rPr>
              <w:t>2</w:t>
            </w:r>
          </w:p>
        </w:tc>
      </w:tr>
    </w:tbl>
    <w:p w14:paraId="42B0062F" w14:textId="77777777" w:rsidR="008A051C" w:rsidRPr="00B14DD4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09CB00" w14:textId="77777777" w:rsidR="008A051C" w:rsidRPr="00B14DD4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4968F9" w14:textId="77777777" w:rsidR="008A051C" w:rsidRPr="00B14DD4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19EFC4" w14:textId="77777777" w:rsidR="008A051C" w:rsidRPr="00B14DD4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F970B98" w14:textId="77777777" w:rsidR="008A051C" w:rsidRPr="00B14DD4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1BA3281" w14:textId="77777777" w:rsidR="008A051C" w:rsidRPr="00B14DD4" w:rsidRDefault="008A051C" w:rsidP="0007606E">
      <w:pPr>
        <w:rPr>
          <w:rFonts w:ascii="Times New Roman" w:hAnsi="Times New Roman" w:cs="Times New Roman"/>
          <w:sz w:val="24"/>
          <w:szCs w:val="24"/>
        </w:rPr>
      </w:pPr>
    </w:p>
    <w:p w14:paraId="53DA3A0A" w14:textId="77777777" w:rsidR="00B562B1" w:rsidRPr="00B14DD4" w:rsidRDefault="00B562B1" w:rsidP="0007606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>Įrangos garantinio palaikymo tvarka ir reikalavimai:</w:t>
      </w:r>
    </w:p>
    <w:p w14:paraId="75F16D0B" w14:textId="7099581A" w:rsidR="00B562B1" w:rsidRPr="00B14DD4" w:rsidRDefault="00B562B1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 xml:space="preserve">Programinės ir techninės įrangos </w:t>
      </w:r>
      <w:r w:rsidR="001512A5" w:rsidRPr="00B14DD4">
        <w:rPr>
          <w:rFonts w:ascii="Times New Roman" w:hAnsi="Times New Roman" w:cs="Times New Roman"/>
        </w:rPr>
        <w:t xml:space="preserve">(toliau  - Įranga) </w:t>
      </w:r>
      <w:r w:rsidRPr="00B14DD4">
        <w:rPr>
          <w:rFonts w:ascii="Times New Roman" w:hAnsi="Times New Roman" w:cs="Times New Roman"/>
        </w:rPr>
        <w:t xml:space="preserve">garantinis aptarnavimas teikiamas </w:t>
      </w:r>
      <w:r w:rsidR="00CE4B16" w:rsidRPr="00B14DD4">
        <w:rPr>
          <w:rFonts w:ascii="Times New Roman" w:hAnsi="Times New Roman" w:cs="Times New Roman"/>
        </w:rPr>
        <w:t>8</w:t>
      </w:r>
      <w:r w:rsidRPr="00B14DD4">
        <w:rPr>
          <w:rFonts w:ascii="Times New Roman" w:hAnsi="Times New Roman" w:cs="Times New Roman"/>
        </w:rPr>
        <w:t>x</w:t>
      </w:r>
      <w:r w:rsidR="00CE4B16" w:rsidRPr="00B14DD4">
        <w:rPr>
          <w:rFonts w:ascii="Times New Roman" w:hAnsi="Times New Roman" w:cs="Times New Roman"/>
        </w:rPr>
        <w:t>5</w:t>
      </w:r>
      <w:r w:rsidRPr="00B14DD4">
        <w:rPr>
          <w:rFonts w:ascii="Times New Roman" w:hAnsi="Times New Roman" w:cs="Times New Roman"/>
        </w:rPr>
        <w:t>x</w:t>
      </w:r>
      <w:r w:rsidR="00CE4B16" w:rsidRPr="00B14DD4">
        <w:rPr>
          <w:rFonts w:ascii="Times New Roman" w:hAnsi="Times New Roman" w:cs="Times New Roman"/>
        </w:rPr>
        <w:t>NBD</w:t>
      </w:r>
      <w:r w:rsidR="009323A9" w:rsidRPr="00B14DD4">
        <w:rPr>
          <w:rFonts w:ascii="Times New Roman" w:hAnsi="Times New Roman" w:cs="Times New Roman"/>
        </w:rPr>
        <w:t xml:space="preserve"> paslaugos lygiu</w:t>
      </w:r>
      <w:r w:rsidRPr="00B14DD4">
        <w:rPr>
          <w:rFonts w:ascii="Times New Roman" w:hAnsi="Times New Roman" w:cs="Times New Roman"/>
        </w:rPr>
        <w:t>;</w:t>
      </w:r>
    </w:p>
    <w:p w14:paraId="49F12FEA" w14:textId="422BE9F1" w:rsidR="00B562B1" w:rsidRPr="00B14DD4" w:rsidRDefault="00B562B1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 xml:space="preserve">Programinės ir techninės įrangos garantinio aptarnavimo trukmė ne trumpesnė nei 36 </w:t>
      </w:r>
      <w:r w:rsidR="00CA7AF1" w:rsidRPr="00B14DD4">
        <w:rPr>
          <w:rFonts w:ascii="Times New Roman" w:hAnsi="Times New Roman" w:cs="Times New Roman"/>
        </w:rPr>
        <w:t>(trisdešimt šeši)</w:t>
      </w:r>
      <w:r w:rsidR="00994140" w:rsidRPr="00B14DD4">
        <w:rPr>
          <w:rFonts w:ascii="Times New Roman" w:hAnsi="Times New Roman" w:cs="Times New Roman"/>
        </w:rPr>
        <w:t xml:space="preserve"> </w:t>
      </w:r>
      <w:r w:rsidRPr="00B14DD4">
        <w:rPr>
          <w:rFonts w:ascii="Times New Roman" w:hAnsi="Times New Roman" w:cs="Times New Roman"/>
        </w:rPr>
        <w:t>mėn</w:t>
      </w:r>
      <w:r w:rsidR="00994140" w:rsidRPr="00B14DD4">
        <w:rPr>
          <w:rFonts w:ascii="Times New Roman" w:hAnsi="Times New Roman" w:cs="Times New Roman"/>
        </w:rPr>
        <w:t>esiai</w:t>
      </w:r>
      <w:r w:rsidRPr="00B14DD4">
        <w:rPr>
          <w:rFonts w:ascii="Times New Roman" w:hAnsi="Times New Roman" w:cs="Times New Roman"/>
        </w:rPr>
        <w:t>;</w:t>
      </w:r>
    </w:p>
    <w:p w14:paraId="44C7F3A8" w14:textId="18F9B760" w:rsidR="00B562B1" w:rsidRPr="00B14DD4" w:rsidRDefault="004E421F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 xml:space="preserve">Perkančiajai organizacijai turi būti užtikrinta galimybė registruoti incidentus </w:t>
      </w:r>
      <w:r w:rsidR="00CC1007" w:rsidRPr="00B14DD4">
        <w:rPr>
          <w:rFonts w:ascii="Times New Roman" w:hAnsi="Times New Roman" w:cs="Times New Roman"/>
        </w:rPr>
        <w:t>p</w:t>
      </w:r>
      <w:r w:rsidRPr="00B14DD4">
        <w:rPr>
          <w:rFonts w:ascii="Times New Roman" w:hAnsi="Times New Roman" w:cs="Times New Roman"/>
        </w:rPr>
        <w:t>agal gamintojo palaikymo taisykles</w:t>
      </w:r>
      <w:r w:rsidR="00B562B1" w:rsidRPr="00B14DD4">
        <w:rPr>
          <w:rFonts w:ascii="Times New Roman" w:hAnsi="Times New Roman" w:cs="Times New Roman"/>
        </w:rPr>
        <w:t>;</w:t>
      </w:r>
    </w:p>
    <w:p w14:paraId="45DB5118" w14:textId="0B7E9B90" w:rsidR="00B562B1" w:rsidRPr="00B14DD4" w:rsidRDefault="0095056D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>T</w:t>
      </w:r>
      <w:r w:rsidR="00B562B1" w:rsidRPr="00B14DD4">
        <w:rPr>
          <w:rFonts w:ascii="Times New Roman" w:hAnsi="Times New Roman" w:cs="Times New Roman"/>
        </w:rPr>
        <w:t>iekėjas gavęs pranešimą dėl gedimo nedelsdamas pradeda gedimų analizę ir imasi gedimų šalinimo priemonių;</w:t>
      </w:r>
    </w:p>
    <w:p w14:paraId="38EA71AD" w14:textId="27CCAE5E" w:rsidR="00B562B1" w:rsidRPr="00B14DD4" w:rsidRDefault="0095056D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>T</w:t>
      </w:r>
      <w:r w:rsidR="00B562B1" w:rsidRPr="00B14DD4">
        <w:rPr>
          <w:rFonts w:ascii="Times New Roman" w:hAnsi="Times New Roman" w:cs="Times New Roman"/>
        </w:rPr>
        <w:t>iekėjas praneša preliminarios gedimo analizės rezultatus perkančiosios organizacijos atsakingiems asmenims;</w:t>
      </w:r>
    </w:p>
    <w:p w14:paraId="1517C7A0" w14:textId="33460574" w:rsidR="00B562B1" w:rsidRPr="00B14DD4" w:rsidRDefault="00CE1559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 xml:space="preserve">Sugedusios </w:t>
      </w:r>
      <w:r w:rsidR="001512A5" w:rsidRPr="00B14DD4">
        <w:rPr>
          <w:rFonts w:ascii="Times New Roman" w:hAnsi="Times New Roman" w:cs="Times New Roman"/>
        </w:rPr>
        <w:t>techninės į</w:t>
      </w:r>
      <w:r w:rsidRPr="00B14DD4">
        <w:rPr>
          <w:rFonts w:ascii="Times New Roman" w:hAnsi="Times New Roman" w:cs="Times New Roman"/>
        </w:rPr>
        <w:t>rangos keitimas vykdomas pagal gamintojo garantinio palaikymo sąlygas</w:t>
      </w:r>
      <w:r w:rsidR="00B562B1" w:rsidRPr="00B14DD4">
        <w:rPr>
          <w:rFonts w:ascii="Times New Roman" w:hAnsi="Times New Roman" w:cs="Times New Roman"/>
        </w:rPr>
        <w:t xml:space="preserve">; </w:t>
      </w:r>
    </w:p>
    <w:p w14:paraId="4C520D6E" w14:textId="283908D7" w:rsidR="00B562B1" w:rsidRPr="00B14DD4" w:rsidRDefault="001512A5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>Techninės į</w:t>
      </w:r>
      <w:r w:rsidR="00B562B1" w:rsidRPr="00B14DD4">
        <w:rPr>
          <w:rFonts w:ascii="Times New Roman" w:hAnsi="Times New Roman" w:cs="Times New Roman"/>
        </w:rPr>
        <w:t>rangos remonto ar pakeitimo kaštus garantinio aptarnavimo laikotarpiu padengia tiekėjas;</w:t>
      </w:r>
    </w:p>
    <w:p w14:paraId="6CFB25DF" w14:textId="285A7AA8" w:rsidR="00B562B1" w:rsidRPr="00B14DD4" w:rsidRDefault="00181509" w:rsidP="00B562B1">
      <w:pPr>
        <w:pStyle w:val="ListParagraph"/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>T</w:t>
      </w:r>
      <w:r w:rsidR="00B562B1" w:rsidRPr="00B14DD4">
        <w:rPr>
          <w:rFonts w:ascii="Times New Roman" w:hAnsi="Times New Roman" w:cs="Times New Roman"/>
        </w:rPr>
        <w:t>eis</w:t>
      </w:r>
      <w:r w:rsidR="001512A5" w:rsidRPr="00B14DD4">
        <w:rPr>
          <w:rFonts w:ascii="Times New Roman" w:hAnsi="Times New Roman" w:cs="Times New Roman"/>
        </w:rPr>
        <w:t>ė</w:t>
      </w:r>
      <w:r w:rsidR="00B562B1" w:rsidRPr="00B14DD4">
        <w:rPr>
          <w:rFonts w:ascii="Times New Roman" w:hAnsi="Times New Roman" w:cs="Times New Roman"/>
        </w:rPr>
        <w:t xml:space="preserve"> be papildomo mokesčio gauti programinės įrangos pataisymus ir atnaujinimus (naujausias versijas) viso garantinio palaikymo laikotarpio metu;</w:t>
      </w:r>
    </w:p>
    <w:p w14:paraId="79E8DE02" w14:textId="5B0833C9" w:rsidR="00B562B1" w:rsidRPr="00B14DD4" w:rsidRDefault="00B562B1" w:rsidP="00B562B1">
      <w:pPr>
        <w:pStyle w:val="ListParagraph"/>
        <w:numPr>
          <w:ilvl w:val="1"/>
          <w:numId w:val="3"/>
        </w:numPr>
        <w:spacing w:after="0" w:line="240" w:lineRule="auto"/>
        <w:ind w:hanging="508"/>
        <w:jc w:val="both"/>
        <w:rPr>
          <w:rFonts w:ascii="Times New Roman" w:hAnsi="Times New Roman" w:cs="Times New Roman"/>
        </w:rPr>
      </w:pPr>
      <w:r w:rsidRPr="00B14DD4">
        <w:rPr>
          <w:rFonts w:ascii="Times New Roman" w:hAnsi="Times New Roman" w:cs="Times New Roman"/>
        </w:rPr>
        <w:t>Turi būti užtikrinta prieiga prie gamintojo internetiniame puslapyje esančių resursų, tarp jų ir programinės įrangos bibliotekų, susijusių su šios įrangos eksploatacija</w:t>
      </w:r>
      <w:r w:rsidR="00547648" w:rsidRPr="00B14DD4">
        <w:rPr>
          <w:rFonts w:ascii="Times New Roman" w:hAnsi="Times New Roman" w:cs="Times New Roman"/>
        </w:rPr>
        <w:t>.</w:t>
      </w:r>
    </w:p>
    <w:p w14:paraId="3314036C" w14:textId="77777777" w:rsidR="00B562B1" w:rsidRPr="00B14DD4" w:rsidRDefault="00B562B1" w:rsidP="00B562B1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18F23447" w14:textId="77777777" w:rsidR="008A051C" w:rsidRPr="00B14DD4" w:rsidRDefault="008A051C" w:rsidP="007F288D">
      <w:pPr>
        <w:rPr>
          <w:rFonts w:ascii="Times New Roman" w:hAnsi="Times New Roman" w:cs="Times New Roman"/>
          <w:sz w:val="24"/>
          <w:szCs w:val="24"/>
        </w:rPr>
      </w:pPr>
    </w:p>
    <w:p w14:paraId="3342D77B" w14:textId="4E8F9B15" w:rsidR="008A051C" w:rsidRDefault="001512A5" w:rsidP="008A051C">
      <w:pPr>
        <w:rPr>
          <w:rFonts w:ascii="Times New Roman" w:eastAsia="Times New Roman" w:hAnsi="Times New Roman" w:cs="Times New Roman"/>
        </w:rPr>
      </w:pPr>
      <w:r w:rsidRPr="00B14DD4">
        <w:rPr>
          <w:rFonts w:ascii="Times New Roman" w:eastAsia="Times New Roman" w:hAnsi="Times New Roman" w:cs="Times New Roman"/>
        </w:rPr>
        <w:t>P</w:t>
      </w:r>
      <w:r w:rsidR="008A051C" w:rsidRPr="00B14DD4">
        <w:rPr>
          <w:rFonts w:ascii="Times New Roman" w:eastAsia="Times New Roman" w:hAnsi="Times New Roman" w:cs="Times New Roman"/>
        </w:rPr>
        <w:t>aslaugos neturi kelti grėsmės nacionaliniam saugumui vadovaujantis Lietuvos Respublikos viešųjų pirkimų įstatymo 37 str. 9 d.</w:t>
      </w:r>
    </w:p>
    <w:p w14:paraId="2651665F" w14:textId="77777777" w:rsidR="008A051C" w:rsidRDefault="008A051C" w:rsidP="008A051C">
      <w:pPr>
        <w:rPr>
          <w:rFonts w:ascii="Times New Roman" w:hAnsi="Times New Roman" w:cs="Times New Roman"/>
        </w:rPr>
      </w:pPr>
    </w:p>
    <w:p w14:paraId="1B472089" w14:textId="77777777" w:rsidR="008A051C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411FE29" w14:textId="77777777" w:rsidR="008A051C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B1BA3E" w14:textId="77777777" w:rsidR="008A051C" w:rsidRPr="00BB0EFC" w:rsidRDefault="008A051C" w:rsidP="004B066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BB7FFDF" w14:textId="77777777" w:rsidR="004B066F" w:rsidRPr="004B066F" w:rsidRDefault="004B066F" w:rsidP="004B066F">
      <w:pPr>
        <w:rPr>
          <w:rFonts w:ascii="Times New Roman" w:hAnsi="Times New Roman" w:cs="Times New Roman"/>
        </w:rPr>
      </w:pPr>
    </w:p>
    <w:p w14:paraId="1F7F8F32" w14:textId="77777777" w:rsidR="004A5345" w:rsidRDefault="004A5345" w:rsidP="0000639A">
      <w:pPr>
        <w:rPr>
          <w:rFonts w:ascii="Times New Roman" w:hAnsi="Times New Roman" w:cs="Times New Roman"/>
        </w:rPr>
      </w:pPr>
    </w:p>
    <w:p w14:paraId="08F75635" w14:textId="77777777" w:rsidR="004A5345" w:rsidRPr="0000639A" w:rsidRDefault="004A5345" w:rsidP="0000639A">
      <w:pPr>
        <w:rPr>
          <w:rFonts w:ascii="Times New Roman" w:hAnsi="Times New Roman" w:cs="Times New Roman"/>
        </w:rPr>
      </w:pPr>
    </w:p>
    <w:sectPr w:rsidR="004A5345" w:rsidRPr="0000639A" w:rsidSect="00044AF4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3D30" w14:textId="77777777" w:rsidR="00790D1F" w:rsidRDefault="00790D1F" w:rsidP="00C60E78">
      <w:pPr>
        <w:spacing w:after="0" w:line="240" w:lineRule="auto"/>
      </w:pPr>
      <w:r>
        <w:separator/>
      </w:r>
    </w:p>
  </w:endnote>
  <w:endnote w:type="continuationSeparator" w:id="0">
    <w:p w14:paraId="075342B5" w14:textId="77777777" w:rsidR="00790D1F" w:rsidRDefault="00790D1F" w:rsidP="00C6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065B" w14:textId="77777777" w:rsidR="00790D1F" w:rsidRDefault="00790D1F" w:rsidP="00C60E78">
      <w:pPr>
        <w:spacing w:after="0" w:line="240" w:lineRule="auto"/>
      </w:pPr>
      <w:r>
        <w:separator/>
      </w:r>
    </w:p>
  </w:footnote>
  <w:footnote w:type="continuationSeparator" w:id="0">
    <w:p w14:paraId="442FE2C4" w14:textId="77777777" w:rsidR="00790D1F" w:rsidRDefault="00790D1F" w:rsidP="00C60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7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BDADFA"/>
    <w:multiLevelType w:val="hybridMultilevel"/>
    <w:tmpl w:val="F62EC46A"/>
    <w:lvl w:ilvl="0" w:tplc="B2B2C51E">
      <w:start w:val="1"/>
      <w:numFmt w:val="decimal"/>
      <w:lvlText w:val="%1."/>
      <w:lvlJc w:val="left"/>
      <w:pPr>
        <w:ind w:left="720" w:hanging="360"/>
      </w:pPr>
    </w:lvl>
    <w:lvl w:ilvl="1" w:tplc="CD5858F8">
      <w:start w:val="1"/>
      <w:numFmt w:val="lowerLetter"/>
      <w:lvlText w:val="%2."/>
      <w:lvlJc w:val="left"/>
      <w:pPr>
        <w:ind w:left="1440" w:hanging="360"/>
      </w:pPr>
    </w:lvl>
    <w:lvl w:ilvl="2" w:tplc="7CD81074">
      <w:start w:val="1"/>
      <w:numFmt w:val="upperRoman"/>
      <w:lvlText w:val="%3."/>
      <w:lvlJc w:val="right"/>
      <w:pPr>
        <w:ind w:left="2160" w:hanging="180"/>
      </w:pPr>
    </w:lvl>
    <w:lvl w:ilvl="3" w:tplc="B1440970">
      <w:start w:val="1"/>
      <w:numFmt w:val="decimal"/>
      <w:lvlText w:val="%4."/>
      <w:lvlJc w:val="left"/>
      <w:pPr>
        <w:ind w:left="2880" w:hanging="360"/>
      </w:pPr>
    </w:lvl>
    <w:lvl w:ilvl="4" w:tplc="48427BD0">
      <w:start w:val="1"/>
      <w:numFmt w:val="lowerLetter"/>
      <w:lvlText w:val="%5."/>
      <w:lvlJc w:val="left"/>
      <w:pPr>
        <w:ind w:left="3600" w:hanging="360"/>
      </w:pPr>
    </w:lvl>
    <w:lvl w:ilvl="5" w:tplc="60CE5AF0">
      <w:start w:val="1"/>
      <w:numFmt w:val="lowerRoman"/>
      <w:lvlText w:val="%6."/>
      <w:lvlJc w:val="right"/>
      <w:pPr>
        <w:ind w:left="4320" w:hanging="180"/>
      </w:pPr>
    </w:lvl>
    <w:lvl w:ilvl="6" w:tplc="1D4C6F46">
      <w:start w:val="1"/>
      <w:numFmt w:val="decimal"/>
      <w:lvlText w:val="%7."/>
      <w:lvlJc w:val="left"/>
      <w:pPr>
        <w:ind w:left="5040" w:hanging="360"/>
      </w:pPr>
    </w:lvl>
    <w:lvl w:ilvl="7" w:tplc="5FF49450">
      <w:start w:val="1"/>
      <w:numFmt w:val="lowerLetter"/>
      <w:lvlText w:val="%8."/>
      <w:lvlJc w:val="left"/>
      <w:pPr>
        <w:ind w:left="5760" w:hanging="360"/>
      </w:pPr>
    </w:lvl>
    <w:lvl w:ilvl="8" w:tplc="65DAFB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F1747"/>
    <w:multiLevelType w:val="hybridMultilevel"/>
    <w:tmpl w:val="52A6F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E3BB4"/>
    <w:multiLevelType w:val="hybridMultilevel"/>
    <w:tmpl w:val="21587D1E"/>
    <w:lvl w:ilvl="0" w:tplc="661A920E">
      <w:start w:val="1"/>
      <w:numFmt w:val="decimal"/>
      <w:lvlText w:val="%1."/>
      <w:lvlJc w:val="left"/>
      <w:pPr>
        <w:ind w:left="720" w:hanging="360"/>
      </w:pPr>
    </w:lvl>
    <w:lvl w:ilvl="1" w:tplc="A9D24F94">
      <w:start w:val="1"/>
      <w:numFmt w:val="lowerLetter"/>
      <w:lvlText w:val="%2."/>
      <w:lvlJc w:val="left"/>
      <w:pPr>
        <w:ind w:left="1440" w:hanging="360"/>
      </w:pPr>
    </w:lvl>
    <w:lvl w:ilvl="2" w:tplc="6470ACEC">
      <w:start w:val="1"/>
      <w:numFmt w:val="upperRoman"/>
      <w:lvlText w:val="%3."/>
      <w:lvlJc w:val="right"/>
      <w:pPr>
        <w:ind w:left="2160" w:hanging="180"/>
      </w:pPr>
    </w:lvl>
    <w:lvl w:ilvl="3" w:tplc="43D48C70">
      <w:start w:val="1"/>
      <w:numFmt w:val="decimal"/>
      <w:lvlText w:val="%4."/>
      <w:lvlJc w:val="left"/>
      <w:pPr>
        <w:ind w:left="2880" w:hanging="360"/>
      </w:pPr>
    </w:lvl>
    <w:lvl w:ilvl="4" w:tplc="2B7E0C98">
      <w:start w:val="1"/>
      <w:numFmt w:val="lowerLetter"/>
      <w:lvlText w:val="%5."/>
      <w:lvlJc w:val="left"/>
      <w:pPr>
        <w:ind w:left="3600" w:hanging="360"/>
      </w:pPr>
    </w:lvl>
    <w:lvl w:ilvl="5" w:tplc="650C1B4A">
      <w:start w:val="1"/>
      <w:numFmt w:val="lowerRoman"/>
      <w:lvlText w:val="%6."/>
      <w:lvlJc w:val="right"/>
      <w:pPr>
        <w:ind w:left="4320" w:hanging="180"/>
      </w:pPr>
    </w:lvl>
    <w:lvl w:ilvl="6" w:tplc="33A00246">
      <w:start w:val="1"/>
      <w:numFmt w:val="decimal"/>
      <w:lvlText w:val="%7."/>
      <w:lvlJc w:val="left"/>
      <w:pPr>
        <w:ind w:left="5040" w:hanging="360"/>
      </w:pPr>
    </w:lvl>
    <w:lvl w:ilvl="7" w:tplc="98B4A920">
      <w:start w:val="1"/>
      <w:numFmt w:val="lowerLetter"/>
      <w:lvlText w:val="%8."/>
      <w:lvlJc w:val="left"/>
      <w:pPr>
        <w:ind w:left="5760" w:hanging="360"/>
      </w:pPr>
    </w:lvl>
    <w:lvl w:ilvl="8" w:tplc="DC928CD6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19680">
    <w:abstractNumId w:val="1"/>
  </w:num>
  <w:num w:numId="2" w16cid:durableId="1586719094">
    <w:abstractNumId w:val="2"/>
  </w:num>
  <w:num w:numId="3" w16cid:durableId="359012126">
    <w:abstractNumId w:val="0"/>
  </w:num>
  <w:num w:numId="4" w16cid:durableId="963845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03"/>
    <w:rsid w:val="000049F7"/>
    <w:rsid w:val="0000639A"/>
    <w:rsid w:val="00015882"/>
    <w:rsid w:val="00025D94"/>
    <w:rsid w:val="0003456D"/>
    <w:rsid w:val="00044AF4"/>
    <w:rsid w:val="00050554"/>
    <w:rsid w:val="00052535"/>
    <w:rsid w:val="00060E15"/>
    <w:rsid w:val="000652A2"/>
    <w:rsid w:val="000721B5"/>
    <w:rsid w:val="000738D5"/>
    <w:rsid w:val="000740B7"/>
    <w:rsid w:val="0007606E"/>
    <w:rsid w:val="000867DF"/>
    <w:rsid w:val="000B68C1"/>
    <w:rsid w:val="000C4D11"/>
    <w:rsid w:val="000D6962"/>
    <w:rsid w:val="00106F2D"/>
    <w:rsid w:val="00107D25"/>
    <w:rsid w:val="00151248"/>
    <w:rsid w:val="001512A5"/>
    <w:rsid w:val="001521BF"/>
    <w:rsid w:val="00181509"/>
    <w:rsid w:val="00191EEF"/>
    <w:rsid w:val="001B1C4E"/>
    <w:rsid w:val="001C663A"/>
    <w:rsid w:val="001D175B"/>
    <w:rsid w:val="00206538"/>
    <w:rsid w:val="00223E0A"/>
    <w:rsid w:val="00243EC2"/>
    <w:rsid w:val="00253356"/>
    <w:rsid w:val="00271AED"/>
    <w:rsid w:val="00274065"/>
    <w:rsid w:val="002A2D39"/>
    <w:rsid w:val="002B1044"/>
    <w:rsid w:val="002B1E0E"/>
    <w:rsid w:val="002F12E6"/>
    <w:rsid w:val="00304603"/>
    <w:rsid w:val="003173BB"/>
    <w:rsid w:val="0033324F"/>
    <w:rsid w:val="00354A58"/>
    <w:rsid w:val="00360B44"/>
    <w:rsid w:val="00362EDD"/>
    <w:rsid w:val="003C5E0A"/>
    <w:rsid w:val="003E5996"/>
    <w:rsid w:val="003F72D1"/>
    <w:rsid w:val="00405844"/>
    <w:rsid w:val="0045554D"/>
    <w:rsid w:val="004777CC"/>
    <w:rsid w:val="0048142A"/>
    <w:rsid w:val="00483F02"/>
    <w:rsid w:val="004A34A3"/>
    <w:rsid w:val="004A5345"/>
    <w:rsid w:val="004B066F"/>
    <w:rsid w:val="004B182E"/>
    <w:rsid w:val="004B70EA"/>
    <w:rsid w:val="004D3BA3"/>
    <w:rsid w:val="004E421F"/>
    <w:rsid w:val="00501A06"/>
    <w:rsid w:val="00505AEF"/>
    <w:rsid w:val="00505CE6"/>
    <w:rsid w:val="00523BD3"/>
    <w:rsid w:val="005450C6"/>
    <w:rsid w:val="00547648"/>
    <w:rsid w:val="0057196D"/>
    <w:rsid w:val="00573802"/>
    <w:rsid w:val="00581AED"/>
    <w:rsid w:val="00591F1F"/>
    <w:rsid w:val="005A7A61"/>
    <w:rsid w:val="005A7DE6"/>
    <w:rsid w:val="005C47FD"/>
    <w:rsid w:val="005D4669"/>
    <w:rsid w:val="005E62CB"/>
    <w:rsid w:val="005E7353"/>
    <w:rsid w:val="006102AE"/>
    <w:rsid w:val="00613BD8"/>
    <w:rsid w:val="00615AFD"/>
    <w:rsid w:val="00621D55"/>
    <w:rsid w:val="00631A8E"/>
    <w:rsid w:val="00633034"/>
    <w:rsid w:val="00652F26"/>
    <w:rsid w:val="00672E90"/>
    <w:rsid w:val="0068328E"/>
    <w:rsid w:val="006B0024"/>
    <w:rsid w:val="006B730F"/>
    <w:rsid w:val="006C33B8"/>
    <w:rsid w:val="006D2084"/>
    <w:rsid w:val="006D5EA0"/>
    <w:rsid w:val="006F5A4F"/>
    <w:rsid w:val="00700B42"/>
    <w:rsid w:val="00710703"/>
    <w:rsid w:val="00735107"/>
    <w:rsid w:val="0073586A"/>
    <w:rsid w:val="00754489"/>
    <w:rsid w:val="007762BD"/>
    <w:rsid w:val="00790D1F"/>
    <w:rsid w:val="00792404"/>
    <w:rsid w:val="0079557E"/>
    <w:rsid w:val="007E6ADC"/>
    <w:rsid w:val="007F288D"/>
    <w:rsid w:val="00804D2F"/>
    <w:rsid w:val="00837E56"/>
    <w:rsid w:val="0086195E"/>
    <w:rsid w:val="00895E85"/>
    <w:rsid w:val="008A051C"/>
    <w:rsid w:val="008C1B56"/>
    <w:rsid w:val="00913BFE"/>
    <w:rsid w:val="009323A9"/>
    <w:rsid w:val="00934AA4"/>
    <w:rsid w:val="00940C80"/>
    <w:rsid w:val="0095056D"/>
    <w:rsid w:val="009514B9"/>
    <w:rsid w:val="00994140"/>
    <w:rsid w:val="009A7019"/>
    <w:rsid w:val="009B2A44"/>
    <w:rsid w:val="009D1E1B"/>
    <w:rsid w:val="009F059C"/>
    <w:rsid w:val="00A07532"/>
    <w:rsid w:val="00A151F1"/>
    <w:rsid w:val="00A42B6C"/>
    <w:rsid w:val="00A77293"/>
    <w:rsid w:val="00AD7A06"/>
    <w:rsid w:val="00AF435E"/>
    <w:rsid w:val="00B14DD4"/>
    <w:rsid w:val="00B4400E"/>
    <w:rsid w:val="00B562B1"/>
    <w:rsid w:val="00B61232"/>
    <w:rsid w:val="00B707ED"/>
    <w:rsid w:val="00BB1794"/>
    <w:rsid w:val="00BD053E"/>
    <w:rsid w:val="00C129B8"/>
    <w:rsid w:val="00C146B8"/>
    <w:rsid w:val="00C3421A"/>
    <w:rsid w:val="00C40514"/>
    <w:rsid w:val="00C50619"/>
    <w:rsid w:val="00C60E78"/>
    <w:rsid w:val="00C611B3"/>
    <w:rsid w:val="00C651CF"/>
    <w:rsid w:val="00CA7AF1"/>
    <w:rsid w:val="00CC1007"/>
    <w:rsid w:val="00CD07EA"/>
    <w:rsid w:val="00CD16AC"/>
    <w:rsid w:val="00CE1559"/>
    <w:rsid w:val="00CE4B16"/>
    <w:rsid w:val="00CE7298"/>
    <w:rsid w:val="00D01857"/>
    <w:rsid w:val="00D0760B"/>
    <w:rsid w:val="00D25512"/>
    <w:rsid w:val="00D5794F"/>
    <w:rsid w:val="00D73840"/>
    <w:rsid w:val="00D7562A"/>
    <w:rsid w:val="00DA6D22"/>
    <w:rsid w:val="00DD37A2"/>
    <w:rsid w:val="00E1391A"/>
    <w:rsid w:val="00E26437"/>
    <w:rsid w:val="00E577D5"/>
    <w:rsid w:val="00E674CA"/>
    <w:rsid w:val="00E715C4"/>
    <w:rsid w:val="00EA6B85"/>
    <w:rsid w:val="00EE1C1D"/>
    <w:rsid w:val="00F024B3"/>
    <w:rsid w:val="00F315AF"/>
    <w:rsid w:val="00F42C83"/>
    <w:rsid w:val="00FD3FBD"/>
    <w:rsid w:val="00FF6CD0"/>
    <w:rsid w:val="01526733"/>
    <w:rsid w:val="01F75089"/>
    <w:rsid w:val="060A7A99"/>
    <w:rsid w:val="0FC266D1"/>
    <w:rsid w:val="1659446E"/>
    <w:rsid w:val="19DE7905"/>
    <w:rsid w:val="1BD62F38"/>
    <w:rsid w:val="20A95042"/>
    <w:rsid w:val="3A803823"/>
    <w:rsid w:val="3E08435D"/>
    <w:rsid w:val="5B4B2958"/>
    <w:rsid w:val="794D387B"/>
    <w:rsid w:val="7DCDB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5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0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14B9"/>
    <w:pPr>
      <w:spacing w:after="0" w:line="240" w:lineRule="auto"/>
    </w:pPr>
    <w:rPr>
      <w:rFonts w:eastAsiaTheme="minorEastAsia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7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802"/>
    <w:rPr>
      <w:rFonts w:eastAsiaTheme="minorEastAsia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802"/>
    <w:rPr>
      <w:rFonts w:eastAsiaTheme="minorEastAsia"/>
      <w:b/>
      <w:bCs/>
      <w:sz w:val="20"/>
      <w:szCs w:val="20"/>
      <w:lang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C611B3"/>
    <w:pPr>
      <w:ind w:left="720"/>
      <w:contextualSpacing/>
    </w:pPr>
  </w:style>
  <w:style w:type="table" w:styleId="TableGrid">
    <w:name w:val="Table Grid"/>
    <w:basedOn w:val="TableNormal"/>
    <w:uiPriority w:val="99"/>
    <w:rsid w:val="004B066F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4B066F"/>
    <w:rPr>
      <w:rFonts w:eastAsiaTheme="minorEastAsia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60E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78"/>
    <w:rPr>
      <w:rFonts w:eastAsiaTheme="minorEastAsia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60E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78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DEC63130-8CC5-4CE8-A41A-C220FA651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F5111-1C23-46DC-B4E4-CC78D4EF29FF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2707</Characters>
  <Application>Microsoft Office Word</Application>
  <DocSecurity>0</DocSecurity>
  <Lines>140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2026-02-13T15:48:00Z</dcterms:created>
  <dcterms:modified xsi:type="dcterms:W3CDTF">2026-02-17T07:06:00Z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lt</vt:lpwstr>
  </property>
  <property fmtid="{D5CDD505-2E9C-101B-9397-08002B2CF9AE}" pid="3" name="MediaServiceImageTags">
    <vt:lpwstr/>
  </property>
</Properties>
</file>