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5BCBA3C0"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154595">
        <w:rPr>
          <w:rFonts w:cs="Times New Roman"/>
          <w:bCs/>
          <w:szCs w:val="24"/>
        </w:rPr>
        <w:t>202</w:t>
      </w:r>
      <w:r w:rsidR="00F87491">
        <w:rPr>
          <w:rFonts w:cs="Times New Roman"/>
          <w:bCs/>
          <w:szCs w:val="24"/>
        </w:rPr>
        <w:t>6</w:t>
      </w:r>
      <w:r w:rsidR="00163644" w:rsidRPr="00154595">
        <w:rPr>
          <w:rFonts w:cs="Times New Roman"/>
          <w:bCs/>
          <w:szCs w:val="24"/>
        </w:rPr>
        <w:t>-</w:t>
      </w:r>
      <w:r w:rsidR="00A84A90" w:rsidRPr="00154595">
        <w:rPr>
          <w:rFonts w:cs="Times New Roman"/>
          <w:bCs/>
          <w:szCs w:val="24"/>
        </w:rPr>
        <w:t>0</w:t>
      </w:r>
      <w:r w:rsidR="00F87491">
        <w:rPr>
          <w:rFonts w:cs="Times New Roman"/>
          <w:bCs/>
          <w:szCs w:val="24"/>
        </w:rPr>
        <w:t>2</w:t>
      </w:r>
      <w:r w:rsidR="00270ED1" w:rsidRPr="00154595">
        <w:rPr>
          <w:rFonts w:cs="Times New Roman"/>
          <w:bCs/>
          <w:szCs w:val="24"/>
        </w:rPr>
        <w:t>-</w:t>
      </w:r>
      <w:r w:rsidR="00AB331D">
        <w:rPr>
          <w:rFonts w:cs="Times New Roman"/>
          <w:bCs/>
          <w:szCs w:val="24"/>
        </w:rPr>
        <w:t>17</w:t>
      </w:r>
    </w:p>
    <w:p w14:paraId="269442EC" w14:textId="0498A9EA"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AB331D">
        <w:rPr>
          <w:rFonts w:ascii="Carlito" w:hAnsi="Carlito" w:cs="Carlito"/>
          <w:szCs w:val="24"/>
        </w:rPr>
        <w:t>2026-PROT-PlungRSA-37</w:t>
      </w:r>
    </w:p>
    <w:p w14:paraId="30AD9C8F" w14:textId="77777777" w:rsidR="00774FC3" w:rsidRPr="0076454D" w:rsidRDefault="00774FC3" w:rsidP="00371163">
      <w:pPr>
        <w:jc w:val="both"/>
        <w:rPr>
          <w:rFonts w:eastAsia="Times New Roman" w:cs="Times New Roman"/>
          <w:szCs w:val="20"/>
          <w:lang w:eastAsia="en-US"/>
        </w:rPr>
      </w:pPr>
    </w:p>
    <w:p w14:paraId="1D890FBC" w14:textId="2631E8DE" w:rsidR="001704FD" w:rsidRDefault="00F87491" w:rsidP="00371163">
      <w:pPr>
        <w:suppressAutoHyphens/>
        <w:jc w:val="center"/>
        <w:rPr>
          <w:b/>
          <w:szCs w:val="24"/>
        </w:rPr>
      </w:pPr>
      <w:r w:rsidRPr="004D6B79">
        <w:rPr>
          <w:b/>
          <w:szCs w:val="24"/>
        </w:rPr>
        <w:t>PLUNGĖS MIESTO GATVIŲ SU ASFALTBETONIO DANGA PRIEŽIŪROS IR REMONTO DARBAI</w:t>
      </w:r>
    </w:p>
    <w:p w14:paraId="63BF4EE2" w14:textId="77777777" w:rsidR="00F87491" w:rsidRPr="001704FD" w:rsidRDefault="00F87491"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68B46605"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293BFC">
          <w:rPr>
            <w:b w:val="0"/>
            <w:noProof/>
            <w:webHidden/>
          </w:rPr>
          <w:t>2</w:t>
        </w:r>
        <w:r w:rsidR="00CC68D9" w:rsidRPr="00CC68D9">
          <w:rPr>
            <w:b w:val="0"/>
            <w:noProof/>
            <w:webHidden/>
          </w:rPr>
          <w:fldChar w:fldCharType="end"/>
        </w:r>
      </w:hyperlink>
    </w:p>
    <w:p w14:paraId="75064E26" w14:textId="406AD620" w:rsidR="00CC68D9" w:rsidRPr="00CC68D9" w:rsidRDefault="002C47D6"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293BFC">
          <w:rPr>
            <w:b w:val="0"/>
            <w:noProof/>
            <w:webHidden/>
          </w:rPr>
          <w:t>3</w:t>
        </w:r>
        <w:r w:rsidR="00CC68D9" w:rsidRPr="00CC68D9">
          <w:rPr>
            <w:b w:val="0"/>
            <w:noProof/>
            <w:webHidden/>
          </w:rPr>
          <w:fldChar w:fldCharType="end"/>
        </w:r>
      </w:hyperlink>
    </w:p>
    <w:p w14:paraId="0DF0F714" w14:textId="7B9D43C0" w:rsidR="00CC68D9" w:rsidRPr="00CC68D9" w:rsidRDefault="002C47D6"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293BFC">
          <w:rPr>
            <w:b w:val="0"/>
            <w:noProof/>
            <w:webHidden/>
          </w:rPr>
          <w:t>5</w:t>
        </w:r>
        <w:r w:rsidR="00CC68D9" w:rsidRPr="00CC68D9">
          <w:rPr>
            <w:b w:val="0"/>
            <w:noProof/>
            <w:webHidden/>
          </w:rPr>
          <w:fldChar w:fldCharType="end"/>
        </w:r>
      </w:hyperlink>
    </w:p>
    <w:p w14:paraId="704363B3" w14:textId="017F9096" w:rsidR="00CC68D9" w:rsidRPr="00CC68D9" w:rsidRDefault="002C47D6"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293BFC">
          <w:rPr>
            <w:b w:val="0"/>
            <w:noProof/>
            <w:webHidden/>
          </w:rPr>
          <w:t>9</w:t>
        </w:r>
        <w:r w:rsidR="00CC68D9" w:rsidRPr="00CC68D9">
          <w:rPr>
            <w:b w:val="0"/>
            <w:noProof/>
            <w:webHidden/>
          </w:rPr>
          <w:fldChar w:fldCharType="end"/>
        </w:r>
      </w:hyperlink>
    </w:p>
    <w:p w14:paraId="6454B506" w14:textId="409287C2" w:rsidR="00CC68D9" w:rsidRPr="00CC68D9" w:rsidRDefault="002C47D6"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293BFC">
          <w:rPr>
            <w:b w:val="0"/>
            <w:noProof/>
            <w:webHidden/>
          </w:rPr>
          <w:t>9</w:t>
        </w:r>
        <w:r w:rsidR="00CC68D9" w:rsidRPr="00CC68D9">
          <w:rPr>
            <w:b w:val="0"/>
            <w:noProof/>
            <w:webHidden/>
          </w:rPr>
          <w:fldChar w:fldCharType="end"/>
        </w:r>
      </w:hyperlink>
    </w:p>
    <w:p w14:paraId="20B18FB5" w14:textId="1DAD0629" w:rsidR="00CC68D9" w:rsidRPr="00CC68D9" w:rsidRDefault="002C47D6"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293BFC">
          <w:rPr>
            <w:b w:val="0"/>
            <w:noProof/>
            <w:webHidden/>
          </w:rPr>
          <w:t>10</w:t>
        </w:r>
        <w:r w:rsidR="00CC68D9" w:rsidRPr="00CC68D9">
          <w:rPr>
            <w:b w:val="0"/>
            <w:noProof/>
            <w:webHidden/>
          </w:rPr>
          <w:fldChar w:fldCharType="end"/>
        </w:r>
      </w:hyperlink>
    </w:p>
    <w:p w14:paraId="56E2D524" w14:textId="46FECFDC" w:rsidR="00CC68D9" w:rsidRPr="00CC68D9" w:rsidRDefault="002C47D6"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293BFC">
          <w:rPr>
            <w:b w:val="0"/>
            <w:noProof/>
            <w:webHidden/>
          </w:rPr>
          <w:t>12</w:t>
        </w:r>
        <w:r w:rsidR="00CC68D9" w:rsidRPr="00CC68D9">
          <w:rPr>
            <w:b w:val="0"/>
            <w:noProof/>
            <w:webHidden/>
          </w:rPr>
          <w:fldChar w:fldCharType="end"/>
        </w:r>
      </w:hyperlink>
    </w:p>
    <w:p w14:paraId="57179D5E" w14:textId="7BCAF8E0" w:rsidR="00CC68D9" w:rsidRPr="00CC68D9" w:rsidRDefault="002C47D6"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293BFC">
          <w:rPr>
            <w:b w:val="0"/>
            <w:noProof/>
            <w:webHidden/>
          </w:rPr>
          <w:t>13</w:t>
        </w:r>
        <w:r w:rsidR="00CC68D9" w:rsidRPr="00CC68D9">
          <w:rPr>
            <w:b w:val="0"/>
            <w:noProof/>
            <w:webHidden/>
          </w:rPr>
          <w:fldChar w:fldCharType="end"/>
        </w:r>
      </w:hyperlink>
    </w:p>
    <w:p w14:paraId="3FFD1071" w14:textId="4BC0C04D" w:rsidR="00CC68D9" w:rsidRPr="00CC68D9" w:rsidRDefault="002C47D6"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293BFC">
          <w:rPr>
            <w:b w:val="0"/>
            <w:noProof/>
            <w:webHidden/>
          </w:rPr>
          <w:t>13</w:t>
        </w:r>
        <w:r w:rsidR="00CC68D9" w:rsidRPr="00CC68D9">
          <w:rPr>
            <w:b w:val="0"/>
            <w:noProof/>
            <w:webHidden/>
          </w:rPr>
          <w:fldChar w:fldCharType="end"/>
        </w:r>
      </w:hyperlink>
    </w:p>
    <w:p w14:paraId="6A6C8B1A" w14:textId="6AB96E60" w:rsidR="00CC68D9" w:rsidRPr="00CC68D9" w:rsidRDefault="002C47D6"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293BFC">
          <w:rPr>
            <w:b w:val="0"/>
            <w:noProof/>
            <w:webHidden/>
          </w:rPr>
          <w:t>15</w:t>
        </w:r>
        <w:r w:rsidR="00CC68D9" w:rsidRPr="00CC68D9">
          <w:rPr>
            <w:b w:val="0"/>
            <w:noProof/>
            <w:webHidden/>
          </w:rPr>
          <w:fldChar w:fldCharType="end"/>
        </w:r>
      </w:hyperlink>
    </w:p>
    <w:p w14:paraId="61214C4B" w14:textId="37035C74" w:rsidR="00CC68D9" w:rsidRPr="00CC68D9" w:rsidRDefault="002C47D6"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bookmarkStart w:id="0" w:name="_GoBack"/>
        <w:bookmarkEnd w:id="0"/>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293BFC">
          <w:rPr>
            <w:b w:val="0"/>
            <w:noProof/>
            <w:webHidden/>
          </w:rPr>
          <w:t>16</w:t>
        </w:r>
        <w:r w:rsidR="00CC68D9" w:rsidRPr="00CC68D9">
          <w:rPr>
            <w:b w:val="0"/>
            <w:noProof/>
            <w:webHidden/>
          </w:rPr>
          <w:fldChar w:fldCharType="end"/>
        </w:r>
      </w:hyperlink>
    </w:p>
    <w:p w14:paraId="5578D002" w14:textId="4EFE4957" w:rsidR="00CC68D9" w:rsidRPr="00CC68D9" w:rsidRDefault="002C47D6"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293BFC">
          <w:rPr>
            <w:b w:val="0"/>
            <w:noProof/>
            <w:webHidden/>
          </w:rPr>
          <w:t>17</w:t>
        </w:r>
        <w:r w:rsidR="00CC68D9" w:rsidRPr="00CC68D9">
          <w:rPr>
            <w:b w:val="0"/>
            <w:noProof/>
            <w:webHidden/>
          </w:rPr>
          <w:fldChar w:fldCharType="end"/>
        </w:r>
      </w:hyperlink>
    </w:p>
    <w:p w14:paraId="16D0B2BF" w14:textId="59766A5F" w:rsidR="00CC68D9" w:rsidRPr="00CC68D9" w:rsidRDefault="002C47D6"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293BFC">
          <w:rPr>
            <w:b w:val="0"/>
            <w:noProof/>
            <w:webHidden/>
          </w:rPr>
          <w:t>17</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3C728CF5" w:rsidR="00ED27A5" w:rsidRP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E2642">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A17CD9"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w:t>
      </w:r>
      <w:r w:rsidRPr="00A17CD9">
        <w:rPr>
          <w:rFonts w:eastAsia="Calibri" w:cs="Times New Roman"/>
          <w:szCs w:val="24"/>
          <w:lang w:eastAsia="en-US"/>
        </w:rPr>
        <w:t>Centrinė viešųjų pirkimų informacinė sistema;</w:t>
      </w:r>
    </w:p>
    <w:p w14:paraId="563CC265" w14:textId="77777777" w:rsidR="00B86C8C" w:rsidRPr="00A17CD9" w:rsidRDefault="00FB59AF" w:rsidP="00B86C8C">
      <w:pPr>
        <w:numPr>
          <w:ilvl w:val="1"/>
          <w:numId w:val="1"/>
        </w:numPr>
        <w:tabs>
          <w:tab w:val="left" w:pos="1134"/>
        </w:tabs>
        <w:ind w:left="0" w:firstLine="567"/>
        <w:jc w:val="both"/>
        <w:rPr>
          <w:rFonts w:eastAsia="Calibri" w:cs="Times New Roman"/>
          <w:szCs w:val="24"/>
          <w:lang w:eastAsia="en-US"/>
        </w:rPr>
      </w:pPr>
      <w:r w:rsidRPr="00A17CD9">
        <w:rPr>
          <w:rFonts w:eastAsia="Calibri" w:cs="Times New Roman"/>
          <w:b/>
          <w:szCs w:val="24"/>
          <w:lang w:eastAsia="en-US"/>
        </w:rPr>
        <w:t>EBVPD</w:t>
      </w:r>
      <w:r w:rsidRPr="00A17CD9">
        <w:rPr>
          <w:rFonts w:eastAsia="Calibri" w:cs="Times New Roman"/>
          <w:szCs w:val="24"/>
          <w:lang w:eastAsia="en-US"/>
        </w:rPr>
        <w:t xml:space="preserve"> – Europos bendrasis viešųjų pirkimų dokumentas;</w:t>
      </w:r>
    </w:p>
    <w:p w14:paraId="49B235A1" w14:textId="1A9EB970" w:rsidR="00B86C8C" w:rsidRPr="00A17CD9" w:rsidRDefault="00B86C8C" w:rsidP="00B86C8C">
      <w:pPr>
        <w:numPr>
          <w:ilvl w:val="1"/>
          <w:numId w:val="1"/>
        </w:numPr>
        <w:tabs>
          <w:tab w:val="left" w:pos="1134"/>
        </w:tabs>
        <w:ind w:left="0" w:firstLine="567"/>
        <w:jc w:val="both"/>
        <w:rPr>
          <w:rFonts w:eastAsia="Calibri" w:cs="Times New Roman"/>
          <w:szCs w:val="24"/>
          <w:lang w:eastAsia="en-US"/>
        </w:rPr>
      </w:pPr>
      <w:r w:rsidRPr="00A17CD9">
        <w:rPr>
          <w:b/>
        </w:rPr>
        <w:t xml:space="preserve">Kvazisubtiekėjas </w:t>
      </w:r>
      <w:r w:rsidRPr="00A17CD9">
        <w:rPr>
          <w:rFonts w:cstheme="minorHAnsi"/>
        </w:rPr>
        <w:t>–</w:t>
      </w:r>
      <w:r w:rsidRPr="00A17CD9">
        <w:rPr>
          <w:b/>
        </w:rPr>
        <w:t xml:space="preserve"> </w:t>
      </w:r>
      <w:r w:rsidRPr="00A17CD9">
        <w:t>specialistas, kurio kvalifikacija tiekėjas remiasi, ir kuris pasiūlymo teikimo metu dar nėra tiekėjo, ūkio subjekto, kurio pajėgumais tiekėjas remiasi, darbuotojas, tačiau jį ketinama įdarbinti, jei pasiūlymas bus pripažintas laimėjusiu.</w:t>
      </w:r>
    </w:p>
    <w:p w14:paraId="54C049F0" w14:textId="77777777" w:rsidR="00B86C8C" w:rsidRPr="00A17CD9" w:rsidRDefault="00B86C8C" w:rsidP="00B86C8C">
      <w:pPr>
        <w:pStyle w:val="Sraopastraipa"/>
        <w:numPr>
          <w:ilvl w:val="1"/>
          <w:numId w:val="1"/>
        </w:numPr>
        <w:tabs>
          <w:tab w:val="left" w:pos="1134"/>
        </w:tabs>
        <w:spacing w:after="120" w:line="20" w:lineRule="atLeast"/>
        <w:ind w:left="0" w:firstLine="567"/>
      </w:pPr>
      <w:r w:rsidRPr="00A17CD9">
        <w:rPr>
          <w:b/>
        </w:rPr>
        <w:t xml:space="preserve">Subtiekėjas </w:t>
      </w:r>
      <w:r w:rsidRPr="00A17CD9">
        <w:t>– subtiekėjas, subteikėjas, subrangovas, fizinis ar juridinis asmuo, kuris faktiškai vykdys numatomą sudaryti sutartį ar jos dalį ir kurio kvalifikacija tiekėjas nesiremia pagal VPĮ 49 straipsnį, kad atitiktų kvalifikacijos reikalavimus. Subtiekėjais</w:t>
      </w:r>
      <w:r w:rsidRPr="00A17CD9">
        <w:rPr>
          <w:rFonts w:eastAsia="Calibri"/>
        </w:rPr>
        <w:t xml:space="preserve"> nelaikomi fiziniai ir juridiniai asmenys, kurie tik vykdo sutartines prievoles tiekėjui, tačiau faktiškai nevykdys numatomos sudaryti sutarties ar jos dalies.</w:t>
      </w:r>
    </w:p>
    <w:p w14:paraId="6FE15DF7" w14:textId="77777777" w:rsidR="00B86C8C" w:rsidRPr="00A17CD9" w:rsidRDefault="00B86C8C" w:rsidP="00B86C8C">
      <w:pPr>
        <w:pStyle w:val="Sraopastraipa"/>
        <w:numPr>
          <w:ilvl w:val="1"/>
          <w:numId w:val="1"/>
        </w:numPr>
        <w:tabs>
          <w:tab w:val="left" w:pos="1134"/>
        </w:tabs>
        <w:spacing w:after="120" w:line="20" w:lineRule="atLeast"/>
        <w:ind w:left="0" w:firstLine="567"/>
        <w:rPr>
          <w:rFonts w:cstheme="minorHAnsi"/>
        </w:rPr>
      </w:pPr>
      <w:r w:rsidRPr="00A17CD9">
        <w:rPr>
          <w:rFonts w:cstheme="minorHAnsi"/>
          <w:b/>
          <w:bCs/>
        </w:rPr>
        <w:t xml:space="preserve">Tiekėjas </w:t>
      </w:r>
      <w:r w:rsidRPr="00A17CD9">
        <w:rPr>
          <w:rFonts w:cstheme="minorHAnsi"/>
        </w:rPr>
        <w:t xml:space="preserve">– </w:t>
      </w:r>
      <w:r w:rsidRPr="00A17CD9">
        <w:t>ūkio subjektas – fizinis asmuo, privatusis ar viešasis juridinis asmuo, kita organizacija ir jų padalinys arba tokių asmenų grupė, įskaitant laikinas ūkio subjektų asociacijas, kurie rinkoje siūlo atlikti darbus, tiekti prekes ar teikti paslaugas.</w:t>
      </w:r>
    </w:p>
    <w:p w14:paraId="274D2533" w14:textId="50F291D0" w:rsidR="00B86C8C" w:rsidRPr="00A17CD9" w:rsidRDefault="00B86C8C" w:rsidP="00B86C8C">
      <w:pPr>
        <w:pStyle w:val="Sraopastraipa"/>
        <w:numPr>
          <w:ilvl w:val="1"/>
          <w:numId w:val="1"/>
        </w:numPr>
        <w:tabs>
          <w:tab w:val="left" w:pos="1134"/>
        </w:tabs>
        <w:spacing w:after="120" w:line="20" w:lineRule="atLeast"/>
        <w:ind w:left="0" w:firstLine="567"/>
        <w:rPr>
          <w:b/>
        </w:rPr>
      </w:pPr>
      <w:r w:rsidRPr="00A17CD9">
        <w:rPr>
          <w:b/>
        </w:rPr>
        <w:t xml:space="preserve">Ūkio subjektas, kurio pajėgumais remiamasi </w:t>
      </w:r>
      <w:r w:rsidRPr="00A17CD9">
        <w:t xml:space="preserve">– fizinis ar juridinis asmuo, kurio </w:t>
      </w:r>
      <w:r w:rsidRPr="00A17CD9">
        <w:rPr>
          <w:rFonts w:eastAsia="Calibri"/>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7CD9">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A17CD9">
        <w:rPr>
          <w:rFonts w:eastAsia="Calibri"/>
          <w:szCs w:val="24"/>
        </w:rPr>
        <w:t xml:space="preserve">Kitos šių pirkimo sąlygų sąvokos atitinka Viešųjų pirkimų įstatyme, </w:t>
      </w:r>
      <w:r w:rsidRPr="00A17CD9">
        <w:rPr>
          <w:szCs w:val="24"/>
        </w:rPr>
        <w:t xml:space="preserve">Kainodaros </w:t>
      </w:r>
      <w:r w:rsidRPr="001063AD">
        <w:rPr>
          <w:szCs w:val="24"/>
        </w:rPr>
        <w:t>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3326F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17959148" w:rsidR="00191CC4" w:rsidRPr="003326FA" w:rsidRDefault="00DA4F26" w:rsidP="003326FA">
      <w:pPr>
        <w:pStyle w:val="Sraopastraipa"/>
        <w:numPr>
          <w:ilvl w:val="0"/>
          <w:numId w:val="1"/>
        </w:numPr>
        <w:ind w:left="0" w:firstLine="567"/>
        <w:rPr>
          <w:color w:val="FF0000"/>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3326FA" w:rsidRPr="003326FA">
        <w:rPr>
          <w:szCs w:val="24"/>
        </w:rPr>
        <w:t>skelbiamame CPO</w:t>
      </w:r>
      <w:r w:rsidR="003326FA" w:rsidRPr="003326FA">
        <w:rPr>
          <w:szCs w:val="24"/>
          <w:vertAlign w:val="superscript"/>
        </w:rPr>
        <w:t>LT</w:t>
      </w:r>
      <w:r w:rsidR="003326FA" w:rsidRPr="003326FA">
        <w:rPr>
          <w:szCs w:val="24"/>
        </w:rPr>
        <w:t xml:space="preserve"> kataloge dėl panašaus pobūdžio darbų nėra sudarytos preliminarios sutartys ir nėra galimybių atlikti atnaujinto varžymosi dėl perkamų darbų specifikos.</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r w:rsidR="00191CC4" w:rsidRPr="00F60AB0">
        <w:rPr>
          <w:i/>
          <w:szCs w:val="24"/>
        </w:rPr>
        <w:t>ex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0305DB03" w:rsidR="0041254B" w:rsidRPr="00E7551B" w:rsidRDefault="006A050F" w:rsidP="00F87491">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F87491" w:rsidRPr="00F87491">
        <w:rPr>
          <w:bCs/>
          <w:szCs w:val="24"/>
        </w:rPr>
        <w:t>Plungės miesto gatvių su asfaltbetonio danga priežiūros ir remonto darbai</w:t>
      </w:r>
      <w:r w:rsidR="00EE2642" w:rsidRPr="00EE2642">
        <w:rPr>
          <w:szCs w:val="24"/>
        </w:rPr>
        <w:t xml:space="preserve"> </w:t>
      </w:r>
      <w:r w:rsidR="00191CC4" w:rsidRPr="001063AD">
        <w:rPr>
          <w:szCs w:val="24"/>
        </w:rPr>
        <w:t>(toliau –</w:t>
      </w:r>
      <w:r w:rsidRPr="001063AD">
        <w:rPr>
          <w:szCs w:val="24"/>
        </w:rPr>
        <w:t xml:space="preserve"> </w:t>
      </w:r>
      <w:r w:rsidR="00E7551B">
        <w:rPr>
          <w:szCs w:val="24"/>
        </w:rPr>
        <w:t>darbai).</w:t>
      </w:r>
    </w:p>
    <w:p w14:paraId="0D9B762C" w14:textId="57DDC33B" w:rsidR="00F87491" w:rsidRPr="00F87491" w:rsidRDefault="00E7551B" w:rsidP="00F87491">
      <w:pPr>
        <w:pStyle w:val="Sraopastraipa"/>
        <w:widowControl w:val="0"/>
        <w:numPr>
          <w:ilvl w:val="0"/>
          <w:numId w:val="1"/>
        </w:numPr>
        <w:tabs>
          <w:tab w:val="left" w:pos="1134"/>
        </w:tabs>
        <w:ind w:left="0" w:firstLine="567"/>
        <w:contextualSpacing w:val="0"/>
        <w:rPr>
          <w:szCs w:val="24"/>
        </w:rPr>
      </w:pPr>
      <w:r w:rsidRPr="006C1657">
        <w:rPr>
          <w:b/>
        </w:rPr>
        <w:t>Trumpas pirkimo objekto aprašymas:</w:t>
      </w:r>
      <w:r w:rsidRPr="00E7551B">
        <w:rPr>
          <w:szCs w:val="24"/>
        </w:rPr>
        <w:t xml:space="preserve"> </w:t>
      </w:r>
      <w:r w:rsidR="00F87491" w:rsidRPr="00F87491">
        <w:rPr>
          <w:szCs w:val="24"/>
        </w:rPr>
        <w:t>Plungės miesto gatvių su asfaltbetonio danga</w:t>
      </w:r>
      <w:r w:rsidR="00F87491">
        <w:rPr>
          <w:szCs w:val="24"/>
        </w:rPr>
        <w:t xml:space="preserve"> </w:t>
      </w:r>
      <w:r w:rsidR="00F87491" w:rsidRPr="00F87491">
        <w:rPr>
          <w:szCs w:val="24"/>
        </w:rPr>
        <w:t>priežiūros ir remonto darbai. Duobių tvarkymas, asfaltavimas, kelio bortų keitimas, kelkraščių tvarkymas, šulinių keitimas (įrengimas), paprastojo remonto aprašo parengimas, smėlio ir skaldos pagrindų įrengimas (atnaujinimas).</w:t>
      </w:r>
    </w:p>
    <w:p w14:paraId="06575202" w14:textId="4380EBC5" w:rsidR="00E7551B" w:rsidRPr="00E7551B" w:rsidRDefault="00E7551B" w:rsidP="00E7551B">
      <w:pPr>
        <w:pStyle w:val="Sraopastraipa"/>
        <w:widowControl w:val="0"/>
        <w:numPr>
          <w:ilvl w:val="0"/>
          <w:numId w:val="1"/>
        </w:numPr>
        <w:tabs>
          <w:tab w:val="left" w:pos="1134"/>
        </w:tabs>
        <w:suppressAutoHyphens/>
        <w:ind w:left="0" w:firstLine="567"/>
        <w:rPr>
          <w:szCs w:val="24"/>
        </w:rPr>
      </w:pPr>
      <w:bookmarkStart w:id="5" w:name="_Ref188883041"/>
      <w:r w:rsidRPr="00E7551B">
        <w:rPr>
          <w:b/>
          <w:szCs w:val="24"/>
        </w:rPr>
        <w:t xml:space="preserve">Darbų apimtis (kiekiai) </w:t>
      </w:r>
      <w:r w:rsidRPr="00E7551B">
        <w:rPr>
          <w:szCs w:val="24"/>
        </w:rPr>
        <w:t xml:space="preserve">ir </w:t>
      </w:r>
      <w:r w:rsidRPr="00E7551B">
        <w:rPr>
          <w:b/>
          <w:szCs w:val="24"/>
        </w:rPr>
        <w:t>maksimalūs</w:t>
      </w:r>
      <w:r w:rsidRPr="00A66E3B">
        <w:rPr>
          <w:rStyle w:val="Puslapioinaosnuoroda"/>
          <w:b/>
          <w:szCs w:val="24"/>
          <w:lang w:eastAsia="zh-CN"/>
        </w:rPr>
        <w:footnoteReference w:id="4"/>
      </w:r>
      <w:r w:rsidRPr="00E7551B">
        <w:rPr>
          <w:b/>
          <w:szCs w:val="24"/>
        </w:rPr>
        <w:t xml:space="preserve"> darbų įkainiai: </w:t>
      </w:r>
      <w:r w:rsidRPr="00E7551B">
        <w:rPr>
          <w:szCs w:val="24"/>
        </w:rPr>
        <w:t>darbai perkami pagal faktinį poreikį ir atskiras perkančiosios organizacijos paraiškas. Perkančioji organizacija neįsipareigoja nupirkti viso pirkimo dokumentuose nurodytų darbų kiekio.</w:t>
      </w:r>
      <w:r w:rsidRPr="00E7551B">
        <w:rPr>
          <w:b/>
          <w:szCs w:val="24"/>
        </w:rPr>
        <w:t xml:space="preserve"> </w:t>
      </w:r>
      <w:r w:rsidRPr="00E7551B">
        <w:rPr>
          <w:szCs w:val="24"/>
        </w:rPr>
        <w:t xml:space="preserve">Planuojamų darbų preliminarūs kiekiai per visą sutarties laikotarpį (įskaitant ir sutarties pratęsimą) ir </w:t>
      </w:r>
      <w:r w:rsidRPr="00E7551B">
        <w:rPr>
          <w:b/>
          <w:szCs w:val="24"/>
        </w:rPr>
        <w:t>maksimalūs darbų įkainiai už 1 mato vnt., kurių tiekėjai negali viršyti teikdami pasiūlymą</w:t>
      </w:r>
      <w:r w:rsidRPr="00E7551B">
        <w:rPr>
          <w:szCs w:val="24"/>
        </w:rPr>
        <w:t>:</w:t>
      </w:r>
    </w:p>
    <w:p w14:paraId="615E84F3" w14:textId="13730008" w:rsidR="00E7551B" w:rsidRPr="00E7551B" w:rsidRDefault="00E7551B" w:rsidP="00E7551B">
      <w:pPr>
        <w:pStyle w:val="Sraopastraipa"/>
        <w:widowControl w:val="0"/>
        <w:tabs>
          <w:tab w:val="left" w:pos="1134"/>
        </w:tabs>
        <w:suppressAutoHyphens/>
        <w:ind w:left="567"/>
        <w:rPr>
          <w:szCs w:val="24"/>
        </w:rPr>
      </w:pPr>
    </w:p>
    <w:tbl>
      <w:tblPr>
        <w:tblStyle w:val="Lentelstinklelis"/>
        <w:tblW w:w="9606" w:type="dxa"/>
        <w:tblLayout w:type="fixed"/>
        <w:tblLook w:val="04A0" w:firstRow="1" w:lastRow="0" w:firstColumn="1" w:lastColumn="0" w:noHBand="0" w:noVBand="1"/>
      </w:tblPr>
      <w:tblGrid>
        <w:gridCol w:w="731"/>
        <w:gridCol w:w="4197"/>
        <w:gridCol w:w="737"/>
        <w:gridCol w:w="1560"/>
        <w:gridCol w:w="1105"/>
        <w:gridCol w:w="1276"/>
      </w:tblGrid>
      <w:tr w:rsidR="00B86C8C" w:rsidRPr="00B86C8C" w14:paraId="1BE427F0" w14:textId="77777777" w:rsidTr="00E254B1">
        <w:tc>
          <w:tcPr>
            <w:tcW w:w="731" w:type="dxa"/>
          </w:tcPr>
          <w:bookmarkEnd w:id="5"/>
          <w:p w14:paraId="5600B7D1"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Eil. Nr.</w:t>
            </w:r>
          </w:p>
        </w:tc>
        <w:tc>
          <w:tcPr>
            <w:tcW w:w="4197" w:type="dxa"/>
            <w:vAlign w:val="center"/>
          </w:tcPr>
          <w:p w14:paraId="7498B1B4" w14:textId="77777777" w:rsidR="00B86C8C" w:rsidRPr="00B86C8C" w:rsidRDefault="00B86C8C" w:rsidP="00B86C8C">
            <w:pPr>
              <w:jc w:val="center"/>
              <w:rPr>
                <w:bCs/>
                <w:szCs w:val="24"/>
                <w:lang w:eastAsia="en-US"/>
              </w:rPr>
            </w:pPr>
            <w:r w:rsidRPr="00B86C8C">
              <w:rPr>
                <w:bCs/>
                <w:szCs w:val="24"/>
              </w:rPr>
              <w:t>Darbų įkainio pavadinimas</w:t>
            </w:r>
          </w:p>
        </w:tc>
        <w:tc>
          <w:tcPr>
            <w:tcW w:w="737" w:type="dxa"/>
            <w:vAlign w:val="center"/>
          </w:tcPr>
          <w:p w14:paraId="20E62BFF" w14:textId="77777777" w:rsidR="00B86C8C" w:rsidRPr="00B86C8C" w:rsidRDefault="00B86C8C" w:rsidP="00B86C8C">
            <w:pPr>
              <w:jc w:val="center"/>
              <w:rPr>
                <w:bCs/>
                <w:szCs w:val="24"/>
              </w:rPr>
            </w:pPr>
            <w:r w:rsidRPr="00B86C8C">
              <w:rPr>
                <w:bCs/>
                <w:szCs w:val="24"/>
              </w:rPr>
              <w:t>Mato</w:t>
            </w:r>
          </w:p>
          <w:p w14:paraId="393294CD" w14:textId="77777777" w:rsidR="00B86C8C" w:rsidRPr="00B86C8C" w:rsidRDefault="00B86C8C" w:rsidP="00B86C8C">
            <w:pPr>
              <w:jc w:val="center"/>
              <w:rPr>
                <w:bCs/>
                <w:szCs w:val="24"/>
                <w:lang w:eastAsia="en-US"/>
              </w:rPr>
            </w:pPr>
            <w:r w:rsidRPr="00B86C8C">
              <w:rPr>
                <w:bCs/>
                <w:szCs w:val="24"/>
              </w:rPr>
              <w:t>vnt.</w:t>
            </w:r>
          </w:p>
        </w:tc>
        <w:tc>
          <w:tcPr>
            <w:tcW w:w="1560" w:type="dxa"/>
            <w:vAlign w:val="center"/>
          </w:tcPr>
          <w:p w14:paraId="64835B08" w14:textId="702F32CF" w:rsidR="00B86C8C" w:rsidRPr="00B86C8C" w:rsidRDefault="00B86C8C" w:rsidP="00B86C8C">
            <w:pPr>
              <w:jc w:val="center"/>
              <w:rPr>
                <w:bCs/>
                <w:szCs w:val="24"/>
                <w:lang w:eastAsia="en-US"/>
              </w:rPr>
            </w:pPr>
            <w:r w:rsidRPr="00B86C8C">
              <w:rPr>
                <w:rFonts w:eastAsia="Calibri"/>
                <w:bCs/>
                <w:szCs w:val="24"/>
              </w:rPr>
              <w:t>Planuo</w:t>
            </w:r>
            <w:r w:rsidRPr="00B86C8C">
              <w:rPr>
                <w:rFonts w:eastAsia="Calibri"/>
                <w:bCs/>
                <w:szCs w:val="24"/>
              </w:rPr>
              <w:softHyphen/>
              <w:t>jami prelimi</w:t>
            </w:r>
            <w:r w:rsidRPr="00B86C8C">
              <w:rPr>
                <w:rFonts w:eastAsia="Calibri"/>
                <w:bCs/>
                <w:szCs w:val="24"/>
              </w:rPr>
              <w:softHyphen/>
              <w:t>narūs dar</w:t>
            </w:r>
            <w:r w:rsidRPr="00B86C8C">
              <w:rPr>
                <w:rFonts w:eastAsia="Calibri"/>
                <w:bCs/>
                <w:szCs w:val="24"/>
              </w:rPr>
              <w:softHyphen/>
              <w:t>bų kiekiai visam sutarties laikotar</w:t>
            </w:r>
            <w:r w:rsidRPr="00B86C8C">
              <w:rPr>
                <w:rFonts w:eastAsia="Calibri"/>
                <w:bCs/>
                <w:szCs w:val="24"/>
              </w:rPr>
              <w:softHyphen/>
              <w:t>piui (įskaitant ir sutarties pratęsimą)</w:t>
            </w:r>
          </w:p>
        </w:tc>
        <w:tc>
          <w:tcPr>
            <w:tcW w:w="1105" w:type="dxa"/>
            <w:vAlign w:val="center"/>
          </w:tcPr>
          <w:p w14:paraId="1E482497" w14:textId="35886656" w:rsidR="00B86C8C" w:rsidRPr="00B86C8C" w:rsidRDefault="00B86C8C" w:rsidP="00B86C8C">
            <w:pPr>
              <w:jc w:val="center"/>
              <w:rPr>
                <w:rFonts w:eastAsia="Calibri"/>
                <w:bCs/>
                <w:szCs w:val="24"/>
              </w:rPr>
            </w:pPr>
            <w:r w:rsidRPr="00B86C8C">
              <w:rPr>
                <w:rFonts w:eastAsia="Calibri"/>
                <w:bCs/>
                <w:szCs w:val="24"/>
              </w:rPr>
              <w:t>Maksi</w:t>
            </w:r>
            <w:r w:rsidR="00E254B1">
              <w:rPr>
                <w:rFonts w:eastAsia="Calibri"/>
                <w:bCs/>
                <w:szCs w:val="24"/>
              </w:rPr>
              <w:softHyphen/>
            </w:r>
            <w:r w:rsidRPr="00B86C8C">
              <w:rPr>
                <w:rFonts w:eastAsia="Calibri"/>
                <w:bCs/>
                <w:szCs w:val="24"/>
              </w:rPr>
              <w:t>ma</w:t>
            </w:r>
            <w:r w:rsidRPr="00B86C8C">
              <w:rPr>
                <w:rFonts w:eastAsia="Calibri"/>
                <w:bCs/>
                <w:szCs w:val="24"/>
              </w:rPr>
              <w:softHyphen/>
              <w:t>lus įkainis Eur (be PVM)</w:t>
            </w:r>
          </w:p>
        </w:tc>
        <w:tc>
          <w:tcPr>
            <w:tcW w:w="1276" w:type="dxa"/>
            <w:vAlign w:val="center"/>
          </w:tcPr>
          <w:p w14:paraId="50B070CC" w14:textId="5883EB14" w:rsidR="00B86C8C" w:rsidRPr="00B86C8C" w:rsidRDefault="00B86C8C" w:rsidP="00B86C8C">
            <w:pPr>
              <w:jc w:val="center"/>
              <w:rPr>
                <w:bCs/>
                <w:szCs w:val="24"/>
                <w:lang w:eastAsia="en-US"/>
              </w:rPr>
            </w:pPr>
            <w:r w:rsidRPr="00B86C8C">
              <w:rPr>
                <w:rFonts w:eastAsia="Calibri"/>
                <w:bCs/>
                <w:szCs w:val="24"/>
              </w:rPr>
              <w:t>Maksima</w:t>
            </w:r>
            <w:r w:rsidR="00E254B1">
              <w:rPr>
                <w:rFonts w:eastAsia="Calibri"/>
                <w:bCs/>
                <w:szCs w:val="24"/>
              </w:rPr>
              <w:softHyphen/>
            </w:r>
            <w:r w:rsidRPr="00B86C8C">
              <w:rPr>
                <w:rFonts w:eastAsia="Calibri"/>
                <w:bCs/>
                <w:szCs w:val="24"/>
              </w:rPr>
              <w:t xml:space="preserve">lus įkainis Eur </w:t>
            </w:r>
            <w:r w:rsidR="00E254B1">
              <w:rPr>
                <w:rFonts w:eastAsia="Calibri"/>
                <w:bCs/>
                <w:szCs w:val="24"/>
              </w:rPr>
              <w:t>(</w:t>
            </w:r>
            <w:r w:rsidRPr="00B86C8C">
              <w:rPr>
                <w:rFonts w:eastAsia="Calibri"/>
                <w:bCs/>
                <w:szCs w:val="24"/>
              </w:rPr>
              <w:t>su PVM</w:t>
            </w:r>
            <w:r w:rsidR="00E254B1">
              <w:rPr>
                <w:rFonts w:eastAsia="Calibri"/>
                <w:bCs/>
                <w:szCs w:val="24"/>
              </w:rPr>
              <w:t>)</w:t>
            </w:r>
          </w:p>
        </w:tc>
      </w:tr>
      <w:tr w:rsidR="00B86C8C" w:rsidRPr="00B86C8C" w14:paraId="56928909" w14:textId="77777777" w:rsidTr="00E254B1">
        <w:tc>
          <w:tcPr>
            <w:tcW w:w="731" w:type="dxa"/>
          </w:tcPr>
          <w:p w14:paraId="1ADCF642"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w:t>
            </w:r>
          </w:p>
        </w:tc>
        <w:tc>
          <w:tcPr>
            <w:tcW w:w="4197" w:type="dxa"/>
          </w:tcPr>
          <w:p w14:paraId="29E0142D" w14:textId="77777777" w:rsidR="00B86C8C" w:rsidRPr="00B86C8C" w:rsidRDefault="00B86C8C" w:rsidP="00B86C8C">
            <w:pPr>
              <w:jc w:val="both"/>
              <w:rPr>
                <w:szCs w:val="24"/>
                <w:lang w:eastAsia="en-US"/>
              </w:rPr>
            </w:pPr>
            <w:r w:rsidRPr="00B86C8C">
              <w:rPr>
                <w:szCs w:val="24"/>
              </w:rPr>
              <w:t>Asfaltbetonio dangos išdaužų iki 50 mm storio užtaisymas (su frezavimu, išvalymu, kraštų ir dugno padengimu bitumine emulsija arba iki 60 °C pašildytu bitumu), naudojant asfaltbetonį AC 11 VN, kai remontuojamas plotas:</w:t>
            </w:r>
          </w:p>
        </w:tc>
        <w:tc>
          <w:tcPr>
            <w:tcW w:w="737" w:type="dxa"/>
          </w:tcPr>
          <w:p w14:paraId="1472BFCB" w14:textId="77777777" w:rsidR="00B86C8C" w:rsidRPr="00B86C8C" w:rsidRDefault="00B86C8C" w:rsidP="00B86C8C">
            <w:pPr>
              <w:jc w:val="center"/>
              <w:rPr>
                <w:i/>
                <w:szCs w:val="24"/>
                <w:lang w:eastAsia="en-US"/>
              </w:rPr>
            </w:pPr>
            <w:r w:rsidRPr="00B86C8C">
              <w:rPr>
                <w:i/>
                <w:szCs w:val="24"/>
                <w:lang w:eastAsia="en-US"/>
              </w:rPr>
              <w:t>-</w:t>
            </w:r>
          </w:p>
        </w:tc>
        <w:tc>
          <w:tcPr>
            <w:tcW w:w="1560" w:type="dxa"/>
          </w:tcPr>
          <w:p w14:paraId="11348021" w14:textId="77777777" w:rsidR="00B86C8C" w:rsidRPr="00B86C8C" w:rsidRDefault="00B86C8C" w:rsidP="00B86C8C">
            <w:pPr>
              <w:jc w:val="center"/>
              <w:rPr>
                <w:i/>
                <w:szCs w:val="24"/>
                <w:lang w:eastAsia="en-US"/>
              </w:rPr>
            </w:pPr>
            <w:r w:rsidRPr="00B86C8C">
              <w:rPr>
                <w:i/>
                <w:szCs w:val="24"/>
                <w:lang w:eastAsia="en-US"/>
              </w:rPr>
              <w:t>-</w:t>
            </w:r>
          </w:p>
        </w:tc>
        <w:tc>
          <w:tcPr>
            <w:tcW w:w="1105" w:type="dxa"/>
          </w:tcPr>
          <w:p w14:paraId="26241A00" w14:textId="77777777" w:rsidR="00B86C8C" w:rsidRPr="00B86C8C" w:rsidRDefault="00B86C8C" w:rsidP="00B86C8C">
            <w:pPr>
              <w:jc w:val="center"/>
              <w:rPr>
                <w:i/>
                <w:szCs w:val="24"/>
                <w:lang w:eastAsia="en-US"/>
              </w:rPr>
            </w:pPr>
            <w:r w:rsidRPr="00B86C8C">
              <w:rPr>
                <w:i/>
                <w:szCs w:val="24"/>
                <w:lang w:eastAsia="en-US"/>
              </w:rPr>
              <w:t>-</w:t>
            </w:r>
          </w:p>
        </w:tc>
        <w:tc>
          <w:tcPr>
            <w:tcW w:w="1276" w:type="dxa"/>
          </w:tcPr>
          <w:p w14:paraId="52064BB0" w14:textId="77777777" w:rsidR="00B86C8C" w:rsidRPr="00B86C8C" w:rsidRDefault="00B86C8C" w:rsidP="00B86C8C">
            <w:pPr>
              <w:jc w:val="center"/>
              <w:rPr>
                <w:i/>
                <w:szCs w:val="24"/>
                <w:lang w:eastAsia="en-US"/>
              </w:rPr>
            </w:pPr>
            <w:r w:rsidRPr="00B86C8C">
              <w:rPr>
                <w:i/>
                <w:szCs w:val="24"/>
                <w:lang w:eastAsia="en-US"/>
              </w:rPr>
              <w:t>-</w:t>
            </w:r>
          </w:p>
        </w:tc>
      </w:tr>
      <w:tr w:rsidR="00B86C8C" w:rsidRPr="00B86C8C" w14:paraId="0D4F6340" w14:textId="77777777" w:rsidTr="00E254B1">
        <w:tc>
          <w:tcPr>
            <w:tcW w:w="731" w:type="dxa"/>
          </w:tcPr>
          <w:p w14:paraId="4E9FFFE7"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1.1</w:t>
            </w:r>
          </w:p>
        </w:tc>
        <w:tc>
          <w:tcPr>
            <w:tcW w:w="4197" w:type="dxa"/>
          </w:tcPr>
          <w:p w14:paraId="6B290E64" w14:textId="77777777" w:rsidR="00B86C8C" w:rsidRPr="00B86C8C" w:rsidRDefault="00B86C8C" w:rsidP="00B86C8C">
            <w:pPr>
              <w:jc w:val="right"/>
              <w:rPr>
                <w:szCs w:val="24"/>
                <w:lang w:eastAsia="en-US"/>
              </w:rPr>
            </w:pPr>
            <w:r w:rsidRPr="00B86C8C">
              <w:rPr>
                <w:szCs w:val="24"/>
              </w:rPr>
              <w:t>Iki 1  m²</w:t>
            </w:r>
          </w:p>
        </w:tc>
        <w:tc>
          <w:tcPr>
            <w:tcW w:w="737" w:type="dxa"/>
            <w:vAlign w:val="center"/>
          </w:tcPr>
          <w:p w14:paraId="211A0B7D" w14:textId="77777777" w:rsidR="00B86C8C" w:rsidRPr="00B86C8C" w:rsidRDefault="00B86C8C" w:rsidP="00B86C8C">
            <w:pPr>
              <w:jc w:val="center"/>
              <w:rPr>
                <w:szCs w:val="24"/>
                <w:lang w:eastAsia="en-US"/>
              </w:rPr>
            </w:pPr>
            <w:r w:rsidRPr="00B86C8C">
              <w:rPr>
                <w:szCs w:val="24"/>
              </w:rPr>
              <w:t>m²</w:t>
            </w:r>
          </w:p>
        </w:tc>
        <w:tc>
          <w:tcPr>
            <w:tcW w:w="1560" w:type="dxa"/>
            <w:vAlign w:val="center"/>
          </w:tcPr>
          <w:p w14:paraId="7F37894E" w14:textId="77777777" w:rsidR="00B86C8C" w:rsidRPr="00B86C8C" w:rsidRDefault="00B86C8C" w:rsidP="00B86C8C">
            <w:pPr>
              <w:jc w:val="center"/>
              <w:rPr>
                <w:szCs w:val="24"/>
              </w:rPr>
            </w:pPr>
            <w:r w:rsidRPr="00B86C8C">
              <w:rPr>
                <w:szCs w:val="24"/>
              </w:rPr>
              <w:t>3000</w:t>
            </w:r>
          </w:p>
        </w:tc>
        <w:tc>
          <w:tcPr>
            <w:tcW w:w="1105" w:type="dxa"/>
          </w:tcPr>
          <w:p w14:paraId="109B7FCE" w14:textId="77777777" w:rsidR="00B86C8C" w:rsidRPr="00B86C8C" w:rsidRDefault="00B86C8C" w:rsidP="00B86C8C">
            <w:pPr>
              <w:jc w:val="center"/>
              <w:rPr>
                <w:szCs w:val="24"/>
                <w:lang w:eastAsia="en-US"/>
              </w:rPr>
            </w:pPr>
            <w:r w:rsidRPr="00B86C8C">
              <w:rPr>
                <w:szCs w:val="24"/>
                <w:lang w:eastAsia="en-US"/>
              </w:rPr>
              <w:t>26,45</w:t>
            </w:r>
          </w:p>
        </w:tc>
        <w:tc>
          <w:tcPr>
            <w:tcW w:w="1276" w:type="dxa"/>
            <w:vAlign w:val="bottom"/>
          </w:tcPr>
          <w:p w14:paraId="3882CF16" w14:textId="77777777" w:rsidR="00B86C8C" w:rsidRPr="00B86C8C" w:rsidRDefault="00B86C8C" w:rsidP="00B86C8C">
            <w:pPr>
              <w:jc w:val="center"/>
              <w:rPr>
                <w:szCs w:val="24"/>
              </w:rPr>
            </w:pPr>
            <w:r w:rsidRPr="00B86C8C">
              <w:rPr>
                <w:szCs w:val="24"/>
              </w:rPr>
              <w:t>32,00</w:t>
            </w:r>
          </w:p>
        </w:tc>
      </w:tr>
      <w:tr w:rsidR="00B86C8C" w:rsidRPr="00B86C8C" w14:paraId="36DF21A8" w14:textId="77777777" w:rsidTr="00E254B1">
        <w:tc>
          <w:tcPr>
            <w:tcW w:w="731" w:type="dxa"/>
          </w:tcPr>
          <w:p w14:paraId="399F4313"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1.2</w:t>
            </w:r>
          </w:p>
        </w:tc>
        <w:tc>
          <w:tcPr>
            <w:tcW w:w="4197" w:type="dxa"/>
          </w:tcPr>
          <w:p w14:paraId="2DDD0BEA" w14:textId="77777777" w:rsidR="00B86C8C" w:rsidRPr="00B86C8C" w:rsidRDefault="00B86C8C" w:rsidP="00B86C8C">
            <w:pPr>
              <w:jc w:val="right"/>
              <w:rPr>
                <w:szCs w:val="24"/>
                <w:lang w:eastAsia="en-US"/>
              </w:rPr>
            </w:pPr>
            <w:r w:rsidRPr="00B86C8C">
              <w:rPr>
                <w:szCs w:val="24"/>
              </w:rPr>
              <w:t>Iki 5  m²</w:t>
            </w:r>
          </w:p>
        </w:tc>
        <w:tc>
          <w:tcPr>
            <w:tcW w:w="737" w:type="dxa"/>
          </w:tcPr>
          <w:p w14:paraId="141EEBF3" w14:textId="77777777" w:rsidR="00B86C8C" w:rsidRPr="00B86C8C" w:rsidRDefault="00B86C8C" w:rsidP="00B86C8C">
            <w:pPr>
              <w:jc w:val="center"/>
              <w:rPr>
                <w:szCs w:val="24"/>
                <w:lang w:eastAsia="en-US"/>
              </w:rPr>
            </w:pPr>
            <w:r w:rsidRPr="00B86C8C">
              <w:rPr>
                <w:szCs w:val="24"/>
              </w:rPr>
              <w:t xml:space="preserve"> m²</w:t>
            </w:r>
          </w:p>
        </w:tc>
        <w:tc>
          <w:tcPr>
            <w:tcW w:w="1560" w:type="dxa"/>
            <w:vAlign w:val="center"/>
          </w:tcPr>
          <w:p w14:paraId="014E77E3" w14:textId="77777777" w:rsidR="00B86C8C" w:rsidRPr="00B86C8C" w:rsidRDefault="00B86C8C" w:rsidP="00B86C8C">
            <w:pPr>
              <w:jc w:val="center"/>
              <w:rPr>
                <w:szCs w:val="24"/>
              </w:rPr>
            </w:pPr>
            <w:r w:rsidRPr="00B86C8C">
              <w:rPr>
                <w:szCs w:val="24"/>
              </w:rPr>
              <w:t>7000</w:t>
            </w:r>
          </w:p>
        </w:tc>
        <w:tc>
          <w:tcPr>
            <w:tcW w:w="1105" w:type="dxa"/>
          </w:tcPr>
          <w:p w14:paraId="3A59F231" w14:textId="77777777" w:rsidR="00B86C8C" w:rsidRPr="00B86C8C" w:rsidRDefault="00B86C8C" w:rsidP="00B86C8C">
            <w:pPr>
              <w:jc w:val="center"/>
              <w:rPr>
                <w:szCs w:val="24"/>
              </w:rPr>
            </w:pPr>
            <w:r w:rsidRPr="00B86C8C">
              <w:rPr>
                <w:szCs w:val="24"/>
              </w:rPr>
              <w:t>25,62</w:t>
            </w:r>
          </w:p>
        </w:tc>
        <w:tc>
          <w:tcPr>
            <w:tcW w:w="1276" w:type="dxa"/>
            <w:vAlign w:val="bottom"/>
          </w:tcPr>
          <w:p w14:paraId="27AD1A85" w14:textId="77777777" w:rsidR="00B86C8C" w:rsidRPr="00B86C8C" w:rsidRDefault="00B86C8C" w:rsidP="00B86C8C">
            <w:pPr>
              <w:jc w:val="center"/>
              <w:rPr>
                <w:szCs w:val="24"/>
              </w:rPr>
            </w:pPr>
            <w:r w:rsidRPr="00B86C8C">
              <w:rPr>
                <w:szCs w:val="24"/>
              </w:rPr>
              <w:t>31,00</w:t>
            </w:r>
          </w:p>
        </w:tc>
      </w:tr>
      <w:tr w:rsidR="00B86C8C" w:rsidRPr="00B86C8C" w14:paraId="582C68D5" w14:textId="77777777" w:rsidTr="00E254B1">
        <w:tc>
          <w:tcPr>
            <w:tcW w:w="731" w:type="dxa"/>
          </w:tcPr>
          <w:p w14:paraId="291AEC7F"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1.3</w:t>
            </w:r>
          </w:p>
        </w:tc>
        <w:tc>
          <w:tcPr>
            <w:tcW w:w="4197" w:type="dxa"/>
          </w:tcPr>
          <w:p w14:paraId="08EF7C09" w14:textId="77777777" w:rsidR="00B86C8C" w:rsidRPr="00B86C8C" w:rsidRDefault="00B86C8C" w:rsidP="00B86C8C">
            <w:pPr>
              <w:jc w:val="right"/>
              <w:rPr>
                <w:szCs w:val="24"/>
                <w:lang w:eastAsia="en-US"/>
              </w:rPr>
            </w:pPr>
            <w:r w:rsidRPr="00B86C8C">
              <w:rPr>
                <w:szCs w:val="24"/>
              </w:rPr>
              <w:t>virš 5 m²</w:t>
            </w:r>
          </w:p>
        </w:tc>
        <w:tc>
          <w:tcPr>
            <w:tcW w:w="737" w:type="dxa"/>
          </w:tcPr>
          <w:p w14:paraId="66762C13" w14:textId="77777777" w:rsidR="00B86C8C" w:rsidRPr="00B86C8C" w:rsidRDefault="00B86C8C" w:rsidP="00B86C8C">
            <w:pPr>
              <w:jc w:val="center"/>
              <w:rPr>
                <w:szCs w:val="24"/>
                <w:lang w:eastAsia="en-US"/>
              </w:rPr>
            </w:pPr>
            <w:r w:rsidRPr="00B86C8C">
              <w:rPr>
                <w:szCs w:val="24"/>
              </w:rPr>
              <w:t xml:space="preserve"> m²</w:t>
            </w:r>
          </w:p>
        </w:tc>
        <w:tc>
          <w:tcPr>
            <w:tcW w:w="1560" w:type="dxa"/>
            <w:vAlign w:val="center"/>
          </w:tcPr>
          <w:p w14:paraId="5E85C7B1" w14:textId="77777777" w:rsidR="00B86C8C" w:rsidRPr="00B86C8C" w:rsidRDefault="00B86C8C" w:rsidP="00B86C8C">
            <w:pPr>
              <w:jc w:val="center"/>
              <w:rPr>
                <w:szCs w:val="24"/>
              </w:rPr>
            </w:pPr>
            <w:r w:rsidRPr="00B86C8C">
              <w:rPr>
                <w:szCs w:val="24"/>
              </w:rPr>
              <w:t>3000</w:t>
            </w:r>
          </w:p>
        </w:tc>
        <w:tc>
          <w:tcPr>
            <w:tcW w:w="1105" w:type="dxa"/>
          </w:tcPr>
          <w:p w14:paraId="4D4AB5A1" w14:textId="77777777" w:rsidR="00B86C8C" w:rsidRPr="00B86C8C" w:rsidRDefault="00B86C8C" w:rsidP="00B86C8C">
            <w:pPr>
              <w:jc w:val="center"/>
              <w:rPr>
                <w:szCs w:val="24"/>
              </w:rPr>
            </w:pPr>
            <w:r w:rsidRPr="00B86C8C">
              <w:rPr>
                <w:szCs w:val="24"/>
              </w:rPr>
              <w:t>23,97</w:t>
            </w:r>
          </w:p>
        </w:tc>
        <w:tc>
          <w:tcPr>
            <w:tcW w:w="1276" w:type="dxa"/>
            <w:vAlign w:val="bottom"/>
          </w:tcPr>
          <w:p w14:paraId="4626C3A5" w14:textId="77777777" w:rsidR="00B86C8C" w:rsidRPr="00B86C8C" w:rsidRDefault="00B86C8C" w:rsidP="00B86C8C">
            <w:pPr>
              <w:jc w:val="center"/>
              <w:rPr>
                <w:szCs w:val="24"/>
              </w:rPr>
            </w:pPr>
            <w:r w:rsidRPr="00B86C8C">
              <w:rPr>
                <w:szCs w:val="24"/>
              </w:rPr>
              <w:t>29,00</w:t>
            </w:r>
          </w:p>
        </w:tc>
      </w:tr>
      <w:tr w:rsidR="00B86C8C" w:rsidRPr="00B86C8C" w14:paraId="16F117D0" w14:textId="77777777" w:rsidTr="00E254B1">
        <w:tc>
          <w:tcPr>
            <w:tcW w:w="731" w:type="dxa"/>
          </w:tcPr>
          <w:p w14:paraId="3ABE8FB1"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2.</w:t>
            </w:r>
          </w:p>
        </w:tc>
        <w:tc>
          <w:tcPr>
            <w:tcW w:w="4197" w:type="dxa"/>
          </w:tcPr>
          <w:p w14:paraId="3B9B4AC0" w14:textId="4CB0EF46" w:rsidR="00B86C8C" w:rsidRPr="00B86C8C" w:rsidRDefault="00B86C8C" w:rsidP="00B86C8C">
            <w:pPr>
              <w:jc w:val="both"/>
              <w:rPr>
                <w:szCs w:val="24"/>
                <w:lang w:eastAsia="en-US"/>
              </w:rPr>
            </w:pPr>
            <w:r w:rsidRPr="00B86C8C">
              <w:rPr>
                <w:szCs w:val="24"/>
              </w:rPr>
              <w:t>Asfalt</w:t>
            </w:r>
            <w:r>
              <w:rPr>
                <w:szCs w:val="24"/>
              </w:rPr>
              <w:t>betonio dangos frezavimas freza</w:t>
            </w:r>
          </w:p>
        </w:tc>
        <w:tc>
          <w:tcPr>
            <w:tcW w:w="737" w:type="dxa"/>
            <w:vAlign w:val="center"/>
          </w:tcPr>
          <w:p w14:paraId="4F8F6C3C" w14:textId="77777777" w:rsidR="00B86C8C" w:rsidRPr="00B86C8C" w:rsidRDefault="00B86C8C" w:rsidP="00B86C8C">
            <w:pPr>
              <w:jc w:val="center"/>
              <w:rPr>
                <w:color w:val="000000"/>
                <w:szCs w:val="24"/>
              </w:rPr>
            </w:pPr>
            <w:r w:rsidRPr="00B86C8C">
              <w:rPr>
                <w:color w:val="000000"/>
                <w:szCs w:val="24"/>
              </w:rPr>
              <w:t xml:space="preserve"> m²</w:t>
            </w:r>
          </w:p>
        </w:tc>
        <w:tc>
          <w:tcPr>
            <w:tcW w:w="1560" w:type="dxa"/>
            <w:vAlign w:val="center"/>
          </w:tcPr>
          <w:p w14:paraId="4C381462" w14:textId="77777777" w:rsidR="00B86C8C" w:rsidRPr="00B86C8C" w:rsidRDefault="00B86C8C" w:rsidP="00B86C8C">
            <w:pPr>
              <w:jc w:val="center"/>
              <w:rPr>
                <w:color w:val="000000"/>
                <w:szCs w:val="24"/>
              </w:rPr>
            </w:pPr>
            <w:r w:rsidRPr="00B86C8C">
              <w:rPr>
                <w:color w:val="000000"/>
                <w:szCs w:val="24"/>
              </w:rPr>
              <w:t>50000</w:t>
            </w:r>
          </w:p>
        </w:tc>
        <w:tc>
          <w:tcPr>
            <w:tcW w:w="1105" w:type="dxa"/>
          </w:tcPr>
          <w:p w14:paraId="1E72E499" w14:textId="77777777" w:rsidR="00B86C8C" w:rsidRPr="00B86C8C" w:rsidRDefault="00B86C8C" w:rsidP="00B86C8C">
            <w:pPr>
              <w:jc w:val="center"/>
              <w:rPr>
                <w:szCs w:val="24"/>
              </w:rPr>
            </w:pPr>
            <w:r w:rsidRPr="00B86C8C">
              <w:rPr>
                <w:szCs w:val="24"/>
              </w:rPr>
              <w:t>2,48</w:t>
            </w:r>
          </w:p>
        </w:tc>
        <w:tc>
          <w:tcPr>
            <w:tcW w:w="1276" w:type="dxa"/>
            <w:vAlign w:val="bottom"/>
          </w:tcPr>
          <w:p w14:paraId="38B871C3" w14:textId="77777777" w:rsidR="00B86C8C" w:rsidRPr="00B86C8C" w:rsidRDefault="00B86C8C" w:rsidP="00B86C8C">
            <w:pPr>
              <w:jc w:val="center"/>
              <w:rPr>
                <w:szCs w:val="24"/>
              </w:rPr>
            </w:pPr>
            <w:r w:rsidRPr="00B86C8C">
              <w:rPr>
                <w:szCs w:val="24"/>
              </w:rPr>
              <w:t>3,00</w:t>
            </w:r>
          </w:p>
        </w:tc>
      </w:tr>
      <w:tr w:rsidR="00B86C8C" w:rsidRPr="00B86C8C" w14:paraId="10108BC2" w14:textId="77777777" w:rsidTr="00E254B1">
        <w:tc>
          <w:tcPr>
            <w:tcW w:w="731" w:type="dxa"/>
          </w:tcPr>
          <w:p w14:paraId="3A2B5576"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3.</w:t>
            </w:r>
          </w:p>
        </w:tc>
        <w:tc>
          <w:tcPr>
            <w:tcW w:w="4197" w:type="dxa"/>
          </w:tcPr>
          <w:p w14:paraId="2B7A73F9" w14:textId="77777777" w:rsidR="00B86C8C" w:rsidRPr="00B86C8C" w:rsidRDefault="00B86C8C" w:rsidP="00B86C8C">
            <w:pPr>
              <w:jc w:val="both"/>
              <w:rPr>
                <w:szCs w:val="24"/>
                <w:highlight w:val="green"/>
                <w:lang w:eastAsia="en-US"/>
              </w:rPr>
            </w:pPr>
            <w:r w:rsidRPr="00B86C8C">
              <w:rPr>
                <w:szCs w:val="24"/>
              </w:rPr>
              <w:t>Išlyginamojo sluoksnio iš asfaltbetonio mišinio AC 11 AN  įrengimas</w:t>
            </w:r>
          </w:p>
        </w:tc>
        <w:tc>
          <w:tcPr>
            <w:tcW w:w="737" w:type="dxa"/>
            <w:vAlign w:val="center"/>
          </w:tcPr>
          <w:p w14:paraId="13BFE4B6" w14:textId="77777777" w:rsidR="00B86C8C" w:rsidRPr="00B86C8C" w:rsidRDefault="00B86C8C" w:rsidP="00B86C8C">
            <w:pPr>
              <w:jc w:val="center"/>
              <w:rPr>
                <w:color w:val="000000"/>
                <w:szCs w:val="24"/>
              </w:rPr>
            </w:pPr>
            <w:r w:rsidRPr="00B86C8C">
              <w:rPr>
                <w:color w:val="000000"/>
                <w:szCs w:val="24"/>
              </w:rPr>
              <w:t>t</w:t>
            </w:r>
          </w:p>
        </w:tc>
        <w:tc>
          <w:tcPr>
            <w:tcW w:w="1560" w:type="dxa"/>
            <w:vAlign w:val="center"/>
          </w:tcPr>
          <w:p w14:paraId="0F2C3E0A" w14:textId="77777777" w:rsidR="00B86C8C" w:rsidRDefault="00B86C8C" w:rsidP="00E52D5E">
            <w:pPr>
              <w:jc w:val="center"/>
              <w:rPr>
                <w:color w:val="000000"/>
                <w:szCs w:val="24"/>
              </w:rPr>
            </w:pPr>
            <w:r w:rsidRPr="00B86C8C">
              <w:rPr>
                <w:color w:val="000000"/>
                <w:szCs w:val="24"/>
              </w:rPr>
              <w:t>9000</w:t>
            </w:r>
          </w:p>
          <w:p w14:paraId="43B5D802" w14:textId="5C99B11B" w:rsidR="00E52D5E" w:rsidRPr="00B86C8C" w:rsidRDefault="00E52D5E" w:rsidP="00E52D5E">
            <w:pPr>
              <w:jc w:val="center"/>
              <w:rPr>
                <w:color w:val="000000"/>
                <w:szCs w:val="24"/>
              </w:rPr>
            </w:pPr>
          </w:p>
        </w:tc>
        <w:tc>
          <w:tcPr>
            <w:tcW w:w="1105" w:type="dxa"/>
          </w:tcPr>
          <w:p w14:paraId="322C9FEA" w14:textId="4D2C0703" w:rsidR="00B86C8C" w:rsidRPr="00B86C8C" w:rsidRDefault="00B86C8C" w:rsidP="00E52D5E">
            <w:pPr>
              <w:jc w:val="center"/>
              <w:rPr>
                <w:szCs w:val="24"/>
              </w:rPr>
            </w:pPr>
            <w:r w:rsidRPr="00B86C8C">
              <w:rPr>
                <w:szCs w:val="24"/>
              </w:rPr>
              <w:t>144,63</w:t>
            </w:r>
          </w:p>
        </w:tc>
        <w:tc>
          <w:tcPr>
            <w:tcW w:w="1276" w:type="dxa"/>
            <w:vAlign w:val="bottom"/>
          </w:tcPr>
          <w:p w14:paraId="4C2C97B6" w14:textId="77777777" w:rsidR="00B86C8C" w:rsidRDefault="00B86C8C" w:rsidP="00E52D5E">
            <w:pPr>
              <w:jc w:val="center"/>
              <w:rPr>
                <w:szCs w:val="24"/>
              </w:rPr>
            </w:pPr>
            <w:r w:rsidRPr="00B86C8C">
              <w:rPr>
                <w:szCs w:val="24"/>
              </w:rPr>
              <w:t>175,00</w:t>
            </w:r>
          </w:p>
          <w:p w14:paraId="74FFB004" w14:textId="13DACE64" w:rsidR="00E52D5E" w:rsidRPr="00B86C8C" w:rsidRDefault="00E52D5E" w:rsidP="00E52D5E">
            <w:pPr>
              <w:jc w:val="center"/>
              <w:rPr>
                <w:szCs w:val="24"/>
              </w:rPr>
            </w:pPr>
          </w:p>
        </w:tc>
      </w:tr>
      <w:tr w:rsidR="00B86C8C" w:rsidRPr="00B86C8C" w14:paraId="3294DA0F" w14:textId="77777777" w:rsidTr="00E254B1">
        <w:tc>
          <w:tcPr>
            <w:tcW w:w="731" w:type="dxa"/>
          </w:tcPr>
          <w:p w14:paraId="65CE4028"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4.</w:t>
            </w:r>
          </w:p>
        </w:tc>
        <w:tc>
          <w:tcPr>
            <w:tcW w:w="4197" w:type="dxa"/>
          </w:tcPr>
          <w:p w14:paraId="34801E97" w14:textId="77777777" w:rsidR="00B86C8C" w:rsidRPr="00B86C8C" w:rsidRDefault="00B86C8C" w:rsidP="00B86C8C">
            <w:pPr>
              <w:jc w:val="both"/>
              <w:rPr>
                <w:szCs w:val="24"/>
                <w:highlight w:val="green"/>
              </w:rPr>
            </w:pPr>
            <w:r w:rsidRPr="00B86C8C">
              <w:rPr>
                <w:szCs w:val="24"/>
              </w:rPr>
              <w:t>4 cm storio dangos įrengimas iš asfaltbetonio mišinio AC11VN</w:t>
            </w:r>
          </w:p>
        </w:tc>
        <w:tc>
          <w:tcPr>
            <w:tcW w:w="737" w:type="dxa"/>
            <w:vAlign w:val="center"/>
          </w:tcPr>
          <w:p w14:paraId="32225B73" w14:textId="77777777" w:rsidR="00B86C8C" w:rsidRPr="00B86C8C" w:rsidRDefault="00B86C8C" w:rsidP="00B86C8C">
            <w:pPr>
              <w:jc w:val="center"/>
              <w:rPr>
                <w:color w:val="000000"/>
                <w:szCs w:val="24"/>
              </w:rPr>
            </w:pPr>
            <w:r w:rsidRPr="00B86C8C">
              <w:rPr>
                <w:color w:val="000000"/>
                <w:szCs w:val="24"/>
              </w:rPr>
              <w:t xml:space="preserve"> m²</w:t>
            </w:r>
          </w:p>
        </w:tc>
        <w:tc>
          <w:tcPr>
            <w:tcW w:w="1560" w:type="dxa"/>
            <w:vAlign w:val="center"/>
          </w:tcPr>
          <w:p w14:paraId="53D611AB" w14:textId="77777777" w:rsidR="00B86C8C" w:rsidRDefault="00B86C8C" w:rsidP="00B86C8C">
            <w:pPr>
              <w:jc w:val="center"/>
              <w:rPr>
                <w:color w:val="000000"/>
                <w:szCs w:val="24"/>
              </w:rPr>
            </w:pPr>
            <w:r w:rsidRPr="00B86C8C">
              <w:rPr>
                <w:color w:val="000000"/>
                <w:szCs w:val="24"/>
              </w:rPr>
              <w:t>60000</w:t>
            </w:r>
          </w:p>
          <w:p w14:paraId="6B1B2763" w14:textId="39322584" w:rsidR="00E52D5E" w:rsidRPr="00B86C8C" w:rsidRDefault="00E52D5E" w:rsidP="00B86C8C">
            <w:pPr>
              <w:jc w:val="center"/>
              <w:rPr>
                <w:color w:val="000000"/>
                <w:szCs w:val="24"/>
              </w:rPr>
            </w:pPr>
          </w:p>
        </w:tc>
        <w:tc>
          <w:tcPr>
            <w:tcW w:w="1105" w:type="dxa"/>
          </w:tcPr>
          <w:p w14:paraId="0BC2EE4A" w14:textId="77777777" w:rsidR="00B86C8C" w:rsidRPr="00B86C8C" w:rsidRDefault="00B86C8C" w:rsidP="00B86C8C">
            <w:pPr>
              <w:jc w:val="center"/>
              <w:rPr>
                <w:szCs w:val="24"/>
              </w:rPr>
            </w:pPr>
            <w:r w:rsidRPr="00B86C8C">
              <w:rPr>
                <w:szCs w:val="24"/>
              </w:rPr>
              <w:t>14,51</w:t>
            </w:r>
          </w:p>
        </w:tc>
        <w:tc>
          <w:tcPr>
            <w:tcW w:w="1276" w:type="dxa"/>
            <w:vAlign w:val="bottom"/>
          </w:tcPr>
          <w:p w14:paraId="05C97E12" w14:textId="77777777" w:rsidR="00E52D5E" w:rsidRDefault="00B86C8C" w:rsidP="00B86C8C">
            <w:pPr>
              <w:jc w:val="center"/>
              <w:rPr>
                <w:szCs w:val="24"/>
              </w:rPr>
            </w:pPr>
            <w:r w:rsidRPr="00B86C8C">
              <w:rPr>
                <w:szCs w:val="24"/>
              </w:rPr>
              <w:t>17,56</w:t>
            </w:r>
          </w:p>
          <w:p w14:paraId="503C40F5" w14:textId="37745ABB" w:rsidR="00B86C8C" w:rsidRPr="00B86C8C" w:rsidRDefault="00B86C8C" w:rsidP="00B86C8C">
            <w:pPr>
              <w:jc w:val="center"/>
              <w:rPr>
                <w:szCs w:val="24"/>
              </w:rPr>
            </w:pPr>
            <w:r w:rsidRPr="00B86C8C">
              <w:rPr>
                <w:color w:val="FF0000"/>
                <w:szCs w:val="24"/>
              </w:rPr>
              <w:t xml:space="preserve"> </w:t>
            </w:r>
          </w:p>
        </w:tc>
      </w:tr>
      <w:tr w:rsidR="00B86C8C" w:rsidRPr="00B86C8C" w14:paraId="72B2C6C2" w14:textId="77777777" w:rsidTr="00E254B1">
        <w:tc>
          <w:tcPr>
            <w:tcW w:w="731" w:type="dxa"/>
          </w:tcPr>
          <w:p w14:paraId="137E503D"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5.</w:t>
            </w:r>
          </w:p>
        </w:tc>
        <w:tc>
          <w:tcPr>
            <w:tcW w:w="4197" w:type="dxa"/>
          </w:tcPr>
          <w:p w14:paraId="6FD8DF04" w14:textId="77777777" w:rsidR="00B86C8C" w:rsidRPr="00B86C8C" w:rsidRDefault="00B86C8C" w:rsidP="00B86C8C">
            <w:pPr>
              <w:jc w:val="both"/>
              <w:rPr>
                <w:szCs w:val="24"/>
                <w:highlight w:val="green"/>
              </w:rPr>
            </w:pPr>
            <w:r w:rsidRPr="00B86C8C">
              <w:rPr>
                <w:szCs w:val="24"/>
              </w:rPr>
              <w:t>Asfaltbetonio dangų valymas mechanizuotai ir dalinai rankiniu būdu</w:t>
            </w:r>
          </w:p>
        </w:tc>
        <w:tc>
          <w:tcPr>
            <w:tcW w:w="737" w:type="dxa"/>
            <w:vAlign w:val="center"/>
          </w:tcPr>
          <w:p w14:paraId="6DF098C2" w14:textId="77777777" w:rsidR="00B86C8C" w:rsidRPr="00B86C8C" w:rsidRDefault="00B86C8C" w:rsidP="00B86C8C">
            <w:pPr>
              <w:jc w:val="center"/>
              <w:rPr>
                <w:color w:val="000000"/>
                <w:szCs w:val="24"/>
              </w:rPr>
            </w:pPr>
            <w:r w:rsidRPr="00B86C8C">
              <w:rPr>
                <w:color w:val="000000"/>
                <w:szCs w:val="24"/>
              </w:rPr>
              <w:t xml:space="preserve"> m²</w:t>
            </w:r>
          </w:p>
        </w:tc>
        <w:tc>
          <w:tcPr>
            <w:tcW w:w="1560" w:type="dxa"/>
            <w:vAlign w:val="center"/>
          </w:tcPr>
          <w:p w14:paraId="2195CA38" w14:textId="77777777" w:rsidR="00B86C8C" w:rsidRDefault="00B86C8C" w:rsidP="00B86C8C">
            <w:pPr>
              <w:jc w:val="center"/>
              <w:rPr>
                <w:color w:val="000000"/>
                <w:szCs w:val="24"/>
              </w:rPr>
            </w:pPr>
            <w:r w:rsidRPr="00B86C8C">
              <w:rPr>
                <w:color w:val="000000"/>
                <w:szCs w:val="24"/>
              </w:rPr>
              <w:t>90000</w:t>
            </w:r>
          </w:p>
          <w:p w14:paraId="42213181" w14:textId="10A4E946" w:rsidR="00E52D5E" w:rsidRPr="00B86C8C" w:rsidRDefault="00E52D5E" w:rsidP="00B86C8C">
            <w:pPr>
              <w:jc w:val="center"/>
              <w:rPr>
                <w:color w:val="000000"/>
                <w:szCs w:val="24"/>
              </w:rPr>
            </w:pPr>
          </w:p>
        </w:tc>
        <w:tc>
          <w:tcPr>
            <w:tcW w:w="1105" w:type="dxa"/>
          </w:tcPr>
          <w:p w14:paraId="0E74F26A" w14:textId="77777777" w:rsidR="00B86C8C" w:rsidRPr="00B86C8C" w:rsidRDefault="00B86C8C" w:rsidP="00B86C8C">
            <w:pPr>
              <w:jc w:val="center"/>
              <w:rPr>
                <w:szCs w:val="24"/>
              </w:rPr>
            </w:pPr>
            <w:r w:rsidRPr="00B86C8C">
              <w:rPr>
                <w:szCs w:val="24"/>
              </w:rPr>
              <w:t>0,05</w:t>
            </w:r>
          </w:p>
        </w:tc>
        <w:tc>
          <w:tcPr>
            <w:tcW w:w="1276" w:type="dxa"/>
            <w:vAlign w:val="bottom"/>
          </w:tcPr>
          <w:p w14:paraId="47B915C6" w14:textId="77777777" w:rsidR="00B86C8C" w:rsidRDefault="00B86C8C" w:rsidP="00B86C8C">
            <w:pPr>
              <w:jc w:val="center"/>
              <w:rPr>
                <w:szCs w:val="24"/>
              </w:rPr>
            </w:pPr>
            <w:r w:rsidRPr="00B86C8C">
              <w:rPr>
                <w:szCs w:val="24"/>
              </w:rPr>
              <w:t>0,06</w:t>
            </w:r>
          </w:p>
          <w:p w14:paraId="37848A1A" w14:textId="5B14CAE8" w:rsidR="00E52D5E" w:rsidRPr="00B86C8C" w:rsidRDefault="00E52D5E" w:rsidP="00B86C8C">
            <w:pPr>
              <w:jc w:val="center"/>
              <w:rPr>
                <w:szCs w:val="24"/>
              </w:rPr>
            </w:pPr>
          </w:p>
        </w:tc>
      </w:tr>
      <w:tr w:rsidR="00B86C8C" w:rsidRPr="00B86C8C" w14:paraId="068DB11A" w14:textId="77777777" w:rsidTr="00E254B1">
        <w:tc>
          <w:tcPr>
            <w:tcW w:w="731" w:type="dxa"/>
          </w:tcPr>
          <w:p w14:paraId="4F7FECF9"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6.</w:t>
            </w:r>
          </w:p>
        </w:tc>
        <w:tc>
          <w:tcPr>
            <w:tcW w:w="4197" w:type="dxa"/>
          </w:tcPr>
          <w:p w14:paraId="79B2E6E4" w14:textId="77777777" w:rsidR="00B86C8C" w:rsidRPr="00B86C8C" w:rsidRDefault="00B86C8C" w:rsidP="00B86C8C">
            <w:pPr>
              <w:jc w:val="both"/>
              <w:rPr>
                <w:szCs w:val="24"/>
                <w:highlight w:val="green"/>
              </w:rPr>
            </w:pPr>
            <w:r w:rsidRPr="00B86C8C">
              <w:rPr>
                <w:szCs w:val="24"/>
              </w:rPr>
              <w:t>Juodų dangų paviršiaus pagruntavimas bitumine emulsija</w:t>
            </w:r>
          </w:p>
        </w:tc>
        <w:tc>
          <w:tcPr>
            <w:tcW w:w="737" w:type="dxa"/>
            <w:vAlign w:val="center"/>
          </w:tcPr>
          <w:p w14:paraId="5F50C23F" w14:textId="77777777" w:rsidR="00B86C8C" w:rsidRPr="00B86C8C" w:rsidRDefault="00B86C8C" w:rsidP="00B86C8C">
            <w:pPr>
              <w:jc w:val="center"/>
              <w:rPr>
                <w:color w:val="000000"/>
                <w:szCs w:val="24"/>
              </w:rPr>
            </w:pPr>
            <w:r w:rsidRPr="00B86C8C">
              <w:rPr>
                <w:color w:val="000000"/>
                <w:szCs w:val="24"/>
              </w:rPr>
              <w:t xml:space="preserve"> m²</w:t>
            </w:r>
          </w:p>
        </w:tc>
        <w:tc>
          <w:tcPr>
            <w:tcW w:w="1560" w:type="dxa"/>
            <w:vAlign w:val="center"/>
          </w:tcPr>
          <w:p w14:paraId="137D4DB5" w14:textId="77777777" w:rsidR="00B86C8C" w:rsidRDefault="00B86C8C" w:rsidP="00B86C8C">
            <w:pPr>
              <w:jc w:val="center"/>
              <w:rPr>
                <w:color w:val="000000"/>
                <w:szCs w:val="24"/>
              </w:rPr>
            </w:pPr>
            <w:r w:rsidRPr="00B86C8C">
              <w:rPr>
                <w:color w:val="000000"/>
                <w:szCs w:val="24"/>
              </w:rPr>
              <w:t>70000</w:t>
            </w:r>
          </w:p>
          <w:p w14:paraId="3838C9D2" w14:textId="57DB4F47" w:rsidR="00E52D5E" w:rsidRPr="00B86C8C" w:rsidRDefault="00E52D5E" w:rsidP="00B86C8C">
            <w:pPr>
              <w:jc w:val="center"/>
              <w:rPr>
                <w:color w:val="000000"/>
                <w:szCs w:val="24"/>
              </w:rPr>
            </w:pPr>
          </w:p>
        </w:tc>
        <w:tc>
          <w:tcPr>
            <w:tcW w:w="1105" w:type="dxa"/>
          </w:tcPr>
          <w:p w14:paraId="75A35C72" w14:textId="77777777" w:rsidR="00B86C8C" w:rsidRPr="00B86C8C" w:rsidRDefault="00B86C8C" w:rsidP="00B86C8C">
            <w:pPr>
              <w:jc w:val="center"/>
              <w:rPr>
                <w:szCs w:val="24"/>
              </w:rPr>
            </w:pPr>
            <w:r w:rsidRPr="00B86C8C">
              <w:rPr>
                <w:szCs w:val="24"/>
              </w:rPr>
              <w:t>0,41</w:t>
            </w:r>
          </w:p>
        </w:tc>
        <w:tc>
          <w:tcPr>
            <w:tcW w:w="1276" w:type="dxa"/>
            <w:vAlign w:val="bottom"/>
          </w:tcPr>
          <w:p w14:paraId="26B26224" w14:textId="77777777" w:rsidR="00B86C8C" w:rsidRDefault="00B86C8C" w:rsidP="00B86C8C">
            <w:pPr>
              <w:jc w:val="center"/>
              <w:rPr>
                <w:szCs w:val="24"/>
              </w:rPr>
            </w:pPr>
            <w:r w:rsidRPr="00B86C8C">
              <w:rPr>
                <w:szCs w:val="24"/>
              </w:rPr>
              <w:t>0,50</w:t>
            </w:r>
          </w:p>
          <w:p w14:paraId="171E757B" w14:textId="467236F0" w:rsidR="00E52D5E" w:rsidRPr="00B86C8C" w:rsidRDefault="00E52D5E" w:rsidP="00B86C8C">
            <w:pPr>
              <w:jc w:val="center"/>
              <w:rPr>
                <w:szCs w:val="24"/>
              </w:rPr>
            </w:pPr>
          </w:p>
        </w:tc>
      </w:tr>
      <w:tr w:rsidR="00B86C8C" w:rsidRPr="00B86C8C" w14:paraId="47CBDA77" w14:textId="77777777" w:rsidTr="00E254B1">
        <w:tc>
          <w:tcPr>
            <w:tcW w:w="731" w:type="dxa"/>
          </w:tcPr>
          <w:p w14:paraId="04CFD584"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7.</w:t>
            </w:r>
          </w:p>
        </w:tc>
        <w:tc>
          <w:tcPr>
            <w:tcW w:w="4197" w:type="dxa"/>
          </w:tcPr>
          <w:p w14:paraId="343EDCBB" w14:textId="77777777" w:rsidR="00B86C8C" w:rsidRPr="00B86C8C" w:rsidRDefault="00B86C8C" w:rsidP="00B86C8C">
            <w:pPr>
              <w:jc w:val="both"/>
              <w:rPr>
                <w:szCs w:val="24"/>
                <w:highlight w:val="green"/>
                <w:lang w:eastAsia="en-US"/>
              </w:rPr>
            </w:pPr>
            <w:r w:rsidRPr="00B86C8C">
              <w:rPr>
                <w:szCs w:val="24"/>
              </w:rPr>
              <w:t>Pagrindo-dangos 60 mm storio sluoksnio iš AC 16 PD markės asfaltbetonio mišinio įrengimas</w:t>
            </w:r>
          </w:p>
        </w:tc>
        <w:tc>
          <w:tcPr>
            <w:tcW w:w="737" w:type="dxa"/>
            <w:vAlign w:val="center"/>
          </w:tcPr>
          <w:p w14:paraId="6AA6B91D" w14:textId="77777777" w:rsidR="00B86C8C" w:rsidRPr="00B86C8C" w:rsidRDefault="00B86C8C" w:rsidP="00B86C8C">
            <w:pPr>
              <w:jc w:val="center"/>
              <w:rPr>
                <w:color w:val="000000"/>
                <w:szCs w:val="24"/>
              </w:rPr>
            </w:pPr>
            <w:r w:rsidRPr="00B86C8C">
              <w:rPr>
                <w:color w:val="000000"/>
                <w:szCs w:val="24"/>
              </w:rPr>
              <w:t xml:space="preserve"> m²</w:t>
            </w:r>
          </w:p>
        </w:tc>
        <w:tc>
          <w:tcPr>
            <w:tcW w:w="1560" w:type="dxa"/>
            <w:vAlign w:val="center"/>
          </w:tcPr>
          <w:p w14:paraId="5EA20209" w14:textId="3AD920F9" w:rsidR="00B86C8C" w:rsidRDefault="00B86C8C" w:rsidP="00B86C8C">
            <w:pPr>
              <w:jc w:val="center"/>
              <w:rPr>
                <w:color w:val="000000"/>
                <w:szCs w:val="24"/>
              </w:rPr>
            </w:pPr>
            <w:r w:rsidRPr="00B86C8C">
              <w:rPr>
                <w:color w:val="000000"/>
                <w:szCs w:val="24"/>
              </w:rPr>
              <w:t>6000</w:t>
            </w:r>
          </w:p>
          <w:p w14:paraId="36D2C846" w14:textId="77777777" w:rsidR="00E52D5E" w:rsidRDefault="00E52D5E" w:rsidP="00B86C8C">
            <w:pPr>
              <w:jc w:val="center"/>
              <w:rPr>
                <w:color w:val="000000"/>
                <w:szCs w:val="24"/>
              </w:rPr>
            </w:pPr>
          </w:p>
          <w:p w14:paraId="19187CCE" w14:textId="38DBADA9" w:rsidR="00E52D5E" w:rsidRPr="00B86C8C" w:rsidRDefault="00E52D5E" w:rsidP="00B86C8C">
            <w:pPr>
              <w:jc w:val="center"/>
              <w:rPr>
                <w:color w:val="000000"/>
                <w:szCs w:val="24"/>
              </w:rPr>
            </w:pPr>
          </w:p>
        </w:tc>
        <w:tc>
          <w:tcPr>
            <w:tcW w:w="1105" w:type="dxa"/>
          </w:tcPr>
          <w:p w14:paraId="5B78BA8F" w14:textId="77777777" w:rsidR="00B86C8C" w:rsidRPr="00B86C8C" w:rsidRDefault="00B86C8C" w:rsidP="00B86C8C">
            <w:pPr>
              <w:jc w:val="center"/>
              <w:rPr>
                <w:szCs w:val="24"/>
              </w:rPr>
            </w:pPr>
            <w:r w:rsidRPr="00B86C8C">
              <w:rPr>
                <w:szCs w:val="24"/>
              </w:rPr>
              <w:t>23,14</w:t>
            </w:r>
          </w:p>
        </w:tc>
        <w:tc>
          <w:tcPr>
            <w:tcW w:w="1276" w:type="dxa"/>
            <w:vAlign w:val="bottom"/>
          </w:tcPr>
          <w:p w14:paraId="0DEFAAF9" w14:textId="77777777" w:rsidR="00B86C8C" w:rsidRDefault="00B86C8C" w:rsidP="00B86C8C">
            <w:pPr>
              <w:jc w:val="center"/>
              <w:rPr>
                <w:szCs w:val="24"/>
              </w:rPr>
            </w:pPr>
            <w:r w:rsidRPr="00B86C8C">
              <w:rPr>
                <w:szCs w:val="24"/>
              </w:rPr>
              <w:t>28,00</w:t>
            </w:r>
          </w:p>
          <w:p w14:paraId="4B88CBAB" w14:textId="77777777" w:rsidR="00E52D5E" w:rsidRDefault="00E52D5E" w:rsidP="00B86C8C">
            <w:pPr>
              <w:jc w:val="center"/>
              <w:rPr>
                <w:szCs w:val="24"/>
              </w:rPr>
            </w:pPr>
          </w:p>
          <w:p w14:paraId="4199E3FB" w14:textId="616A7148" w:rsidR="00E52D5E" w:rsidRPr="00B86C8C" w:rsidRDefault="00E52D5E" w:rsidP="00B86C8C">
            <w:pPr>
              <w:jc w:val="center"/>
              <w:rPr>
                <w:szCs w:val="24"/>
              </w:rPr>
            </w:pPr>
          </w:p>
        </w:tc>
      </w:tr>
      <w:tr w:rsidR="00B86C8C" w:rsidRPr="00B86C8C" w14:paraId="1E2340F8" w14:textId="77777777" w:rsidTr="00E254B1">
        <w:tc>
          <w:tcPr>
            <w:tcW w:w="731" w:type="dxa"/>
          </w:tcPr>
          <w:p w14:paraId="7288EF9A"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lastRenderedPageBreak/>
              <w:t>8.</w:t>
            </w:r>
          </w:p>
        </w:tc>
        <w:tc>
          <w:tcPr>
            <w:tcW w:w="4197" w:type="dxa"/>
          </w:tcPr>
          <w:p w14:paraId="0A5CE820" w14:textId="77777777" w:rsidR="00B86C8C" w:rsidRPr="00B86C8C" w:rsidRDefault="00B86C8C" w:rsidP="00B86C8C">
            <w:pPr>
              <w:jc w:val="both"/>
              <w:rPr>
                <w:szCs w:val="24"/>
                <w:highlight w:val="green"/>
                <w:lang w:eastAsia="en-US"/>
              </w:rPr>
            </w:pPr>
            <w:r w:rsidRPr="00B86C8C">
              <w:rPr>
                <w:szCs w:val="24"/>
              </w:rPr>
              <w:t>Pagrindo-dangos 80 mm storio sluoksnio iš AC 16 PD markės asfaltbetonio mišinio įrengimas</w:t>
            </w:r>
          </w:p>
        </w:tc>
        <w:tc>
          <w:tcPr>
            <w:tcW w:w="737" w:type="dxa"/>
            <w:vAlign w:val="center"/>
          </w:tcPr>
          <w:p w14:paraId="2941CCCC" w14:textId="77777777" w:rsidR="00B86C8C" w:rsidRPr="00B86C8C" w:rsidRDefault="00B86C8C" w:rsidP="00B86C8C">
            <w:pPr>
              <w:jc w:val="center"/>
              <w:rPr>
                <w:color w:val="000000"/>
                <w:szCs w:val="24"/>
              </w:rPr>
            </w:pPr>
            <w:r w:rsidRPr="00B86C8C">
              <w:rPr>
                <w:color w:val="000000"/>
                <w:szCs w:val="24"/>
              </w:rPr>
              <w:t>m²</w:t>
            </w:r>
          </w:p>
        </w:tc>
        <w:tc>
          <w:tcPr>
            <w:tcW w:w="1560" w:type="dxa"/>
            <w:vAlign w:val="center"/>
          </w:tcPr>
          <w:p w14:paraId="3D8D7B95" w14:textId="77777777" w:rsidR="00B86C8C" w:rsidRDefault="00B86C8C" w:rsidP="00B86C8C">
            <w:pPr>
              <w:jc w:val="center"/>
              <w:rPr>
                <w:color w:val="000000"/>
                <w:szCs w:val="24"/>
              </w:rPr>
            </w:pPr>
            <w:r w:rsidRPr="00B86C8C">
              <w:rPr>
                <w:color w:val="000000"/>
                <w:szCs w:val="24"/>
              </w:rPr>
              <w:t>20000</w:t>
            </w:r>
          </w:p>
          <w:p w14:paraId="3F3E9FF2" w14:textId="77777777" w:rsidR="00E52D5E" w:rsidRDefault="00E52D5E" w:rsidP="00B86C8C">
            <w:pPr>
              <w:jc w:val="center"/>
              <w:rPr>
                <w:color w:val="000000"/>
                <w:szCs w:val="24"/>
              </w:rPr>
            </w:pPr>
          </w:p>
          <w:p w14:paraId="5C5A7849" w14:textId="546B9BA3" w:rsidR="00E52D5E" w:rsidRPr="00B86C8C" w:rsidRDefault="00E52D5E" w:rsidP="00B86C8C">
            <w:pPr>
              <w:jc w:val="center"/>
              <w:rPr>
                <w:color w:val="000000"/>
                <w:szCs w:val="24"/>
              </w:rPr>
            </w:pPr>
          </w:p>
        </w:tc>
        <w:tc>
          <w:tcPr>
            <w:tcW w:w="1105" w:type="dxa"/>
          </w:tcPr>
          <w:p w14:paraId="15C581FB" w14:textId="77777777" w:rsidR="00B86C8C" w:rsidRPr="00B86C8C" w:rsidRDefault="00B86C8C" w:rsidP="00B86C8C">
            <w:pPr>
              <w:jc w:val="center"/>
              <w:rPr>
                <w:szCs w:val="24"/>
              </w:rPr>
            </w:pPr>
            <w:r w:rsidRPr="00B86C8C">
              <w:rPr>
                <w:szCs w:val="24"/>
              </w:rPr>
              <w:t>28,10</w:t>
            </w:r>
          </w:p>
        </w:tc>
        <w:tc>
          <w:tcPr>
            <w:tcW w:w="1276" w:type="dxa"/>
            <w:vAlign w:val="bottom"/>
          </w:tcPr>
          <w:p w14:paraId="2FC61E91" w14:textId="77777777" w:rsidR="00B86C8C" w:rsidRDefault="00B86C8C" w:rsidP="00B86C8C">
            <w:pPr>
              <w:jc w:val="center"/>
              <w:rPr>
                <w:szCs w:val="24"/>
              </w:rPr>
            </w:pPr>
            <w:r w:rsidRPr="00B86C8C">
              <w:rPr>
                <w:szCs w:val="24"/>
              </w:rPr>
              <w:t>34,00</w:t>
            </w:r>
          </w:p>
          <w:p w14:paraId="4280352E" w14:textId="77777777" w:rsidR="00E52D5E" w:rsidRDefault="00E52D5E" w:rsidP="00B86C8C">
            <w:pPr>
              <w:jc w:val="center"/>
              <w:rPr>
                <w:szCs w:val="24"/>
              </w:rPr>
            </w:pPr>
          </w:p>
          <w:p w14:paraId="55183E84" w14:textId="0AADA42E" w:rsidR="00E52D5E" w:rsidRPr="00B86C8C" w:rsidRDefault="00E52D5E" w:rsidP="00B86C8C">
            <w:pPr>
              <w:jc w:val="center"/>
              <w:rPr>
                <w:szCs w:val="24"/>
              </w:rPr>
            </w:pPr>
          </w:p>
        </w:tc>
      </w:tr>
      <w:tr w:rsidR="00B86C8C" w:rsidRPr="00B86C8C" w14:paraId="1932CBF7" w14:textId="77777777" w:rsidTr="00E254B1">
        <w:tc>
          <w:tcPr>
            <w:tcW w:w="731" w:type="dxa"/>
          </w:tcPr>
          <w:p w14:paraId="49803CF7"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9.</w:t>
            </w:r>
          </w:p>
        </w:tc>
        <w:tc>
          <w:tcPr>
            <w:tcW w:w="4197" w:type="dxa"/>
          </w:tcPr>
          <w:p w14:paraId="57AFA586" w14:textId="77777777" w:rsidR="00B86C8C" w:rsidRPr="00B86C8C" w:rsidRDefault="00B86C8C" w:rsidP="00B86C8C">
            <w:pPr>
              <w:jc w:val="both"/>
              <w:rPr>
                <w:szCs w:val="24"/>
                <w:lang w:eastAsia="en-US"/>
              </w:rPr>
            </w:pPr>
            <w:r w:rsidRPr="00B86C8C">
              <w:rPr>
                <w:szCs w:val="24"/>
              </w:rPr>
              <w:t>Šulinio dangčio ar vandens surinkimo grotelių aukščio sureguliavimas (iki 10 cm) su asfaltbetonio danga</w:t>
            </w:r>
          </w:p>
        </w:tc>
        <w:tc>
          <w:tcPr>
            <w:tcW w:w="737" w:type="dxa"/>
            <w:vAlign w:val="center"/>
          </w:tcPr>
          <w:p w14:paraId="086DDEB3" w14:textId="4A3B1F99" w:rsidR="00B86C8C" w:rsidRPr="00B86C8C" w:rsidRDefault="00B86C8C" w:rsidP="00B86C8C">
            <w:pPr>
              <w:jc w:val="center"/>
              <w:rPr>
                <w:color w:val="000000"/>
                <w:szCs w:val="24"/>
              </w:rPr>
            </w:pPr>
            <w:r>
              <w:rPr>
                <w:color w:val="000000"/>
                <w:szCs w:val="24"/>
              </w:rPr>
              <w:t>v</w:t>
            </w:r>
            <w:r w:rsidRPr="00B86C8C">
              <w:rPr>
                <w:color w:val="000000"/>
                <w:szCs w:val="24"/>
              </w:rPr>
              <w:t>nt</w:t>
            </w:r>
            <w:r>
              <w:rPr>
                <w:color w:val="000000"/>
                <w:szCs w:val="24"/>
              </w:rPr>
              <w:t>.</w:t>
            </w:r>
          </w:p>
        </w:tc>
        <w:tc>
          <w:tcPr>
            <w:tcW w:w="1560" w:type="dxa"/>
            <w:vAlign w:val="center"/>
          </w:tcPr>
          <w:p w14:paraId="3A7CC1AD" w14:textId="77777777" w:rsidR="00B86C8C" w:rsidRDefault="00B86C8C" w:rsidP="00B86C8C">
            <w:pPr>
              <w:jc w:val="center"/>
              <w:rPr>
                <w:color w:val="000000"/>
                <w:szCs w:val="24"/>
              </w:rPr>
            </w:pPr>
            <w:r w:rsidRPr="00B86C8C">
              <w:rPr>
                <w:color w:val="000000"/>
                <w:szCs w:val="24"/>
              </w:rPr>
              <w:t>300</w:t>
            </w:r>
          </w:p>
          <w:p w14:paraId="425605AE" w14:textId="77777777" w:rsidR="00E52D5E" w:rsidRDefault="00E52D5E" w:rsidP="00B86C8C">
            <w:pPr>
              <w:jc w:val="center"/>
              <w:rPr>
                <w:color w:val="000000"/>
                <w:szCs w:val="24"/>
              </w:rPr>
            </w:pPr>
          </w:p>
          <w:p w14:paraId="7A052468" w14:textId="11BE086D" w:rsidR="00E52D5E" w:rsidRPr="00B86C8C" w:rsidRDefault="00E52D5E" w:rsidP="00B86C8C">
            <w:pPr>
              <w:jc w:val="center"/>
              <w:rPr>
                <w:color w:val="000000"/>
                <w:szCs w:val="24"/>
              </w:rPr>
            </w:pPr>
          </w:p>
        </w:tc>
        <w:tc>
          <w:tcPr>
            <w:tcW w:w="1105" w:type="dxa"/>
          </w:tcPr>
          <w:p w14:paraId="3252B081" w14:textId="77777777" w:rsidR="00B86C8C" w:rsidRPr="00B86C8C" w:rsidRDefault="00B86C8C" w:rsidP="00B86C8C">
            <w:pPr>
              <w:jc w:val="center"/>
              <w:rPr>
                <w:szCs w:val="24"/>
              </w:rPr>
            </w:pPr>
            <w:r w:rsidRPr="00B86C8C">
              <w:rPr>
                <w:szCs w:val="24"/>
              </w:rPr>
              <w:t>181,82</w:t>
            </w:r>
          </w:p>
        </w:tc>
        <w:tc>
          <w:tcPr>
            <w:tcW w:w="1276" w:type="dxa"/>
            <w:vAlign w:val="bottom"/>
          </w:tcPr>
          <w:p w14:paraId="49E3215D" w14:textId="77777777" w:rsidR="00B86C8C" w:rsidRDefault="00B86C8C" w:rsidP="00B86C8C">
            <w:pPr>
              <w:jc w:val="center"/>
              <w:rPr>
                <w:szCs w:val="24"/>
              </w:rPr>
            </w:pPr>
            <w:r w:rsidRPr="00B86C8C">
              <w:rPr>
                <w:szCs w:val="24"/>
              </w:rPr>
              <w:t>220,00</w:t>
            </w:r>
          </w:p>
          <w:p w14:paraId="572BEEA0" w14:textId="77777777" w:rsidR="00E52D5E" w:rsidRDefault="00E52D5E" w:rsidP="00B86C8C">
            <w:pPr>
              <w:jc w:val="center"/>
              <w:rPr>
                <w:szCs w:val="24"/>
              </w:rPr>
            </w:pPr>
          </w:p>
          <w:p w14:paraId="294A0F1E" w14:textId="6D14EF44" w:rsidR="00E52D5E" w:rsidRPr="00B86C8C" w:rsidRDefault="00E52D5E" w:rsidP="00B86C8C">
            <w:pPr>
              <w:jc w:val="center"/>
              <w:rPr>
                <w:szCs w:val="24"/>
              </w:rPr>
            </w:pPr>
          </w:p>
        </w:tc>
      </w:tr>
      <w:tr w:rsidR="00B86C8C" w:rsidRPr="00B86C8C" w14:paraId="1CA93DAE" w14:textId="77777777" w:rsidTr="00E254B1">
        <w:tc>
          <w:tcPr>
            <w:tcW w:w="731" w:type="dxa"/>
          </w:tcPr>
          <w:p w14:paraId="4CC782F2"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10.</w:t>
            </w:r>
          </w:p>
        </w:tc>
        <w:tc>
          <w:tcPr>
            <w:tcW w:w="4197" w:type="dxa"/>
          </w:tcPr>
          <w:p w14:paraId="1CF74AF1" w14:textId="77777777" w:rsidR="00B86C8C" w:rsidRPr="00B86C8C" w:rsidRDefault="00B86C8C" w:rsidP="00B86C8C">
            <w:pPr>
              <w:jc w:val="both"/>
              <w:rPr>
                <w:szCs w:val="24"/>
                <w:lang w:eastAsia="en-US"/>
              </w:rPr>
            </w:pPr>
            <w:r w:rsidRPr="00B86C8C">
              <w:rPr>
                <w:rFonts w:eastAsia="Calibri"/>
                <w:szCs w:val="24"/>
              </w:rPr>
              <w:t>Šulinių dangčio įrengimas</w:t>
            </w:r>
          </w:p>
        </w:tc>
        <w:tc>
          <w:tcPr>
            <w:tcW w:w="737" w:type="dxa"/>
            <w:vAlign w:val="center"/>
          </w:tcPr>
          <w:p w14:paraId="5602CEE6" w14:textId="77777777" w:rsidR="00B86C8C" w:rsidRPr="00B86C8C" w:rsidRDefault="00B86C8C" w:rsidP="00B86C8C">
            <w:pPr>
              <w:jc w:val="center"/>
              <w:rPr>
                <w:color w:val="000000"/>
                <w:szCs w:val="24"/>
              </w:rPr>
            </w:pPr>
            <w:r w:rsidRPr="00B86C8C">
              <w:rPr>
                <w:color w:val="000000"/>
                <w:szCs w:val="24"/>
              </w:rPr>
              <w:t xml:space="preserve"> vnt.</w:t>
            </w:r>
          </w:p>
        </w:tc>
        <w:tc>
          <w:tcPr>
            <w:tcW w:w="1560" w:type="dxa"/>
            <w:vAlign w:val="center"/>
          </w:tcPr>
          <w:p w14:paraId="44C8351B" w14:textId="77777777" w:rsidR="00B86C8C" w:rsidRPr="00B86C8C" w:rsidRDefault="00B86C8C" w:rsidP="00B86C8C">
            <w:pPr>
              <w:jc w:val="center"/>
              <w:rPr>
                <w:color w:val="000000"/>
                <w:szCs w:val="24"/>
              </w:rPr>
            </w:pPr>
            <w:r w:rsidRPr="00B86C8C">
              <w:rPr>
                <w:color w:val="000000"/>
                <w:szCs w:val="24"/>
              </w:rPr>
              <w:t>300</w:t>
            </w:r>
          </w:p>
        </w:tc>
        <w:tc>
          <w:tcPr>
            <w:tcW w:w="1105" w:type="dxa"/>
          </w:tcPr>
          <w:p w14:paraId="4FAA27B2" w14:textId="77777777" w:rsidR="00B86C8C" w:rsidRPr="00B86C8C" w:rsidRDefault="00B86C8C" w:rsidP="00B86C8C">
            <w:pPr>
              <w:jc w:val="center"/>
              <w:rPr>
                <w:szCs w:val="24"/>
              </w:rPr>
            </w:pPr>
            <w:r w:rsidRPr="00B86C8C">
              <w:rPr>
                <w:szCs w:val="24"/>
              </w:rPr>
              <w:t>272,73</w:t>
            </w:r>
          </w:p>
        </w:tc>
        <w:tc>
          <w:tcPr>
            <w:tcW w:w="1276" w:type="dxa"/>
            <w:vAlign w:val="bottom"/>
          </w:tcPr>
          <w:p w14:paraId="4DC1BE2A" w14:textId="77777777" w:rsidR="00B86C8C" w:rsidRPr="00B86C8C" w:rsidRDefault="00B86C8C" w:rsidP="00B86C8C">
            <w:pPr>
              <w:jc w:val="center"/>
              <w:rPr>
                <w:szCs w:val="24"/>
              </w:rPr>
            </w:pPr>
            <w:r w:rsidRPr="00B86C8C">
              <w:rPr>
                <w:szCs w:val="24"/>
              </w:rPr>
              <w:t>330,00</w:t>
            </w:r>
          </w:p>
        </w:tc>
      </w:tr>
      <w:tr w:rsidR="00B86C8C" w:rsidRPr="00B86C8C" w14:paraId="1B135C48" w14:textId="77777777" w:rsidTr="00E254B1">
        <w:tc>
          <w:tcPr>
            <w:tcW w:w="731" w:type="dxa"/>
          </w:tcPr>
          <w:p w14:paraId="23B00FAF"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11.</w:t>
            </w:r>
          </w:p>
        </w:tc>
        <w:tc>
          <w:tcPr>
            <w:tcW w:w="4197" w:type="dxa"/>
          </w:tcPr>
          <w:p w14:paraId="34566D63" w14:textId="77777777" w:rsidR="00B86C8C" w:rsidRPr="00B86C8C" w:rsidRDefault="00B86C8C" w:rsidP="00B86C8C">
            <w:pPr>
              <w:jc w:val="both"/>
              <w:rPr>
                <w:szCs w:val="24"/>
              </w:rPr>
            </w:pPr>
            <w:r w:rsidRPr="00B86C8C">
              <w:rPr>
                <w:szCs w:val="24"/>
              </w:rPr>
              <w:t>Plastikinių lietaus nuotekų šulinių montavimas, kai šulinių skersmuo iki 425 mm, h- iki 2 m., su „plaukiojančio“ tipo dangčiu (liuku) su grotelėmis</w:t>
            </w:r>
          </w:p>
        </w:tc>
        <w:tc>
          <w:tcPr>
            <w:tcW w:w="737" w:type="dxa"/>
            <w:vAlign w:val="center"/>
          </w:tcPr>
          <w:p w14:paraId="72AF4D5F" w14:textId="6CA66EC1" w:rsidR="00B86C8C" w:rsidRPr="00B86C8C" w:rsidRDefault="00B86C8C" w:rsidP="00B86C8C">
            <w:pPr>
              <w:jc w:val="center"/>
              <w:rPr>
                <w:color w:val="000000"/>
                <w:szCs w:val="24"/>
              </w:rPr>
            </w:pPr>
            <w:r>
              <w:rPr>
                <w:color w:val="000000"/>
                <w:szCs w:val="24"/>
              </w:rPr>
              <w:t>v</w:t>
            </w:r>
            <w:r w:rsidRPr="00B86C8C">
              <w:rPr>
                <w:color w:val="000000"/>
                <w:szCs w:val="24"/>
              </w:rPr>
              <w:t>nt</w:t>
            </w:r>
            <w:r>
              <w:rPr>
                <w:color w:val="000000"/>
                <w:szCs w:val="24"/>
              </w:rPr>
              <w:t>.</w:t>
            </w:r>
          </w:p>
        </w:tc>
        <w:tc>
          <w:tcPr>
            <w:tcW w:w="1560" w:type="dxa"/>
            <w:vAlign w:val="center"/>
          </w:tcPr>
          <w:p w14:paraId="09C71A33" w14:textId="77777777" w:rsidR="00B86C8C" w:rsidRDefault="00B86C8C" w:rsidP="00B86C8C">
            <w:pPr>
              <w:jc w:val="center"/>
              <w:rPr>
                <w:color w:val="000000"/>
                <w:szCs w:val="24"/>
              </w:rPr>
            </w:pPr>
            <w:r w:rsidRPr="00B86C8C">
              <w:rPr>
                <w:color w:val="000000"/>
                <w:szCs w:val="24"/>
              </w:rPr>
              <w:t>20</w:t>
            </w:r>
          </w:p>
          <w:p w14:paraId="233EB2F5" w14:textId="77777777" w:rsidR="00E52D5E" w:rsidRDefault="00E52D5E" w:rsidP="00B86C8C">
            <w:pPr>
              <w:jc w:val="center"/>
              <w:rPr>
                <w:color w:val="000000"/>
                <w:szCs w:val="24"/>
              </w:rPr>
            </w:pPr>
          </w:p>
          <w:p w14:paraId="3C20E2C3" w14:textId="77777777" w:rsidR="00E52D5E" w:rsidRDefault="00E52D5E" w:rsidP="00B86C8C">
            <w:pPr>
              <w:jc w:val="center"/>
              <w:rPr>
                <w:color w:val="000000"/>
                <w:szCs w:val="24"/>
              </w:rPr>
            </w:pPr>
          </w:p>
          <w:p w14:paraId="4A38309E" w14:textId="56880B28" w:rsidR="00E52D5E" w:rsidRPr="00B86C8C" w:rsidRDefault="00E52D5E" w:rsidP="00B86C8C">
            <w:pPr>
              <w:jc w:val="center"/>
              <w:rPr>
                <w:color w:val="000000"/>
                <w:szCs w:val="24"/>
              </w:rPr>
            </w:pPr>
          </w:p>
        </w:tc>
        <w:tc>
          <w:tcPr>
            <w:tcW w:w="1105" w:type="dxa"/>
          </w:tcPr>
          <w:p w14:paraId="68AE0805" w14:textId="77777777" w:rsidR="00B86C8C" w:rsidRPr="00B86C8C" w:rsidRDefault="00B86C8C" w:rsidP="00B86C8C">
            <w:pPr>
              <w:jc w:val="center"/>
              <w:rPr>
                <w:szCs w:val="24"/>
              </w:rPr>
            </w:pPr>
            <w:r w:rsidRPr="00B86C8C">
              <w:rPr>
                <w:szCs w:val="24"/>
              </w:rPr>
              <w:t>404,96</w:t>
            </w:r>
          </w:p>
        </w:tc>
        <w:tc>
          <w:tcPr>
            <w:tcW w:w="1276" w:type="dxa"/>
            <w:vAlign w:val="bottom"/>
          </w:tcPr>
          <w:p w14:paraId="74922568" w14:textId="77777777" w:rsidR="00B86C8C" w:rsidRDefault="00B86C8C" w:rsidP="00B86C8C">
            <w:pPr>
              <w:jc w:val="center"/>
              <w:rPr>
                <w:szCs w:val="24"/>
              </w:rPr>
            </w:pPr>
            <w:r w:rsidRPr="00B86C8C">
              <w:rPr>
                <w:szCs w:val="24"/>
              </w:rPr>
              <w:t>490,00</w:t>
            </w:r>
          </w:p>
          <w:p w14:paraId="48408314" w14:textId="77777777" w:rsidR="00E52D5E" w:rsidRDefault="00E52D5E" w:rsidP="00B86C8C">
            <w:pPr>
              <w:jc w:val="center"/>
              <w:rPr>
                <w:szCs w:val="24"/>
              </w:rPr>
            </w:pPr>
          </w:p>
          <w:p w14:paraId="597F0D88" w14:textId="77777777" w:rsidR="00E52D5E" w:rsidRDefault="00E52D5E" w:rsidP="00B86C8C">
            <w:pPr>
              <w:jc w:val="center"/>
              <w:rPr>
                <w:szCs w:val="24"/>
              </w:rPr>
            </w:pPr>
          </w:p>
          <w:p w14:paraId="777693DC" w14:textId="2000CB2C" w:rsidR="00E52D5E" w:rsidRPr="00B86C8C" w:rsidRDefault="00E52D5E" w:rsidP="00B86C8C">
            <w:pPr>
              <w:jc w:val="center"/>
              <w:rPr>
                <w:szCs w:val="24"/>
              </w:rPr>
            </w:pPr>
          </w:p>
        </w:tc>
      </w:tr>
      <w:tr w:rsidR="00B86C8C" w:rsidRPr="00B86C8C" w14:paraId="13A3071D" w14:textId="77777777" w:rsidTr="00E254B1">
        <w:tc>
          <w:tcPr>
            <w:tcW w:w="731" w:type="dxa"/>
          </w:tcPr>
          <w:p w14:paraId="50C7E549"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12.</w:t>
            </w:r>
          </w:p>
        </w:tc>
        <w:tc>
          <w:tcPr>
            <w:tcW w:w="4197" w:type="dxa"/>
          </w:tcPr>
          <w:p w14:paraId="1FB40507" w14:textId="77777777" w:rsidR="00B86C8C" w:rsidRPr="00B86C8C" w:rsidRDefault="00B86C8C" w:rsidP="00B86C8C">
            <w:pPr>
              <w:jc w:val="both"/>
              <w:rPr>
                <w:szCs w:val="24"/>
                <w:lang w:eastAsia="en-US"/>
              </w:rPr>
            </w:pPr>
            <w:r w:rsidRPr="00B86C8C">
              <w:rPr>
                <w:szCs w:val="24"/>
              </w:rPr>
              <w:t xml:space="preserve">Betoninių kelio bortų įrengimas </w:t>
            </w:r>
          </w:p>
        </w:tc>
        <w:tc>
          <w:tcPr>
            <w:tcW w:w="737" w:type="dxa"/>
            <w:vAlign w:val="center"/>
          </w:tcPr>
          <w:p w14:paraId="58319969" w14:textId="77777777" w:rsidR="00B86C8C" w:rsidRPr="00B86C8C" w:rsidRDefault="00B86C8C" w:rsidP="00B86C8C">
            <w:pPr>
              <w:jc w:val="center"/>
              <w:rPr>
                <w:color w:val="000000"/>
                <w:szCs w:val="24"/>
              </w:rPr>
            </w:pPr>
            <w:r w:rsidRPr="00B86C8C">
              <w:rPr>
                <w:color w:val="000000"/>
                <w:szCs w:val="24"/>
              </w:rPr>
              <w:t>m</w:t>
            </w:r>
          </w:p>
        </w:tc>
        <w:tc>
          <w:tcPr>
            <w:tcW w:w="1560" w:type="dxa"/>
            <w:vAlign w:val="center"/>
          </w:tcPr>
          <w:p w14:paraId="01D73002" w14:textId="77777777" w:rsidR="00B86C8C" w:rsidRPr="00B86C8C" w:rsidRDefault="00B86C8C" w:rsidP="00B86C8C">
            <w:pPr>
              <w:jc w:val="center"/>
              <w:rPr>
                <w:color w:val="000000"/>
                <w:szCs w:val="24"/>
              </w:rPr>
            </w:pPr>
            <w:r w:rsidRPr="00B86C8C">
              <w:rPr>
                <w:color w:val="000000"/>
                <w:szCs w:val="24"/>
              </w:rPr>
              <w:t>4000</w:t>
            </w:r>
          </w:p>
        </w:tc>
        <w:tc>
          <w:tcPr>
            <w:tcW w:w="1105" w:type="dxa"/>
          </w:tcPr>
          <w:p w14:paraId="37596E8E" w14:textId="77777777" w:rsidR="00B86C8C" w:rsidRPr="00B86C8C" w:rsidRDefault="00B86C8C" w:rsidP="00B86C8C">
            <w:pPr>
              <w:jc w:val="center"/>
              <w:rPr>
                <w:szCs w:val="24"/>
              </w:rPr>
            </w:pPr>
            <w:r w:rsidRPr="00B86C8C">
              <w:rPr>
                <w:szCs w:val="24"/>
              </w:rPr>
              <w:t>43,80</w:t>
            </w:r>
          </w:p>
        </w:tc>
        <w:tc>
          <w:tcPr>
            <w:tcW w:w="1276" w:type="dxa"/>
            <w:vAlign w:val="bottom"/>
          </w:tcPr>
          <w:p w14:paraId="7CF30F68" w14:textId="77777777" w:rsidR="00B86C8C" w:rsidRPr="00B86C8C" w:rsidRDefault="00B86C8C" w:rsidP="00B86C8C">
            <w:pPr>
              <w:jc w:val="center"/>
              <w:rPr>
                <w:szCs w:val="24"/>
              </w:rPr>
            </w:pPr>
            <w:r w:rsidRPr="00B86C8C">
              <w:rPr>
                <w:szCs w:val="24"/>
              </w:rPr>
              <w:t>53,00</w:t>
            </w:r>
          </w:p>
        </w:tc>
      </w:tr>
      <w:tr w:rsidR="00B86C8C" w:rsidRPr="00B86C8C" w14:paraId="52454A40" w14:textId="77777777" w:rsidTr="00E254B1">
        <w:tc>
          <w:tcPr>
            <w:tcW w:w="731" w:type="dxa"/>
          </w:tcPr>
          <w:p w14:paraId="7054A099"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13.</w:t>
            </w:r>
          </w:p>
        </w:tc>
        <w:tc>
          <w:tcPr>
            <w:tcW w:w="4197" w:type="dxa"/>
          </w:tcPr>
          <w:p w14:paraId="79A20F34" w14:textId="77777777" w:rsidR="00B86C8C" w:rsidRPr="00B86C8C" w:rsidRDefault="00B86C8C" w:rsidP="00B86C8C">
            <w:pPr>
              <w:jc w:val="both"/>
              <w:rPr>
                <w:szCs w:val="24"/>
              </w:rPr>
            </w:pPr>
            <w:r w:rsidRPr="00B86C8C">
              <w:rPr>
                <w:szCs w:val="24"/>
              </w:rPr>
              <w:t>Sandūros tarp bordiūrų ir gatvės dangos užtaisymas amortizacine (sandarinimo) juosta</w:t>
            </w:r>
          </w:p>
        </w:tc>
        <w:tc>
          <w:tcPr>
            <w:tcW w:w="737" w:type="dxa"/>
            <w:vAlign w:val="center"/>
          </w:tcPr>
          <w:p w14:paraId="592E4762" w14:textId="77777777" w:rsidR="00B86C8C" w:rsidRPr="00B86C8C" w:rsidRDefault="00B86C8C" w:rsidP="00B86C8C">
            <w:pPr>
              <w:jc w:val="center"/>
              <w:rPr>
                <w:color w:val="000000"/>
                <w:szCs w:val="24"/>
              </w:rPr>
            </w:pPr>
            <w:r w:rsidRPr="00B86C8C">
              <w:rPr>
                <w:color w:val="000000"/>
                <w:szCs w:val="24"/>
              </w:rPr>
              <w:t>m</w:t>
            </w:r>
          </w:p>
        </w:tc>
        <w:tc>
          <w:tcPr>
            <w:tcW w:w="1560" w:type="dxa"/>
            <w:vAlign w:val="center"/>
          </w:tcPr>
          <w:p w14:paraId="33170790" w14:textId="77777777" w:rsidR="00B86C8C" w:rsidRDefault="00B86C8C" w:rsidP="00B86C8C">
            <w:pPr>
              <w:jc w:val="center"/>
              <w:rPr>
                <w:color w:val="000000"/>
                <w:szCs w:val="24"/>
              </w:rPr>
            </w:pPr>
            <w:r w:rsidRPr="00B86C8C">
              <w:rPr>
                <w:color w:val="000000"/>
                <w:szCs w:val="24"/>
              </w:rPr>
              <w:t>5000</w:t>
            </w:r>
          </w:p>
          <w:p w14:paraId="172934A4" w14:textId="77777777" w:rsidR="00E52D5E" w:rsidRDefault="00E52D5E" w:rsidP="00B86C8C">
            <w:pPr>
              <w:jc w:val="center"/>
              <w:rPr>
                <w:color w:val="000000"/>
                <w:szCs w:val="24"/>
              </w:rPr>
            </w:pPr>
          </w:p>
          <w:p w14:paraId="5F75606D" w14:textId="1A67B220" w:rsidR="00E52D5E" w:rsidRPr="00B86C8C" w:rsidRDefault="00E52D5E" w:rsidP="00B86C8C">
            <w:pPr>
              <w:jc w:val="center"/>
              <w:rPr>
                <w:color w:val="000000"/>
                <w:szCs w:val="24"/>
              </w:rPr>
            </w:pPr>
          </w:p>
        </w:tc>
        <w:tc>
          <w:tcPr>
            <w:tcW w:w="1105" w:type="dxa"/>
          </w:tcPr>
          <w:p w14:paraId="35013008" w14:textId="77777777" w:rsidR="00B86C8C" w:rsidRPr="00B86C8C" w:rsidRDefault="00B86C8C" w:rsidP="00B86C8C">
            <w:pPr>
              <w:jc w:val="center"/>
              <w:rPr>
                <w:szCs w:val="24"/>
              </w:rPr>
            </w:pPr>
            <w:r w:rsidRPr="00B86C8C">
              <w:rPr>
                <w:szCs w:val="24"/>
              </w:rPr>
              <w:t>3,72</w:t>
            </w:r>
          </w:p>
        </w:tc>
        <w:tc>
          <w:tcPr>
            <w:tcW w:w="1276" w:type="dxa"/>
            <w:vAlign w:val="bottom"/>
          </w:tcPr>
          <w:p w14:paraId="316196E0" w14:textId="77777777" w:rsidR="00B86C8C" w:rsidRDefault="00B86C8C" w:rsidP="00B86C8C">
            <w:pPr>
              <w:jc w:val="center"/>
              <w:rPr>
                <w:szCs w:val="24"/>
              </w:rPr>
            </w:pPr>
            <w:r w:rsidRPr="00B86C8C">
              <w:rPr>
                <w:szCs w:val="24"/>
              </w:rPr>
              <w:t>4,50</w:t>
            </w:r>
          </w:p>
          <w:p w14:paraId="3C7F32E2" w14:textId="77777777" w:rsidR="00E52D5E" w:rsidRDefault="00E52D5E" w:rsidP="00B86C8C">
            <w:pPr>
              <w:jc w:val="center"/>
              <w:rPr>
                <w:szCs w:val="24"/>
              </w:rPr>
            </w:pPr>
          </w:p>
          <w:p w14:paraId="099C751B" w14:textId="5162457F" w:rsidR="00E52D5E" w:rsidRPr="00B86C8C" w:rsidRDefault="00E52D5E" w:rsidP="00E52D5E">
            <w:pPr>
              <w:rPr>
                <w:szCs w:val="24"/>
              </w:rPr>
            </w:pPr>
          </w:p>
        </w:tc>
      </w:tr>
      <w:tr w:rsidR="00B86C8C" w:rsidRPr="00B86C8C" w14:paraId="727A2D85" w14:textId="77777777" w:rsidTr="00E254B1">
        <w:trPr>
          <w:trHeight w:val="190"/>
        </w:trPr>
        <w:tc>
          <w:tcPr>
            <w:tcW w:w="731" w:type="dxa"/>
          </w:tcPr>
          <w:p w14:paraId="473E50FE"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14.</w:t>
            </w:r>
          </w:p>
        </w:tc>
        <w:tc>
          <w:tcPr>
            <w:tcW w:w="4197" w:type="dxa"/>
          </w:tcPr>
          <w:p w14:paraId="3CB5EEA6" w14:textId="77777777" w:rsidR="00B86C8C" w:rsidRPr="00B86C8C" w:rsidRDefault="00B86C8C" w:rsidP="00B86C8C">
            <w:pPr>
              <w:jc w:val="both"/>
              <w:rPr>
                <w:szCs w:val="24"/>
                <w:lang w:eastAsia="en-US"/>
              </w:rPr>
            </w:pPr>
            <w:r w:rsidRPr="00B86C8C">
              <w:rPr>
                <w:szCs w:val="24"/>
              </w:rPr>
              <w:t>Betoninių kelio bortų išardymas</w:t>
            </w:r>
          </w:p>
        </w:tc>
        <w:tc>
          <w:tcPr>
            <w:tcW w:w="737" w:type="dxa"/>
            <w:vAlign w:val="center"/>
          </w:tcPr>
          <w:p w14:paraId="2A912FFF" w14:textId="77777777" w:rsidR="00B86C8C" w:rsidRPr="00B86C8C" w:rsidRDefault="00B86C8C" w:rsidP="00E254B1">
            <w:pPr>
              <w:jc w:val="center"/>
              <w:rPr>
                <w:color w:val="000000"/>
                <w:szCs w:val="24"/>
              </w:rPr>
            </w:pPr>
            <w:r w:rsidRPr="00B86C8C">
              <w:rPr>
                <w:color w:val="000000"/>
                <w:szCs w:val="24"/>
              </w:rPr>
              <w:t>m</w:t>
            </w:r>
          </w:p>
        </w:tc>
        <w:tc>
          <w:tcPr>
            <w:tcW w:w="1560" w:type="dxa"/>
            <w:vAlign w:val="center"/>
          </w:tcPr>
          <w:p w14:paraId="1EEB0D60" w14:textId="77777777" w:rsidR="00B86C8C" w:rsidRPr="00B86C8C" w:rsidRDefault="00B86C8C" w:rsidP="00E254B1">
            <w:pPr>
              <w:jc w:val="center"/>
              <w:rPr>
                <w:color w:val="000000"/>
                <w:szCs w:val="24"/>
              </w:rPr>
            </w:pPr>
            <w:r w:rsidRPr="00B86C8C">
              <w:rPr>
                <w:color w:val="000000"/>
                <w:szCs w:val="24"/>
              </w:rPr>
              <w:t>4000</w:t>
            </w:r>
          </w:p>
        </w:tc>
        <w:tc>
          <w:tcPr>
            <w:tcW w:w="1105" w:type="dxa"/>
          </w:tcPr>
          <w:p w14:paraId="3A6CD725" w14:textId="77777777" w:rsidR="00B86C8C" w:rsidRPr="00B86C8C" w:rsidRDefault="00B86C8C" w:rsidP="00B86C8C">
            <w:pPr>
              <w:jc w:val="center"/>
              <w:rPr>
                <w:szCs w:val="24"/>
              </w:rPr>
            </w:pPr>
            <w:r w:rsidRPr="00B86C8C">
              <w:rPr>
                <w:szCs w:val="24"/>
              </w:rPr>
              <w:t>17,37</w:t>
            </w:r>
          </w:p>
        </w:tc>
        <w:tc>
          <w:tcPr>
            <w:tcW w:w="1276" w:type="dxa"/>
            <w:vAlign w:val="bottom"/>
          </w:tcPr>
          <w:p w14:paraId="4D19D12B" w14:textId="4FE36266" w:rsidR="00B86C8C" w:rsidRPr="00B86C8C" w:rsidRDefault="00E254B1" w:rsidP="00E254B1">
            <w:pPr>
              <w:jc w:val="center"/>
              <w:rPr>
                <w:szCs w:val="24"/>
              </w:rPr>
            </w:pPr>
            <w:r>
              <w:rPr>
                <w:szCs w:val="24"/>
              </w:rPr>
              <w:t>21,02</w:t>
            </w:r>
          </w:p>
        </w:tc>
      </w:tr>
      <w:tr w:rsidR="00B86C8C" w:rsidRPr="00B86C8C" w14:paraId="4E0B3AB8" w14:textId="77777777" w:rsidTr="00E254B1">
        <w:tc>
          <w:tcPr>
            <w:tcW w:w="731" w:type="dxa"/>
          </w:tcPr>
          <w:p w14:paraId="54312B6B"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15.</w:t>
            </w:r>
          </w:p>
        </w:tc>
        <w:tc>
          <w:tcPr>
            <w:tcW w:w="4197" w:type="dxa"/>
          </w:tcPr>
          <w:p w14:paraId="7D5B9B7B" w14:textId="77777777" w:rsidR="00B86C8C" w:rsidRPr="00B86C8C" w:rsidRDefault="00B86C8C" w:rsidP="00B86C8C">
            <w:pPr>
              <w:rPr>
                <w:szCs w:val="24"/>
              </w:rPr>
            </w:pPr>
            <w:r w:rsidRPr="00B86C8C">
              <w:rPr>
                <w:rFonts w:eastAsia="Calibri"/>
                <w:szCs w:val="24"/>
              </w:rPr>
              <w:t>Pagrindų įrengimas:</w:t>
            </w:r>
          </w:p>
        </w:tc>
        <w:tc>
          <w:tcPr>
            <w:tcW w:w="737" w:type="dxa"/>
            <w:vAlign w:val="center"/>
          </w:tcPr>
          <w:p w14:paraId="3E68C84D" w14:textId="77777777" w:rsidR="00B86C8C" w:rsidRPr="00B86C8C" w:rsidRDefault="00B86C8C" w:rsidP="00B86C8C">
            <w:pPr>
              <w:jc w:val="center"/>
              <w:rPr>
                <w:color w:val="000000"/>
                <w:szCs w:val="24"/>
              </w:rPr>
            </w:pPr>
            <w:r w:rsidRPr="00B86C8C">
              <w:rPr>
                <w:color w:val="000000"/>
                <w:szCs w:val="24"/>
              </w:rPr>
              <w:t>-</w:t>
            </w:r>
          </w:p>
        </w:tc>
        <w:tc>
          <w:tcPr>
            <w:tcW w:w="1560" w:type="dxa"/>
            <w:vAlign w:val="center"/>
          </w:tcPr>
          <w:p w14:paraId="54D90D4F" w14:textId="77777777" w:rsidR="00B86C8C" w:rsidRPr="00B86C8C" w:rsidRDefault="00B86C8C" w:rsidP="00B86C8C">
            <w:pPr>
              <w:jc w:val="center"/>
              <w:rPr>
                <w:szCs w:val="24"/>
              </w:rPr>
            </w:pPr>
            <w:r w:rsidRPr="00B86C8C">
              <w:rPr>
                <w:szCs w:val="24"/>
              </w:rPr>
              <w:t>-</w:t>
            </w:r>
          </w:p>
        </w:tc>
        <w:tc>
          <w:tcPr>
            <w:tcW w:w="1105" w:type="dxa"/>
          </w:tcPr>
          <w:p w14:paraId="25E079A6" w14:textId="77777777" w:rsidR="00B86C8C" w:rsidRPr="00B86C8C" w:rsidRDefault="00B86C8C" w:rsidP="00B86C8C">
            <w:pPr>
              <w:jc w:val="center"/>
              <w:rPr>
                <w:szCs w:val="24"/>
                <w:lang w:eastAsia="en-US"/>
              </w:rPr>
            </w:pPr>
            <w:r w:rsidRPr="00B86C8C">
              <w:rPr>
                <w:szCs w:val="24"/>
                <w:lang w:eastAsia="en-US"/>
              </w:rPr>
              <w:t>-</w:t>
            </w:r>
          </w:p>
        </w:tc>
        <w:tc>
          <w:tcPr>
            <w:tcW w:w="1276" w:type="dxa"/>
            <w:vAlign w:val="bottom"/>
          </w:tcPr>
          <w:p w14:paraId="2FA7A900" w14:textId="77777777" w:rsidR="00B86C8C" w:rsidRPr="00B86C8C" w:rsidRDefault="00B86C8C" w:rsidP="00B86C8C">
            <w:pPr>
              <w:jc w:val="center"/>
              <w:rPr>
                <w:szCs w:val="24"/>
              </w:rPr>
            </w:pPr>
            <w:r w:rsidRPr="00B86C8C">
              <w:rPr>
                <w:szCs w:val="24"/>
              </w:rPr>
              <w:t>- </w:t>
            </w:r>
          </w:p>
        </w:tc>
      </w:tr>
      <w:tr w:rsidR="00B86C8C" w:rsidRPr="00B86C8C" w14:paraId="73628745" w14:textId="77777777" w:rsidTr="00E254B1">
        <w:tc>
          <w:tcPr>
            <w:tcW w:w="731" w:type="dxa"/>
          </w:tcPr>
          <w:p w14:paraId="1FD876E4"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15.1</w:t>
            </w:r>
          </w:p>
        </w:tc>
        <w:tc>
          <w:tcPr>
            <w:tcW w:w="4197" w:type="dxa"/>
          </w:tcPr>
          <w:p w14:paraId="4E55DEB2" w14:textId="77777777" w:rsidR="00B86C8C" w:rsidRPr="00B86C8C" w:rsidRDefault="00B86C8C" w:rsidP="00B86C8C">
            <w:pPr>
              <w:jc w:val="both"/>
              <w:rPr>
                <w:szCs w:val="24"/>
                <w:highlight w:val="yellow"/>
                <w:lang w:eastAsia="en-US"/>
              </w:rPr>
            </w:pPr>
            <w:r w:rsidRPr="00B86C8C">
              <w:rPr>
                <w:szCs w:val="24"/>
              </w:rPr>
              <w:t xml:space="preserve">Smėlio pagrindų įrengimas </w:t>
            </w:r>
          </w:p>
        </w:tc>
        <w:tc>
          <w:tcPr>
            <w:tcW w:w="737" w:type="dxa"/>
            <w:vAlign w:val="center"/>
          </w:tcPr>
          <w:p w14:paraId="4F4D32A6" w14:textId="77777777" w:rsidR="00B86C8C" w:rsidRPr="00B86C8C" w:rsidRDefault="00B86C8C" w:rsidP="00B86C8C">
            <w:pPr>
              <w:jc w:val="center"/>
              <w:rPr>
                <w:color w:val="000000"/>
                <w:szCs w:val="24"/>
              </w:rPr>
            </w:pPr>
            <w:r w:rsidRPr="00B86C8C">
              <w:rPr>
                <w:color w:val="000000"/>
                <w:szCs w:val="24"/>
              </w:rPr>
              <w:t>m</w:t>
            </w:r>
            <w:r w:rsidRPr="00B86C8C">
              <w:rPr>
                <w:color w:val="000000"/>
                <w:szCs w:val="24"/>
                <w:vertAlign w:val="superscript"/>
              </w:rPr>
              <w:t>3</w:t>
            </w:r>
          </w:p>
        </w:tc>
        <w:tc>
          <w:tcPr>
            <w:tcW w:w="1560" w:type="dxa"/>
            <w:vAlign w:val="center"/>
          </w:tcPr>
          <w:p w14:paraId="5F9CD7EE" w14:textId="77777777" w:rsidR="00B86C8C" w:rsidRPr="00B86C8C" w:rsidRDefault="00B86C8C" w:rsidP="00B86C8C">
            <w:pPr>
              <w:jc w:val="center"/>
              <w:rPr>
                <w:color w:val="000000"/>
                <w:szCs w:val="24"/>
              </w:rPr>
            </w:pPr>
            <w:r w:rsidRPr="00B86C8C">
              <w:rPr>
                <w:color w:val="000000"/>
                <w:szCs w:val="24"/>
              </w:rPr>
              <w:t>2000</w:t>
            </w:r>
          </w:p>
        </w:tc>
        <w:tc>
          <w:tcPr>
            <w:tcW w:w="1105" w:type="dxa"/>
          </w:tcPr>
          <w:p w14:paraId="1F14A632" w14:textId="77777777" w:rsidR="00B86C8C" w:rsidRPr="00B86C8C" w:rsidRDefault="00B86C8C" w:rsidP="00B86C8C">
            <w:pPr>
              <w:jc w:val="center"/>
              <w:rPr>
                <w:szCs w:val="24"/>
              </w:rPr>
            </w:pPr>
            <w:r w:rsidRPr="00B86C8C">
              <w:rPr>
                <w:szCs w:val="24"/>
              </w:rPr>
              <w:t>25,62</w:t>
            </w:r>
          </w:p>
        </w:tc>
        <w:tc>
          <w:tcPr>
            <w:tcW w:w="1276" w:type="dxa"/>
            <w:vAlign w:val="bottom"/>
          </w:tcPr>
          <w:p w14:paraId="763892BE" w14:textId="77777777" w:rsidR="00B86C8C" w:rsidRPr="00B86C8C" w:rsidRDefault="00B86C8C" w:rsidP="00B86C8C">
            <w:pPr>
              <w:jc w:val="center"/>
              <w:rPr>
                <w:szCs w:val="24"/>
              </w:rPr>
            </w:pPr>
            <w:r w:rsidRPr="00B86C8C">
              <w:rPr>
                <w:szCs w:val="24"/>
              </w:rPr>
              <w:t>31,00</w:t>
            </w:r>
          </w:p>
        </w:tc>
      </w:tr>
      <w:tr w:rsidR="00B86C8C" w:rsidRPr="00B86C8C" w14:paraId="374D5413" w14:textId="77777777" w:rsidTr="00E254B1">
        <w:tc>
          <w:tcPr>
            <w:tcW w:w="731" w:type="dxa"/>
          </w:tcPr>
          <w:p w14:paraId="25EC52D6"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15.2</w:t>
            </w:r>
          </w:p>
        </w:tc>
        <w:tc>
          <w:tcPr>
            <w:tcW w:w="4197" w:type="dxa"/>
          </w:tcPr>
          <w:p w14:paraId="76329D74" w14:textId="77777777" w:rsidR="00B86C8C" w:rsidRPr="00B86C8C" w:rsidRDefault="00B86C8C" w:rsidP="00B86C8C">
            <w:pPr>
              <w:jc w:val="both"/>
              <w:rPr>
                <w:szCs w:val="24"/>
                <w:highlight w:val="yellow"/>
                <w:lang w:eastAsia="en-US"/>
              </w:rPr>
            </w:pPr>
            <w:r w:rsidRPr="00B86C8C">
              <w:rPr>
                <w:szCs w:val="24"/>
              </w:rPr>
              <w:t xml:space="preserve">Skaldos pagrindo įrengimas </w:t>
            </w:r>
          </w:p>
        </w:tc>
        <w:tc>
          <w:tcPr>
            <w:tcW w:w="737" w:type="dxa"/>
            <w:vAlign w:val="center"/>
          </w:tcPr>
          <w:p w14:paraId="0ECF5072" w14:textId="77777777" w:rsidR="00B86C8C" w:rsidRPr="00B86C8C" w:rsidRDefault="00B86C8C" w:rsidP="00B86C8C">
            <w:pPr>
              <w:jc w:val="center"/>
              <w:rPr>
                <w:color w:val="000000"/>
                <w:szCs w:val="24"/>
              </w:rPr>
            </w:pPr>
            <w:r w:rsidRPr="00B86C8C">
              <w:rPr>
                <w:color w:val="000000"/>
                <w:szCs w:val="24"/>
              </w:rPr>
              <w:t>m</w:t>
            </w:r>
            <w:r w:rsidRPr="00B86C8C">
              <w:rPr>
                <w:color w:val="000000"/>
                <w:szCs w:val="24"/>
                <w:vertAlign w:val="superscript"/>
              </w:rPr>
              <w:t>3</w:t>
            </w:r>
          </w:p>
        </w:tc>
        <w:tc>
          <w:tcPr>
            <w:tcW w:w="1560" w:type="dxa"/>
            <w:vAlign w:val="center"/>
          </w:tcPr>
          <w:p w14:paraId="424DEF12" w14:textId="77777777" w:rsidR="00B86C8C" w:rsidRPr="00B86C8C" w:rsidRDefault="00B86C8C" w:rsidP="00B86C8C">
            <w:pPr>
              <w:jc w:val="center"/>
              <w:rPr>
                <w:color w:val="000000"/>
                <w:szCs w:val="24"/>
              </w:rPr>
            </w:pPr>
            <w:r w:rsidRPr="00B86C8C">
              <w:rPr>
                <w:color w:val="000000"/>
                <w:szCs w:val="24"/>
              </w:rPr>
              <w:t>3000</w:t>
            </w:r>
          </w:p>
        </w:tc>
        <w:tc>
          <w:tcPr>
            <w:tcW w:w="1105" w:type="dxa"/>
          </w:tcPr>
          <w:p w14:paraId="42D94E38" w14:textId="77777777" w:rsidR="00B86C8C" w:rsidRPr="00B86C8C" w:rsidRDefault="00B86C8C" w:rsidP="00B86C8C">
            <w:pPr>
              <w:jc w:val="center"/>
              <w:rPr>
                <w:szCs w:val="24"/>
              </w:rPr>
            </w:pPr>
            <w:r w:rsidRPr="00B86C8C">
              <w:rPr>
                <w:szCs w:val="24"/>
              </w:rPr>
              <w:t>61,98</w:t>
            </w:r>
          </w:p>
        </w:tc>
        <w:tc>
          <w:tcPr>
            <w:tcW w:w="1276" w:type="dxa"/>
            <w:vAlign w:val="bottom"/>
          </w:tcPr>
          <w:p w14:paraId="259A9B87" w14:textId="77777777" w:rsidR="00B86C8C" w:rsidRPr="00B86C8C" w:rsidRDefault="00B86C8C" w:rsidP="00B86C8C">
            <w:pPr>
              <w:jc w:val="center"/>
              <w:rPr>
                <w:szCs w:val="24"/>
              </w:rPr>
            </w:pPr>
            <w:r w:rsidRPr="00B86C8C">
              <w:rPr>
                <w:szCs w:val="24"/>
              </w:rPr>
              <w:t xml:space="preserve">75,00 </w:t>
            </w:r>
          </w:p>
        </w:tc>
      </w:tr>
      <w:tr w:rsidR="00B86C8C" w:rsidRPr="00B86C8C" w14:paraId="0D7CE674" w14:textId="77777777" w:rsidTr="00E254B1">
        <w:tc>
          <w:tcPr>
            <w:tcW w:w="731" w:type="dxa"/>
          </w:tcPr>
          <w:p w14:paraId="2C9F2210"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16.</w:t>
            </w:r>
          </w:p>
        </w:tc>
        <w:tc>
          <w:tcPr>
            <w:tcW w:w="4197" w:type="dxa"/>
          </w:tcPr>
          <w:p w14:paraId="6FEA8C63" w14:textId="77777777" w:rsidR="00B86C8C" w:rsidRPr="00B86C8C" w:rsidRDefault="00B86C8C" w:rsidP="00B86C8C">
            <w:pPr>
              <w:jc w:val="both"/>
              <w:rPr>
                <w:szCs w:val="24"/>
                <w:lang w:eastAsia="en-US"/>
              </w:rPr>
            </w:pPr>
            <w:r w:rsidRPr="00B86C8C">
              <w:rPr>
                <w:szCs w:val="24"/>
              </w:rPr>
              <w:t>Gazonų paruošimas, užpilant iki 10 cm storio sluoksnį augalinio dirvožemio, užsėjant žolę</w:t>
            </w:r>
          </w:p>
        </w:tc>
        <w:tc>
          <w:tcPr>
            <w:tcW w:w="737" w:type="dxa"/>
            <w:vAlign w:val="center"/>
          </w:tcPr>
          <w:p w14:paraId="1418A43C" w14:textId="77777777" w:rsidR="00B86C8C" w:rsidRPr="00B86C8C" w:rsidRDefault="00B86C8C" w:rsidP="00B86C8C">
            <w:pPr>
              <w:jc w:val="center"/>
              <w:rPr>
                <w:color w:val="000000"/>
                <w:szCs w:val="24"/>
              </w:rPr>
            </w:pPr>
            <w:r w:rsidRPr="00B86C8C">
              <w:rPr>
                <w:color w:val="000000"/>
                <w:szCs w:val="24"/>
              </w:rPr>
              <w:t>m</w:t>
            </w:r>
            <w:r w:rsidRPr="00B86C8C">
              <w:rPr>
                <w:color w:val="000000"/>
                <w:szCs w:val="24"/>
                <w:vertAlign w:val="superscript"/>
              </w:rPr>
              <w:t>2</w:t>
            </w:r>
          </w:p>
        </w:tc>
        <w:tc>
          <w:tcPr>
            <w:tcW w:w="1560" w:type="dxa"/>
            <w:vAlign w:val="center"/>
          </w:tcPr>
          <w:p w14:paraId="319676CB" w14:textId="77777777" w:rsidR="00B86C8C" w:rsidRDefault="00B86C8C" w:rsidP="00B86C8C">
            <w:pPr>
              <w:jc w:val="center"/>
              <w:rPr>
                <w:color w:val="000000"/>
                <w:szCs w:val="24"/>
              </w:rPr>
            </w:pPr>
            <w:r w:rsidRPr="00B86C8C">
              <w:rPr>
                <w:color w:val="000000"/>
                <w:szCs w:val="24"/>
              </w:rPr>
              <w:t>5000</w:t>
            </w:r>
          </w:p>
          <w:p w14:paraId="19352E3D" w14:textId="77777777" w:rsidR="00E52D5E" w:rsidRDefault="00E52D5E" w:rsidP="00B86C8C">
            <w:pPr>
              <w:jc w:val="center"/>
              <w:rPr>
                <w:color w:val="000000"/>
                <w:szCs w:val="24"/>
              </w:rPr>
            </w:pPr>
          </w:p>
          <w:p w14:paraId="1061456D" w14:textId="1AAA7AC9" w:rsidR="00E52D5E" w:rsidRPr="00B86C8C" w:rsidRDefault="00E52D5E" w:rsidP="00B86C8C">
            <w:pPr>
              <w:jc w:val="center"/>
              <w:rPr>
                <w:color w:val="000000"/>
                <w:szCs w:val="24"/>
              </w:rPr>
            </w:pPr>
          </w:p>
        </w:tc>
        <w:tc>
          <w:tcPr>
            <w:tcW w:w="1105" w:type="dxa"/>
          </w:tcPr>
          <w:p w14:paraId="7EB11FD7" w14:textId="7E6EAA7C" w:rsidR="00E52D5E" w:rsidRPr="00B86C8C" w:rsidRDefault="00B86C8C" w:rsidP="00E52D5E">
            <w:pPr>
              <w:jc w:val="center"/>
              <w:rPr>
                <w:szCs w:val="24"/>
              </w:rPr>
            </w:pPr>
            <w:r w:rsidRPr="00B86C8C">
              <w:rPr>
                <w:szCs w:val="24"/>
              </w:rPr>
              <w:t>4,13</w:t>
            </w:r>
          </w:p>
        </w:tc>
        <w:tc>
          <w:tcPr>
            <w:tcW w:w="1276" w:type="dxa"/>
            <w:vAlign w:val="bottom"/>
          </w:tcPr>
          <w:p w14:paraId="60664B7E" w14:textId="14B7426B" w:rsidR="00B86C8C" w:rsidRDefault="00B86C8C" w:rsidP="00E254B1">
            <w:pPr>
              <w:jc w:val="center"/>
              <w:rPr>
                <w:szCs w:val="24"/>
              </w:rPr>
            </w:pPr>
            <w:r w:rsidRPr="00B86C8C">
              <w:rPr>
                <w:szCs w:val="24"/>
              </w:rPr>
              <w:t>5,00</w:t>
            </w:r>
          </w:p>
          <w:p w14:paraId="557BB67F" w14:textId="77777777" w:rsidR="00E52D5E" w:rsidRDefault="00E52D5E" w:rsidP="00E254B1">
            <w:pPr>
              <w:jc w:val="center"/>
              <w:rPr>
                <w:szCs w:val="24"/>
              </w:rPr>
            </w:pPr>
          </w:p>
          <w:p w14:paraId="6C1F729D" w14:textId="64A31B97" w:rsidR="00E52D5E" w:rsidRPr="00B86C8C" w:rsidRDefault="00E52D5E" w:rsidP="00E254B1">
            <w:pPr>
              <w:jc w:val="center"/>
              <w:rPr>
                <w:szCs w:val="24"/>
              </w:rPr>
            </w:pPr>
          </w:p>
        </w:tc>
      </w:tr>
      <w:tr w:rsidR="00B86C8C" w:rsidRPr="00B86C8C" w14:paraId="2D2D5DE6" w14:textId="77777777" w:rsidTr="00E254B1">
        <w:tc>
          <w:tcPr>
            <w:tcW w:w="731" w:type="dxa"/>
          </w:tcPr>
          <w:p w14:paraId="0BA19589"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17.</w:t>
            </w:r>
          </w:p>
        </w:tc>
        <w:tc>
          <w:tcPr>
            <w:tcW w:w="4197" w:type="dxa"/>
          </w:tcPr>
          <w:p w14:paraId="50F24E62" w14:textId="77777777" w:rsidR="00B86C8C" w:rsidRPr="00B86C8C" w:rsidRDefault="00B86C8C" w:rsidP="00B86C8C">
            <w:pPr>
              <w:jc w:val="both"/>
              <w:rPr>
                <w:szCs w:val="24"/>
                <w:lang w:eastAsia="en-US"/>
              </w:rPr>
            </w:pPr>
            <w:r w:rsidRPr="00B86C8C">
              <w:rPr>
                <w:szCs w:val="24"/>
              </w:rPr>
              <w:t>Kelkraščių dangos įrengimas 6 cm storio iš nesurištojo mineralinių medžiagų mišinio 0/22</w:t>
            </w:r>
          </w:p>
        </w:tc>
        <w:tc>
          <w:tcPr>
            <w:tcW w:w="737" w:type="dxa"/>
            <w:vAlign w:val="center"/>
          </w:tcPr>
          <w:p w14:paraId="7AB5E67B" w14:textId="77777777" w:rsidR="00B86C8C" w:rsidRPr="00B86C8C" w:rsidRDefault="00B86C8C" w:rsidP="00B86C8C">
            <w:pPr>
              <w:jc w:val="center"/>
              <w:rPr>
                <w:color w:val="000000"/>
                <w:szCs w:val="24"/>
              </w:rPr>
            </w:pPr>
            <w:r w:rsidRPr="00B86C8C">
              <w:rPr>
                <w:color w:val="000000"/>
                <w:szCs w:val="24"/>
              </w:rPr>
              <w:t>m</w:t>
            </w:r>
            <w:r w:rsidRPr="00B86C8C">
              <w:rPr>
                <w:color w:val="000000"/>
                <w:szCs w:val="24"/>
                <w:vertAlign w:val="superscript"/>
              </w:rPr>
              <w:t>2</w:t>
            </w:r>
          </w:p>
        </w:tc>
        <w:tc>
          <w:tcPr>
            <w:tcW w:w="1560" w:type="dxa"/>
            <w:vAlign w:val="center"/>
          </w:tcPr>
          <w:p w14:paraId="20CBBF87" w14:textId="77777777" w:rsidR="00B86C8C" w:rsidRDefault="00B86C8C" w:rsidP="00B86C8C">
            <w:pPr>
              <w:jc w:val="center"/>
              <w:rPr>
                <w:color w:val="000000"/>
                <w:szCs w:val="24"/>
              </w:rPr>
            </w:pPr>
            <w:r w:rsidRPr="00B86C8C">
              <w:rPr>
                <w:color w:val="000000"/>
                <w:szCs w:val="24"/>
              </w:rPr>
              <w:t>5000</w:t>
            </w:r>
          </w:p>
          <w:p w14:paraId="54E2B721" w14:textId="77777777" w:rsidR="00E52D5E" w:rsidRDefault="00E52D5E" w:rsidP="00B86C8C">
            <w:pPr>
              <w:jc w:val="center"/>
              <w:rPr>
                <w:color w:val="000000"/>
                <w:szCs w:val="24"/>
              </w:rPr>
            </w:pPr>
          </w:p>
          <w:p w14:paraId="2F57F791" w14:textId="57EA5C45" w:rsidR="00E52D5E" w:rsidRPr="00B86C8C" w:rsidRDefault="00E52D5E" w:rsidP="00B86C8C">
            <w:pPr>
              <w:jc w:val="center"/>
              <w:rPr>
                <w:color w:val="000000"/>
                <w:szCs w:val="24"/>
              </w:rPr>
            </w:pPr>
          </w:p>
        </w:tc>
        <w:tc>
          <w:tcPr>
            <w:tcW w:w="1105" w:type="dxa"/>
          </w:tcPr>
          <w:p w14:paraId="5CC14B51" w14:textId="48E78CC4" w:rsidR="00E52D5E" w:rsidRPr="00B86C8C" w:rsidRDefault="00B86C8C" w:rsidP="00E52D5E">
            <w:pPr>
              <w:jc w:val="center"/>
              <w:rPr>
                <w:szCs w:val="24"/>
              </w:rPr>
            </w:pPr>
            <w:r w:rsidRPr="00B86C8C">
              <w:rPr>
                <w:szCs w:val="24"/>
              </w:rPr>
              <w:t>3,32</w:t>
            </w:r>
          </w:p>
        </w:tc>
        <w:tc>
          <w:tcPr>
            <w:tcW w:w="1276" w:type="dxa"/>
            <w:vAlign w:val="bottom"/>
          </w:tcPr>
          <w:p w14:paraId="7E7353DD" w14:textId="6B2DDD23" w:rsidR="00B86C8C" w:rsidRDefault="00B86C8C" w:rsidP="00B86C8C">
            <w:pPr>
              <w:jc w:val="center"/>
              <w:rPr>
                <w:szCs w:val="24"/>
              </w:rPr>
            </w:pPr>
            <w:r w:rsidRPr="00B86C8C">
              <w:rPr>
                <w:szCs w:val="24"/>
              </w:rPr>
              <w:t>4,02</w:t>
            </w:r>
          </w:p>
          <w:p w14:paraId="59897E7A" w14:textId="77777777" w:rsidR="00E52D5E" w:rsidRPr="00B86C8C" w:rsidRDefault="00E52D5E" w:rsidP="00B86C8C">
            <w:pPr>
              <w:jc w:val="center"/>
              <w:rPr>
                <w:szCs w:val="24"/>
              </w:rPr>
            </w:pPr>
          </w:p>
          <w:p w14:paraId="296545A4" w14:textId="77777777" w:rsidR="00B86C8C" w:rsidRPr="00B86C8C" w:rsidRDefault="00B86C8C" w:rsidP="00B86C8C">
            <w:pPr>
              <w:jc w:val="center"/>
              <w:rPr>
                <w:szCs w:val="24"/>
              </w:rPr>
            </w:pPr>
          </w:p>
        </w:tc>
      </w:tr>
      <w:tr w:rsidR="00B86C8C" w:rsidRPr="00B86C8C" w14:paraId="309B68A2" w14:textId="77777777" w:rsidTr="00E254B1">
        <w:tc>
          <w:tcPr>
            <w:tcW w:w="731" w:type="dxa"/>
          </w:tcPr>
          <w:p w14:paraId="407818AC"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17.1</w:t>
            </w:r>
          </w:p>
        </w:tc>
        <w:tc>
          <w:tcPr>
            <w:tcW w:w="4197" w:type="dxa"/>
          </w:tcPr>
          <w:p w14:paraId="5A574956" w14:textId="77777777" w:rsidR="00B86C8C" w:rsidRPr="00B86C8C" w:rsidRDefault="00B86C8C" w:rsidP="00B86C8C">
            <w:pPr>
              <w:jc w:val="both"/>
              <w:rPr>
                <w:szCs w:val="24"/>
                <w:lang w:eastAsia="en-US"/>
              </w:rPr>
            </w:pPr>
            <w:r w:rsidRPr="00B86C8C">
              <w:rPr>
                <w:szCs w:val="24"/>
              </w:rPr>
              <w:t>Keičiant kelkraščio sluoksnio storį, kiekvienam pokyčio cm pridėti arba atimti</w:t>
            </w:r>
          </w:p>
        </w:tc>
        <w:tc>
          <w:tcPr>
            <w:tcW w:w="737" w:type="dxa"/>
            <w:vAlign w:val="center"/>
          </w:tcPr>
          <w:p w14:paraId="61A553B0" w14:textId="77777777" w:rsidR="00B86C8C" w:rsidRPr="00B86C8C" w:rsidRDefault="00B86C8C" w:rsidP="00B86C8C">
            <w:pPr>
              <w:jc w:val="center"/>
              <w:rPr>
                <w:color w:val="000000"/>
                <w:szCs w:val="24"/>
              </w:rPr>
            </w:pPr>
            <w:r w:rsidRPr="00B86C8C">
              <w:rPr>
                <w:color w:val="000000"/>
                <w:szCs w:val="24"/>
              </w:rPr>
              <w:t>m</w:t>
            </w:r>
            <w:r w:rsidRPr="00B86C8C">
              <w:rPr>
                <w:color w:val="000000"/>
                <w:szCs w:val="24"/>
                <w:vertAlign w:val="superscript"/>
              </w:rPr>
              <w:t>2</w:t>
            </w:r>
          </w:p>
        </w:tc>
        <w:tc>
          <w:tcPr>
            <w:tcW w:w="1560" w:type="dxa"/>
            <w:vAlign w:val="center"/>
          </w:tcPr>
          <w:p w14:paraId="36E79645" w14:textId="77777777" w:rsidR="00B86C8C" w:rsidRDefault="00B86C8C" w:rsidP="00B86C8C">
            <w:pPr>
              <w:jc w:val="center"/>
              <w:rPr>
                <w:color w:val="000000"/>
                <w:szCs w:val="24"/>
              </w:rPr>
            </w:pPr>
            <w:r w:rsidRPr="00B86C8C">
              <w:rPr>
                <w:color w:val="000000"/>
                <w:szCs w:val="24"/>
              </w:rPr>
              <w:t>4000</w:t>
            </w:r>
          </w:p>
          <w:p w14:paraId="16AF421F" w14:textId="77777777" w:rsidR="00E52D5E" w:rsidRDefault="00E52D5E" w:rsidP="00B86C8C">
            <w:pPr>
              <w:jc w:val="center"/>
              <w:rPr>
                <w:color w:val="000000"/>
                <w:szCs w:val="24"/>
              </w:rPr>
            </w:pPr>
          </w:p>
          <w:p w14:paraId="1E8872E9" w14:textId="25039D1E" w:rsidR="00E52D5E" w:rsidRPr="00B86C8C" w:rsidRDefault="00E52D5E" w:rsidP="00B86C8C">
            <w:pPr>
              <w:jc w:val="center"/>
              <w:rPr>
                <w:color w:val="000000"/>
                <w:szCs w:val="24"/>
              </w:rPr>
            </w:pPr>
          </w:p>
        </w:tc>
        <w:tc>
          <w:tcPr>
            <w:tcW w:w="1105" w:type="dxa"/>
          </w:tcPr>
          <w:p w14:paraId="73AD24AA" w14:textId="565F9F6D" w:rsidR="00E52D5E" w:rsidRPr="00B86C8C" w:rsidRDefault="00B86C8C" w:rsidP="00E52D5E">
            <w:pPr>
              <w:jc w:val="center"/>
              <w:rPr>
                <w:szCs w:val="24"/>
              </w:rPr>
            </w:pPr>
            <w:r w:rsidRPr="00B86C8C">
              <w:rPr>
                <w:szCs w:val="24"/>
              </w:rPr>
              <w:t>0,83</w:t>
            </w:r>
          </w:p>
        </w:tc>
        <w:tc>
          <w:tcPr>
            <w:tcW w:w="1276" w:type="dxa"/>
            <w:vAlign w:val="bottom"/>
          </w:tcPr>
          <w:p w14:paraId="7318DDE7" w14:textId="47A72922" w:rsidR="00B86C8C" w:rsidRDefault="00B86C8C" w:rsidP="00E52D5E">
            <w:pPr>
              <w:jc w:val="center"/>
              <w:rPr>
                <w:szCs w:val="24"/>
              </w:rPr>
            </w:pPr>
            <w:r w:rsidRPr="00B86C8C">
              <w:rPr>
                <w:szCs w:val="24"/>
              </w:rPr>
              <w:t>1,00</w:t>
            </w:r>
          </w:p>
          <w:p w14:paraId="72E1DC35" w14:textId="77777777" w:rsidR="00E52D5E" w:rsidRDefault="00E52D5E" w:rsidP="00E52D5E">
            <w:pPr>
              <w:rPr>
                <w:szCs w:val="24"/>
              </w:rPr>
            </w:pPr>
          </w:p>
          <w:p w14:paraId="54648DA9" w14:textId="429F44A2" w:rsidR="00E52D5E" w:rsidRPr="00B86C8C" w:rsidRDefault="00E52D5E" w:rsidP="00E254B1">
            <w:pPr>
              <w:jc w:val="center"/>
              <w:rPr>
                <w:szCs w:val="24"/>
              </w:rPr>
            </w:pPr>
          </w:p>
        </w:tc>
      </w:tr>
      <w:tr w:rsidR="00B86C8C" w:rsidRPr="00B86C8C" w14:paraId="6731B1DD" w14:textId="77777777" w:rsidTr="00E254B1">
        <w:tc>
          <w:tcPr>
            <w:tcW w:w="731" w:type="dxa"/>
          </w:tcPr>
          <w:p w14:paraId="5509D954"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18.</w:t>
            </w:r>
          </w:p>
        </w:tc>
        <w:tc>
          <w:tcPr>
            <w:tcW w:w="4197" w:type="dxa"/>
          </w:tcPr>
          <w:p w14:paraId="75E35A7B" w14:textId="77777777" w:rsidR="00B86C8C" w:rsidRPr="00B86C8C" w:rsidRDefault="00B86C8C" w:rsidP="00B86C8C">
            <w:pPr>
              <w:jc w:val="both"/>
              <w:rPr>
                <w:szCs w:val="24"/>
              </w:rPr>
            </w:pPr>
            <w:r w:rsidRPr="00B86C8C">
              <w:rPr>
                <w:szCs w:val="24"/>
              </w:rPr>
              <w:t>Grunto kasimas ekskavatoriais, pakrovimas į autosavivarčius ir išvežimas į seniūno nurodytą vietą iki 5 km atstumu</w:t>
            </w:r>
          </w:p>
        </w:tc>
        <w:tc>
          <w:tcPr>
            <w:tcW w:w="737" w:type="dxa"/>
            <w:vAlign w:val="center"/>
          </w:tcPr>
          <w:p w14:paraId="2E132143" w14:textId="77777777" w:rsidR="00B86C8C" w:rsidRPr="00B86C8C" w:rsidRDefault="00B86C8C" w:rsidP="00B86C8C">
            <w:pPr>
              <w:jc w:val="center"/>
              <w:rPr>
                <w:color w:val="000000"/>
                <w:szCs w:val="24"/>
              </w:rPr>
            </w:pPr>
            <w:r w:rsidRPr="00B86C8C">
              <w:rPr>
                <w:color w:val="000000"/>
                <w:szCs w:val="24"/>
              </w:rPr>
              <w:t>m</w:t>
            </w:r>
            <w:r w:rsidRPr="00B86C8C">
              <w:rPr>
                <w:color w:val="000000"/>
                <w:szCs w:val="24"/>
                <w:vertAlign w:val="superscript"/>
              </w:rPr>
              <w:t>3</w:t>
            </w:r>
          </w:p>
        </w:tc>
        <w:tc>
          <w:tcPr>
            <w:tcW w:w="1560" w:type="dxa"/>
            <w:vAlign w:val="center"/>
          </w:tcPr>
          <w:p w14:paraId="5E5B84C7" w14:textId="2388765A" w:rsidR="00B86C8C" w:rsidRDefault="00B86C8C" w:rsidP="00B86C8C">
            <w:pPr>
              <w:jc w:val="center"/>
              <w:rPr>
                <w:color w:val="000000"/>
                <w:szCs w:val="24"/>
              </w:rPr>
            </w:pPr>
            <w:r w:rsidRPr="00B86C8C">
              <w:rPr>
                <w:color w:val="000000"/>
                <w:szCs w:val="24"/>
              </w:rPr>
              <w:t>3000</w:t>
            </w:r>
          </w:p>
          <w:p w14:paraId="45312C4B" w14:textId="77777777" w:rsidR="00E52D5E" w:rsidRDefault="00E52D5E" w:rsidP="00B86C8C">
            <w:pPr>
              <w:jc w:val="center"/>
              <w:rPr>
                <w:color w:val="000000"/>
                <w:szCs w:val="24"/>
              </w:rPr>
            </w:pPr>
          </w:p>
          <w:p w14:paraId="2EEFD57E" w14:textId="45C2D468" w:rsidR="00E52D5E" w:rsidRPr="00B86C8C" w:rsidRDefault="00E52D5E" w:rsidP="00B86C8C">
            <w:pPr>
              <w:jc w:val="center"/>
              <w:rPr>
                <w:color w:val="000000"/>
                <w:szCs w:val="24"/>
              </w:rPr>
            </w:pPr>
          </w:p>
        </w:tc>
        <w:tc>
          <w:tcPr>
            <w:tcW w:w="1105" w:type="dxa"/>
          </w:tcPr>
          <w:p w14:paraId="41DE078F" w14:textId="73C96C4D" w:rsidR="00E52D5E" w:rsidRPr="00B86C8C" w:rsidRDefault="00B86C8C" w:rsidP="00E52D5E">
            <w:pPr>
              <w:jc w:val="center"/>
              <w:rPr>
                <w:szCs w:val="24"/>
              </w:rPr>
            </w:pPr>
            <w:r w:rsidRPr="00B86C8C">
              <w:rPr>
                <w:szCs w:val="24"/>
              </w:rPr>
              <w:t>13,22</w:t>
            </w:r>
          </w:p>
        </w:tc>
        <w:tc>
          <w:tcPr>
            <w:tcW w:w="1276" w:type="dxa"/>
            <w:vAlign w:val="bottom"/>
          </w:tcPr>
          <w:p w14:paraId="2D2B5567" w14:textId="5DCA8B35" w:rsidR="00B86C8C" w:rsidRDefault="00B86C8C" w:rsidP="00E52D5E">
            <w:pPr>
              <w:jc w:val="center"/>
              <w:rPr>
                <w:szCs w:val="24"/>
              </w:rPr>
            </w:pPr>
            <w:r w:rsidRPr="00B86C8C">
              <w:rPr>
                <w:szCs w:val="24"/>
              </w:rPr>
              <w:t>16,00</w:t>
            </w:r>
          </w:p>
          <w:p w14:paraId="3E4B4FB7" w14:textId="77777777" w:rsidR="00E52D5E" w:rsidRDefault="00E52D5E" w:rsidP="00E52D5E">
            <w:pPr>
              <w:rPr>
                <w:szCs w:val="24"/>
              </w:rPr>
            </w:pPr>
          </w:p>
          <w:p w14:paraId="7DD4C90B" w14:textId="3220BE25" w:rsidR="00E52D5E" w:rsidRPr="00B86C8C" w:rsidRDefault="00E52D5E" w:rsidP="00E52D5E">
            <w:pPr>
              <w:rPr>
                <w:szCs w:val="24"/>
              </w:rPr>
            </w:pPr>
          </w:p>
        </w:tc>
      </w:tr>
      <w:tr w:rsidR="00B86C8C" w:rsidRPr="00B86C8C" w14:paraId="0F0FA25C" w14:textId="77777777" w:rsidTr="00E254B1">
        <w:tc>
          <w:tcPr>
            <w:tcW w:w="731" w:type="dxa"/>
          </w:tcPr>
          <w:p w14:paraId="788169B0" w14:textId="77777777" w:rsidR="00B86C8C" w:rsidRPr="00B86C8C" w:rsidRDefault="00B86C8C" w:rsidP="00B86C8C">
            <w:pPr>
              <w:pStyle w:val="Betarp"/>
              <w:jc w:val="both"/>
              <w:rPr>
                <w:rFonts w:ascii="Times New Roman" w:hAnsi="Times New Roman"/>
                <w:sz w:val="24"/>
                <w:szCs w:val="24"/>
              </w:rPr>
            </w:pPr>
            <w:r w:rsidRPr="00B86C8C">
              <w:rPr>
                <w:rFonts w:ascii="Times New Roman" w:hAnsi="Times New Roman"/>
                <w:sz w:val="24"/>
                <w:szCs w:val="24"/>
              </w:rPr>
              <w:t>19.</w:t>
            </w:r>
          </w:p>
        </w:tc>
        <w:tc>
          <w:tcPr>
            <w:tcW w:w="4197" w:type="dxa"/>
          </w:tcPr>
          <w:p w14:paraId="17C06F30" w14:textId="77777777" w:rsidR="00B86C8C" w:rsidRPr="00B86C8C" w:rsidRDefault="00B86C8C" w:rsidP="00B86C8C">
            <w:pPr>
              <w:jc w:val="both"/>
              <w:rPr>
                <w:szCs w:val="24"/>
              </w:rPr>
            </w:pPr>
            <w:r w:rsidRPr="00B86C8C">
              <w:rPr>
                <w:szCs w:val="24"/>
              </w:rPr>
              <w:t>Paprastojo remonto aprašo parengimas</w:t>
            </w:r>
          </w:p>
        </w:tc>
        <w:tc>
          <w:tcPr>
            <w:tcW w:w="737" w:type="dxa"/>
            <w:vAlign w:val="center"/>
          </w:tcPr>
          <w:p w14:paraId="4C764DCB" w14:textId="77777777" w:rsidR="00B86C8C" w:rsidRPr="00B86C8C" w:rsidRDefault="00B86C8C" w:rsidP="00B86C8C">
            <w:pPr>
              <w:jc w:val="center"/>
              <w:rPr>
                <w:color w:val="000000"/>
                <w:szCs w:val="24"/>
              </w:rPr>
            </w:pPr>
            <w:r w:rsidRPr="00B86C8C">
              <w:rPr>
                <w:color w:val="000000"/>
                <w:szCs w:val="24"/>
              </w:rPr>
              <w:t>vnt.</w:t>
            </w:r>
          </w:p>
        </w:tc>
        <w:tc>
          <w:tcPr>
            <w:tcW w:w="1560" w:type="dxa"/>
            <w:vAlign w:val="center"/>
          </w:tcPr>
          <w:p w14:paraId="719337EA" w14:textId="77777777" w:rsidR="00B86C8C" w:rsidRPr="00B86C8C" w:rsidRDefault="00B86C8C" w:rsidP="00B86C8C">
            <w:pPr>
              <w:jc w:val="center"/>
              <w:rPr>
                <w:color w:val="000000"/>
                <w:szCs w:val="24"/>
              </w:rPr>
            </w:pPr>
            <w:r w:rsidRPr="00B86C8C">
              <w:rPr>
                <w:color w:val="000000"/>
                <w:szCs w:val="24"/>
              </w:rPr>
              <w:t>40</w:t>
            </w:r>
          </w:p>
        </w:tc>
        <w:tc>
          <w:tcPr>
            <w:tcW w:w="1105" w:type="dxa"/>
          </w:tcPr>
          <w:p w14:paraId="37D4FDAD" w14:textId="77777777" w:rsidR="00B86C8C" w:rsidRPr="00B86C8C" w:rsidRDefault="00B86C8C" w:rsidP="00B86C8C">
            <w:pPr>
              <w:jc w:val="center"/>
              <w:rPr>
                <w:szCs w:val="24"/>
              </w:rPr>
            </w:pPr>
            <w:r w:rsidRPr="00B86C8C">
              <w:rPr>
                <w:szCs w:val="24"/>
              </w:rPr>
              <w:t>495,87</w:t>
            </w:r>
          </w:p>
        </w:tc>
        <w:tc>
          <w:tcPr>
            <w:tcW w:w="1276" w:type="dxa"/>
            <w:vAlign w:val="bottom"/>
          </w:tcPr>
          <w:p w14:paraId="01149E75" w14:textId="77777777" w:rsidR="00B86C8C" w:rsidRPr="00B86C8C" w:rsidRDefault="00B86C8C" w:rsidP="00B86C8C">
            <w:pPr>
              <w:jc w:val="center"/>
              <w:rPr>
                <w:color w:val="000000"/>
                <w:szCs w:val="24"/>
              </w:rPr>
            </w:pPr>
            <w:r w:rsidRPr="00B86C8C">
              <w:rPr>
                <w:color w:val="000000"/>
                <w:szCs w:val="24"/>
              </w:rPr>
              <w:t>600,00</w:t>
            </w:r>
          </w:p>
        </w:tc>
      </w:tr>
    </w:tbl>
    <w:p w14:paraId="1A68AE7F" w14:textId="73DD5EDD" w:rsidR="00E7551B" w:rsidRPr="0006247C" w:rsidRDefault="00E7551B" w:rsidP="0006247C">
      <w:pPr>
        <w:widowControl w:val="0"/>
        <w:tabs>
          <w:tab w:val="left" w:pos="1134"/>
        </w:tabs>
        <w:suppressAutoHyphens/>
        <w:rPr>
          <w:b/>
          <w:szCs w:val="24"/>
        </w:rPr>
      </w:pPr>
    </w:p>
    <w:p w14:paraId="6383D294" w14:textId="15FA60CA" w:rsidR="00876A6F" w:rsidRPr="00876A6F" w:rsidRDefault="00876A6F" w:rsidP="00876A6F">
      <w:pPr>
        <w:pStyle w:val="Sraopastraipa"/>
        <w:widowControl w:val="0"/>
        <w:tabs>
          <w:tab w:val="left" w:pos="1134"/>
        </w:tabs>
        <w:suppressAutoHyphens/>
        <w:ind w:left="0" w:firstLine="567"/>
        <w:rPr>
          <w:szCs w:val="24"/>
        </w:rPr>
      </w:pPr>
      <w:r w:rsidRPr="00876A6F">
        <w:rPr>
          <w:b/>
          <w:szCs w:val="24"/>
        </w:rPr>
        <w:t>14.</w:t>
      </w:r>
      <w:r w:rsidRPr="00876A6F">
        <w:rPr>
          <w:b/>
          <w:szCs w:val="24"/>
        </w:rPr>
        <w:tab/>
        <w:t xml:space="preserve">Darbų savybės ir reikalavimai </w:t>
      </w:r>
      <w:r>
        <w:rPr>
          <w:szCs w:val="24"/>
        </w:rPr>
        <w:t>apibūdinti t</w:t>
      </w:r>
      <w:r w:rsidRPr="00876A6F">
        <w:rPr>
          <w:szCs w:val="24"/>
        </w:rPr>
        <w:t xml:space="preserve">echninėje specifikacijoje (pirkimo sąlygų 2 priedas). </w:t>
      </w:r>
    </w:p>
    <w:p w14:paraId="00E886FC" w14:textId="50A3D9BE" w:rsidR="00E7551B" w:rsidRPr="00876A6F" w:rsidRDefault="00876A6F" w:rsidP="00876A6F">
      <w:pPr>
        <w:pStyle w:val="Sraopastraipa"/>
        <w:widowControl w:val="0"/>
        <w:tabs>
          <w:tab w:val="left" w:pos="1134"/>
        </w:tabs>
        <w:suppressAutoHyphens/>
        <w:ind w:left="0" w:firstLine="567"/>
        <w:rPr>
          <w:szCs w:val="24"/>
        </w:rPr>
      </w:pPr>
      <w:r w:rsidRPr="00876A6F">
        <w:rPr>
          <w:szCs w:val="24"/>
        </w:rPr>
        <w:t>15.</w:t>
      </w:r>
      <w:r w:rsidRPr="00876A6F">
        <w:rPr>
          <w:szCs w:val="24"/>
        </w:rPr>
        <w:tab/>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p>
    <w:p w14:paraId="2912D026" w14:textId="0BBBE935" w:rsidR="001704FD" w:rsidRPr="001704FD" w:rsidRDefault="00EE2642" w:rsidP="00EA0DAD">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Darb</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00876A6F">
        <w:rPr>
          <w:rFonts w:eastAsia="Calibri"/>
          <w:szCs w:val="24"/>
        </w:rPr>
        <w:t>Plungės miestas.</w:t>
      </w:r>
    </w:p>
    <w:p w14:paraId="4C9D0BE2" w14:textId="77777777" w:rsidR="00222308" w:rsidRPr="00A66E3B" w:rsidRDefault="00EC451E" w:rsidP="00EA0DAD">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36557D1F" w14:textId="45254013"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F87491">
        <w:rPr>
          <w:rFonts w:cs="Times New Roman"/>
          <w:b/>
          <w:szCs w:val="24"/>
        </w:rPr>
        <w:t>5</w:t>
      </w:r>
      <w:r w:rsidR="00EE2642">
        <w:rPr>
          <w:rFonts w:cs="Times New Roman"/>
          <w:b/>
          <w:szCs w:val="24"/>
        </w:rPr>
        <w:t xml:space="preserve"> 00</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F87491" w:rsidRPr="00F87491">
        <w:rPr>
          <w:rFonts w:cs="Times New Roman"/>
          <w:b/>
          <w:szCs w:val="24"/>
        </w:rPr>
        <w:t>4</w:t>
      </w:r>
      <w:r w:rsidR="00F87491">
        <w:rPr>
          <w:rFonts w:cs="Times New Roman"/>
          <w:b/>
          <w:szCs w:val="24"/>
        </w:rPr>
        <w:t> </w:t>
      </w:r>
      <w:r w:rsidR="00F87491" w:rsidRPr="00F87491">
        <w:rPr>
          <w:rFonts w:cs="Times New Roman"/>
          <w:b/>
          <w:szCs w:val="24"/>
        </w:rPr>
        <w:t>132</w:t>
      </w:r>
      <w:r w:rsidR="00F87491">
        <w:rPr>
          <w:rFonts w:cs="Times New Roman"/>
          <w:b/>
          <w:szCs w:val="24"/>
        </w:rPr>
        <w:t xml:space="preserve"> </w:t>
      </w:r>
      <w:r w:rsidR="00F87491" w:rsidRPr="00F87491">
        <w:rPr>
          <w:rFonts w:cs="Times New Roman"/>
          <w:b/>
          <w:szCs w:val="24"/>
        </w:rPr>
        <w:t>231,4</w:t>
      </w:r>
      <w:r w:rsidR="00F87491">
        <w:rPr>
          <w:rFonts w:cs="Times New Roman"/>
          <w:b/>
          <w:szCs w:val="24"/>
        </w:rPr>
        <w:t>0</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7057A35B"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Pr="00A17CD9"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w:t>
      </w:r>
      <w:r w:rsidRPr="0052442B">
        <w:rPr>
          <w:rFonts w:eastAsia="Times New Roman" w:cs="Times New Roman"/>
          <w:szCs w:val="24"/>
          <w:lang w:eastAsia="en-US"/>
        </w:rPr>
        <w:lastRenderedPageBreak/>
        <w:t xml:space="preserve">nėra visa </w:t>
      </w:r>
      <w:r w:rsidRPr="00A17CD9">
        <w:rPr>
          <w:rFonts w:eastAsia="Times New Roman" w:cs="Times New Roman"/>
          <w:szCs w:val="24"/>
          <w:lang w:eastAsia="en-US"/>
        </w:rPr>
        <w:t>valstybės teritorija), todėl ener</w:t>
      </w:r>
      <w:r w:rsidR="00151180" w:rsidRPr="00A17CD9">
        <w:rPr>
          <w:rFonts w:eastAsia="Times New Roman" w:cs="Times New Roman"/>
          <w:szCs w:val="24"/>
          <w:lang w:eastAsia="en-US"/>
        </w:rPr>
        <w:t>gijos vartojimo efektyvumo reikalavimai jai neprivalomi.</w:t>
      </w:r>
    </w:p>
    <w:p w14:paraId="3DCAF3E3" w14:textId="77777777" w:rsidR="00EB70A3" w:rsidRPr="00A17CD9" w:rsidRDefault="00EB70A3" w:rsidP="00C2170D">
      <w:pPr>
        <w:pStyle w:val="Sraopastraipa"/>
        <w:numPr>
          <w:ilvl w:val="0"/>
          <w:numId w:val="1"/>
        </w:numPr>
        <w:tabs>
          <w:tab w:val="left" w:pos="1134"/>
        </w:tabs>
        <w:ind w:left="0" w:firstLine="567"/>
        <w:contextualSpacing w:val="0"/>
        <w:rPr>
          <w:rFonts w:eastAsia="Calibri" w:cstheme="minorBidi"/>
          <w:b/>
          <w:iCs/>
          <w:szCs w:val="24"/>
          <w:lang w:eastAsia="zh-CN"/>
        </w:rPr>
      </w:pPr>
      <w:r w:rsidRPr="00A17CD9">
        <w:t xml:space="preserve">Perkančioji organizacija, įvertinusi visus galinčius kelti grėsmę nacionalinio saugumo interesams rizikos veiksnius šiame pirkime </w:t>
      </w:r>
      <w:r w:rsidRPr="00A17CD9">
        <w:rPr>
          <w:szCs w:val="24"/>
        </w:rPr>
        <w:t xml:space="preserve">saugumo reikalavimų pagal 2022 m. balandžio 8 d. Tarybos Reglamento (ES) 2022/576 kuriuo iš dalies keičiamas Reglamentas (ES) Nr. 833/2014 dėl ribojamųjų priemonių atsižvelgiant į Rusijos veiksmus, kuriais destabilizuojama padėtis Ukrainoje, VPĮ 17 straipsnio 5 dalies, VPĮ 37 straipsnio 8 ir 9 dalies, 45 straipsnio 2(1) dalies, 47 straipsnio 8 ir 9 dalies straipsnių nuostatas netaiko. </w:t>
      </w:r>
    </w:p>
    <w:p w14:paraId="50CDD2D3" w14:textId="2D47FD3E"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A17CD9">
        <w:rPr>
          <w:szCs w:val="24"/>
        </w:rPr>
        <w:t xml:space="preserve">Šiame pirkime taikomi </w:t>
      </w:r>
      <w:r w:rsidRPr="00A17CD9">
        <w:rPr>
          <w:b/>
          <w:szCs w:val="24"/>
        </w:rPr>
        <w:t>aplinkos apsaugos kriterijai</w:t>
      </w:r>
      <w:r w:rsidRPr="00A17CD9">
        <w:rPr>
          <w:szCs w:val="24"/>
        </w:rPr>
        <w:t xml:space="preserve"> (žaliųjų pirkimų reikalavimai). </w:t>
      </w:r>
      <w:r w:rsidRPr="00A17CD9">
        <w:rPr>
          <w:rFonts w:eastAsia="Calibri"/>
          <w:szCs w:val="24"/>
        </w:rPr>
        <w:t xml:space="preserve">Aplinkos apsaugos kriterijai nustatyti </w:t>
      </w:r>
      <w:r w:rsidRPr="00C554B0">
        <w:rPr>
          <w:rFonts w:eastAsia="Calibri"/>
          <w:szCs w:val="24"/>
        </w:rPr>
        <w:t>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rFonts w:eastAsia="Calibri"/>
          <w:b/>
          <w:szCs w:val="24"/>
        </w:rPr>
        <w:t>4.3.</w:t>
      </w:r>
      <w:r w:rsidR="00C2170D">
        <w:rPr>
          <w:rFonts w:eastAsia="Calibri"/>
          <w:szCs w:val="24"/>
        </w:rPr>
        <w:t xml:space="preserve"> papunktį. Aplinkos apsaugos kriterijai nustatyti pirkimo </w:t>
      </w:r>
      <w:r w:rsidR="00C2170D" w:rsidRPr="00D87207">
        <w:rPr>
          <w:rFonts w:eastAsia="Calibri"/>
          <w:szCs w:val="24"/>
        </w:rPr>
        <w:t xml:space="preserve">sąlygų </w:t>
      </w:r>
      <w:r w:rsidR="006B5AB3" w:rsidRPr="00D87207">
        <w:rPr>
          <w:rFonts w:eastAsia="Calibri"/>
          <w:b/>
          <w:szCs w:val="24"/>
        </w:rPr>
        <w:t>31</w:t>
      </w:r>
      <w:r w:rsidR="00C2170D" w:rsidRPr="00D87207">
        <w:rPr>
          <w:szCs w:val="24"/>
        </w:rPr>
        <w:t xml:space="preserve"> </w:t>
      </w:r>
      <w:r w:rsidR="00C2170D" w:rsidRPr="00D87207">
        <w:rPr>
          <w:rFonts w:eastAsia="Calibri"/>
          <w:iCs/>
          <w:szCs w:val="24"/>
        </w:rPr>
        <w:t>punkte</w:t>
      </w:r>
      <w:r w:rsidR="00C2170D">
        <w:rPr>
          <w:rFonts w:eastAsia="Calibri"/>
          <w:iCs/>
          <w:szCs w:val="24"/>
        </w:rPr>
        <w:t xml:space="preserve"> kituose reikalavimuose tiekėjams </w:t>
      </w:r>
      <w:r w:rsidR="00C2170D">
        <w:rPr>
          <w:rFonts w:eastAsia="Calibri"/>
          <w:szCs w:val="24"/>
        </w:rPr>
        <w:t>(ISO, EMAS standartai)</w:t>
      </w:r>
      <w:r w:rsidR="00F86BCB">
        <w:rPr>
          <w:rFonts w:eastAsia="Calibri"/>
          <w:szCs w:val="24"/>
        </w:rPr>
        <w:t xml:space="preserve"> </w:t>
      </w:r>
      <w:r w:rsidR="00C2170D">
        <w:rPr>
          <w:rFonts w:eastAsia="Calibri"/>
          <w:szCs w:val="24"/>
        </w:rPr>
        <w:t>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055C42A5" w:rsidR="00D60076" w:rsidRDefault="0008735B"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62D55921" w:rsidR="006D3715" w:rsidRPr="00CD7016" w:rsidRDefault="00EB70A3" w:rsidP="006D3715">
            <w:pPr>
              <w:pStyle w:val="Betarp"/>
              <w:jc w:val="center"/>
              <w:rPr>
                <w:rFonts w:ascii="Times New Roman" w:hAnsi="Times New Roman"/>
                <w:i/>
                <w:sz w:val="23"/>
                <w:szCs w:val="23"/>
              </w:rPr>
            </w:pPr>
            <w:r w:rsidRPr="00EB70A3">
              <w:rPr>
                <w:rFonts w:ascii="Times New Roman" w:hAnsi="Times New Roman"/>
                <w:i/>
                <w:sz w:val="23"/>
                <w:szCs w:val="23"/>
              </w:rPr>
              <w:t>Techninis ir profesinis pajėgumas</w:t>
            </w:r>
          </w:p>
        </w:tc>
      </w:tr>
      <w:tr w:rsidR="00EB70A3" w:rsidRPr="00EE2642" w14:paraId="14BFE269" w14:textId="77777777" w:rsidTr="000575E9">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09F804FC" w:rsidR="00EB70A3" w:rsidRPr="00CD7016" w:rsidRDefault="00EB70A3" w:rsidP="00EB70A3">
            <w:pPr>
              <w:jc w:val="both"/>
              <w:rPr>
                <w:rFonts w:cs="Times New Roman"/>
                <w:sz w:val="23"/>
                <w:szCs w:val="23"/>
              </w:rPr>
            </w:pPr>
            <w:r>
              <w:rPr>
                <w:rFonts w:cs="Times New Roman"/>
                <w:sz w:val="23"/>
                <w:szCs w:val="23"/>
              </w:rPr>
              <w:lastRenderedPageBreak/>
              <w:t>27.</w:t>
            </w:r>
            <w:r w:rsidRPr="00CD7016">
              <w:rPr>
                <w:rFonts w:cs="Times New Roman"/>
                <w:sz w:val="23"/>
                <w:szCs w:val="23"/>
              </w:rPr>
              <w:t xml:space="preserve">1. </w:t>
            </w:r>
          </w:p>
        </w:tc>
        <w:tc>
          <w:tcPr>
            <w:tcW w:w="4536" w:type="dxa"/>
            <w:tcBorders>
              <w:top w:val="single" w:sz="4" w:space="0" w:color="auto"/>
              <w:left w:val="single" w:sz="4" w:space="0" w:color="auto"/>
              <w:bottom w:val="single" w:sz="4" w:space="0" w:color="auto"/>
              <w:right w:val="single" w:sz="4" w:space="0" w:color="auto"/>
            </w:tcBorders>
          </w:tcPr>
          <w:p w14:paraId="376BA064" w14:textId="77777777" w:rsidR="00EB70A3" w:rsidRPr="00E16574" w:rsidRDefault="00EB70A3" w:rsidP="00EB70A3">
            <w:pPr>
              <w:pStyle w:val="Komentarotekstas"/>
              <w:jc w:val="both"/>
              <w:rPr>
                <w:sz w:val="24"/>
                <w:szCs w:val="24"/>
                <w:lang w:val="lt-LT"/>
              </w:rPr>
            </w:pPr>
            <w:r w:rsidRPr="00E16574">
              <w:rPr>
                <w:sz w:val="24"/>
                <w:szCs w:val="24"/>
                <w:lang w:val="lt-LT"/>
              </w:rPr>
              <w:t>Tiekėjas per paskutinius 5 metus iki pasiūlymo pateikimo termino pabaigos arba per laiką nuo tiekėjo įregistravimo dienos (jeigu tiekėjas vykdė veiklą mažiau nei 5 metus) pagal vieną ar daugiau įvykdytų ar tebevykdomų sutarčių yra tinkamai atlikęs</w:t>
            </w:r>
            <w:r w:rsidRPr="00E16574">
              <w:rPr>
                <w:sz w:val="24"/>
                <w:szCs w:val="24"/>
              </w:rPr>
              <w:t xml:space="preserve"> </w:t>
            </w:r>
            <w:r w:rsidRPr="00E16574">
              <w:rPr>
                <w:sz w:val="24"/>
                <w:szCs w:val="24"/>
                <w:lang w:val="lt-LT"/>
              </w:rPr>
              <w:t xml:space="preserve">kelių ir/ ar gatvių su asfaltbetonio danga paprastojo remonto darbų, kurių vertė yra ne mažesnės nei 400 000,00 Eur (be PVM). </w:t>
            </w:r>
          </w:p>
          <w:p w14:paraId="7DE931AC" w14:textId="31182A0C" w:rsidR="00EB70A3" w:rsidRPr="00CD7016" w:rsidRDefault="00EB70A3" w:rsidP="00EB70A3">
            <w:pPr>
              <w:autoSpaceDE w:val="0"/>
              <w:autoSpaceDN w:val="0"/>
              <w:adjustRightInd w:val="0"/>
              <w:jc w:val="both"/>
              <w:rPr>
                <w:rFonts w:eastAsia="Times New Roman" w:cs="Times New Roman"/>
                <w:b/>
                <w:color w:val="00B050"/>
                <w:sz w:val="23"/>
                <w:szCs w:val="23"/>
              </w:rPr>
            </w:pPr>
          </w:p>
        </w:tc>
        <w:tc>
          <w:tcPr>
            <w:tcW w:w="4614" w:type="dxa"/>
            <w:tcBorders>
              <w:top w:val="single" w:sz="4" w:space="0" w:color="auto"/>
              <w:left w:val="single" w:sz="4" w:space="0" w:color="auto"/>
              <w:bottom w:val="single" w:sz="4" w:space="0" w:color="auto"/>
              <w:right w:val="single" w:sz="4" w:space="0" w:color="auto"/>
            </w:tcBorders>
          </w:tcPr>
          <w:p w14:paraId="36F4F139" w14:textId="77777777" w:rsidR="00EB70A3" w:rsidRPr="007307FF" w:rsidRDefault="00EB70A3" w:rsidP="00EB70A3">
            <w:pPr>
              <w:tabs>
                <w:tab w:val="left" w:pos="454"/>
                <w:tab w:val="left" w:pos="1134"/>
              </w:tabs>
              <w:ind w:firstLine="176"/>
              <w:jc w:val="both"/>
              <w:rPr>
                <w:rFonts w:cs="Times New Roman"/>
                <w:szCs w:val="24"/>
              </w:rPr>
            </w:pPr>
            <w:r w:rsidRPr="007307FF">
              <w:rPr>
                <w:rFonts w:cs="Times New Roman"/>
                <w:szCs w:val="24"/>
              </w:rPr>
              <w:t xml:space="preserve">Pateikiama: per paskutinius 5 metus iki pasiūlymo pateikimo termino pabaigos arba per laiką nuo tiekėjo įregistravimo dienos (jeigu tiekėjas vykdė veiklą mažiau nei 5 metus) </w:t>
            </w:r>
            <w:r w:rsidRPr="007307FF">
              <w:rPr>
                <w:rFonts w:cs="Times New Roman"/>
                <w:b/>
                <w:szCs w:val="24"/>
              </w:rPr>
              <w:t>atliktų darbų sąrašas</w:t>
            </w:r>
            <w:r w:rsidRPr="007307FF">
              <w:rPr>
                <w:rFonts w:cs="Times New Roman"/>
                <w:szCs w:val="24"/>
              </w:rPr>
              <w:t xml:space="preserve"> </w:t>
            </w:r>
            <w:r w:rsidRPr="007307FF">
              <w:rPr>
                <w:rFonts w:cs="Times New Roman"/>
                <w:b/>
                <w:szCs w:val="24"/>
              </w:rPr>
              <w:t>kartu</w:t>
            </w:r>
            <w:r w:rsidRPr="007307FF">
              <w:rPr>
                <w:rFonts w:cs="Times New Roman"/>
                <w:szCs w:val="24"/>
              </w:rPr>
              <w:t xml:space="preserve"> </w:t>
            </w:r>
            <w:r w:rsidRPr="007307FF">
              <w:rPr>
                <w:rFonts w:cs="Times New Roman"/>
                <w:b/>
                <w:szCs w:val="24"/>
              </w:rPr>
              <w:t>su užsakovų</w:t>
            </w:r>
            <w:r w:rsidRPr="007307FF">
              <w:rPr>
                <w:rFonts w:cs="Times New Roman"/>
                <w:szCs w:val="24"/>
              </w:rPr>
              <w:t xml:space="preserve"> (tiek viešųjų, tiek privačiųjų) </w:t>
            </w:r>
            <w:r w:rsidRPr="007307FF">
              <w:rPr>
                <w:rFonts w:cs="Times New Roman"/>
                <w:b/>
                <w:szCs w:val="24"/>
              </w:rPr>
              <w:t>pažymomis</w:t>
            </w:r>
            <w:r w:rsidRPr="007307FF">
              <w:rPr>
                <w:rFonts w:cs="Times New Roman"/>
                <w:szCs w:val="24"/>
              </w:rPr>
              <w:t>, apie tai, kad darbų atlikimas ir galutiniai rezultatai buvo tinkami.</w:t>
            </w:r>
          </w:p>
          <w:p w14:paraId="6DD6E9D3" w14:textId="77777777" w:rsidR="00EB70A3" w:rsidRPr="007307FF" w:rsidRDefault="00EB70A3" w:rsidP="00EB70A3">
            <w:pPr>
              <w:tabs>
                <w:tab w:val="left" w:pos="454"/>
              </w:tabs>
              <w:ind w:right="33" w:firstLine="176"/>
              <w:jc w:val="both"/>
              <w:rPr>
                <w:rFonts w:cs="Times New Roman"/>
                <w:szCs w:val="24"/>
              </w:rPr>
            </w:pPr>
            <w:r w:rsidRPr="007307FF">
              <w:rPr>
                <w:rFonts w:cs="Times New Roman"/>
                <w:szCs w:val="24"/>
              </w:rPr>
              <w:t>Dokumentuose turi būti nurodyta:</w:t>
            </w:r>
          </w:p>
          <w:p w14:paraId="68D546DA" w14:textId="77777777" w:rsidR="00EB70A3" w:rsidRPr="007307FF" w:rsidRDefault="00EB70A3" w:rsidP="00EB70A3">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atliktų darbų trumpas aprašymas;</w:t>
            </w:r>
          </w:p>
          <w:p w14:paraId="590BF522" w14:textId="77777777" w:rsidR="00EB70A3" w:rsidRPr="007307FF" w:rsidRDefault="00EB70A3" w:rsidP="00EB70A3">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 xml:space="preserve">darbų atlikimo vieta; </w:t>
            </w:r>
          </w:p>
          <w:p w14:paraId="3AC7EE52" w14:textId="77777777" w:rsidR="00EB70A3" w:rsidRPr="007307FF" w:rsidRDefault="00EB70A3" w:rsidP="00EB70A3">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 xml:space="preserve">atliktų darbų vertė (be PVM); </w:t>
            </w:r>
          </w:p>
          <w:p w14:paraId="230E98E2" w14:textId="77777777" w:rsidR="00EB70A3" w:rsidRPr="007307FF" w:rsidRDefault="00EB70A3" w:rsidP="00EB70A3">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 xml:space="preserve">pirkime dalyvaujančio tiekėjo, tiekėjų grupės nario ar ūkio subjekto, kurio pajėgumais remiamasi, savarankiškai tos sutarties apimtyje atliktų darbų dalies vertė (be PVM); </w:t>
            </w:r>
          </w:p>
          <w:p w14:paraId="020BC875" w14:textId="77777777" w:rsidR="00EB70A3" w:rsidRPr="007307FF" w:rsidRDefault="00EB70A3" w:rsidP="00EB70A3">
            <w:pPr>
              <w:numPr>
                <w:ilvl w:val="0"/>
                <w:numId w:val="5"/>
              </w:numPr>
              <w:tabs>
                <w:tab w:val="left" w:pos="39"/>
                <w:tab w:val="left" w:pos="176"/>
                <w:tab w:val="left" w:pos="454"/>
              </w:tabs>
              <w:suppressAutoHyphens/>
              <w:ind w:left="0" w:right="33" w:firstLine="176"/>
              <w:jc w:val="both"/>
              <w:rPr>
                <w:rFonts w:cs="Times New Roman"/>
                <w:szCs w:val="24"/>
              </w:rPr>
            </w:pPr>
            <w:r w:rsidRPr="007307FF">
              <w:rPr>
                <w:rFonts w:cs="Times New Roman"/>
                <w:szCs w:val="24"/>
              </w:rPr>
              <w:t>darbų vykdymo pradžios ir pabaigos datos;</w:t>
            </w:r>
          </w:p>
          <w:p w14:paraId="1915E661" w14:textId="77777777" w:rsidR="00EB70A3" w:rsidRPr="00E16574" w:rsidRDefault="00EB70A3" w:rsidP="00EB70A3">
            <w:pPr>
              <w:numPr>
                <w:ilvl w:val="0"/>
                <w:numId w:val="5"/>
              </w:numPr>
              <w:tabs>
                <w:tab w:val="left" w:pos="0"/>
                <w:tab w:val="left" w:pos="176"/>
                <w:tab w:val="left" w:pos="454"/>
              </w:tabs>
              <w:suppressAutoHyphens/>
              <w:ind w:left="0" w:right="33" w:firstLine="176"/>
              <w:jc w:val="both"/>
              <w:rPr>
                <w:rFonts w:cs="Times New Roman"/>
                <w:szCs w:val="24"/>
              </w:rPr>
            </w:pPr>
            <w:r w:rsidRPr="007307FF">
              <w:rPr>
                <w:rFonts w:cs="Times New Roman"/>
                <w:szCs w:val="24"/>
              </w:rPr>
              <w:t xml:space="preserve">informacija apie tai, ar darbai buvo atlikti ir užbaigti pagal darbų atlikimą reglamentuojančių teisės aktų bei pirkimo </w:t>
            </w:r>
            <w:r w:rsidRPr="00E16574">
              <w:rPr>
                <w:rFonts w:cs="Times New Roman"/>
                <w:szCs w:val="24"/>
              </w:rPr>
              <w:t xml:space="preserve">sutarties reikalavimus. </w:t>
            </w:r>
          </w:p>
          <w:p w14:paraId="24A618BA" w14:textId="77777777" w:rsidR="00EB70A3" w:rsidRDefault="00EB70A3" w:rsidP="00EB70A3">
            <w:pPr>
              <w:spacing w:line="240" w:lineRule="exact"/>
              <w:contextualSpacing/>
              <w:jc w:val="both"/>
              <w:rPr>
                <w:rFonts w:eastAsia="Times New Roman" w:cs="Times New Roman"/>
                <w:b/>
                <w:i/>
                <w:szCs w:val="24"/>
                <w:u w:val="single"/>
                <w:lang w:eastAsia="lt-LT"/>
              </w:rPr>
            </w:pPr>
          </w:p>
          <w:p w14:paraId="7833E1B7" w14:textId="48EC19C9" w:rsidR="00EB70A3" w:rsidRPr="00E16574" w:rsidRDefault="00EB70A3" w:rsidP="00EB70A3">
            <w:pPr>
              <w:spacing w:line="240" w:lineRule="exact"/>
              <w:contextualSpacing/>
              <w:jc w:val="both"/>
              <w:rPr>
                <w:rFonts w:eastAsia="Times New Roman" w:cs="Times New Roman"/>
                <w:b/>
                <w:i/>
                <w:szCs w:val="24"/>
                <w:lang w:eastAsia="lt-LT"/>
              </w:rPr>
            </w:pPr>
            <w:r w:rsidRPr="00E16574">
              <w:rPr>
                <w:rFonts w:eastAsia="Times New Roman" w:cs="Times New Roman"/>
                <w:b/>
                <w:i/>
                <w:szCs w:val="24"/>
                <w:u w:val="single"/>
                <w:lang w:eastAsia="lt-LT"/>
              </w:rPr>
              <w:t>Pastaba:</w:t>
            </w:r>
            <w:r w:rsidRPr="00E16574">
              <w:rPr>
                <w:rFonts w:eastAsia="Times New Roman" w:cs="Times New Roman"/>
                <w:b/>
                <w:i/>
                <w:szCs w:val="24"/>
                <w:lang w:eastAsia="lt-LT"/>
              </w:rPr>
              <w:t xml:space="preserve"> </w:t>
            </w:r>
            <w:r w:rsidRPr="00E16574">
              <w:rPr>
                <w:rFonts w:eastAsia="Times New Roman" w:cs="Times New Roman"/>
                <w:i/>
                <w:szCs w:val="24"/>
                <w:lang w:eastAsia="lt-LT"/>
              </w:rPr>
              <w:t>Jeigu Tiekėjas remiasi nebaigtų vykdyti sutarčių įvykdytomis dalimis, privalo pateikti Užsakovo pažymas, kad įvykdyta sutarties dalis yra tinkama ir galutiniai rezultatai tinkami.</w:t>
            </w:r>
          </w:p>
          <w:p w14:paraId="79672F73" w14:textId="77777777" w:rsidR="00EB70A3" w:rsidRPr="00E16574" w:rsidRDefault="00EB70A3" w:rsidP="00EB70A3">
            <w:pPr>
              <w:tabs>
                <w:tab w:val="left" w:pos="1134"/>
              </w:tabs>
              <w:jc w:val="both"/>
              <w:rPr>
                <w:rFonts w:cs="Times New Roman"/>
                <w:szCs w:val="24"/>
              </w:rPr>
            </w:pPr>
          </w:p>
          <w:p w14:paraId="329EE4E5" w14:textId="0694464B" w:rsidR="00EB70A3" w:rsidRPr="00EE2642" w:rsidRDefault="00EB70A3" w:rsidP="00EB70A3">
            <w:pPr>
              <w:tabs>
                <w:tab w:val="left" w:pos="1134"/>
              </w:tabs>
              <w:jc w:val="both"/>
              <w:rPr>
                <w:rFonts w:cs="Times New Roman"/>
                <w:szCs w:val="24"/>
              </w:rPr>
            </w:pPr>
            <w:r w:rsidRPr="00E16574">
              <w:rPr>
                <w:rFonts w:cs="Times New Roman"/>
                <w:i/>
                <w:iCs/>
                <w:szCs w:val="24"/>
              </w:rPr>
              <w:t xml:space="preserve">CVP IS priemonėmis </w:t>
            </w:r>
            <w:r w:rsidRPr="007307FF">
              <w:rPr>
                <w:rFonts w:cs="Times New Roman"/>
                <w:i/>
                <w:iCs/>
                <w:szCs w:val="24"/>
              </w:rPr>
              <w:t>pateikiamos skaitmeninės dokumentų kopijos.</w:t>
            </w:r>
          </w:p>
        </w:tc>
      </w:tr>
      <w:tr w:rsidR="00EB70A3"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7EF2A28A" w14:textId="77777777" w:rsidR="00EB70A3" w:rsidRPr="007307FF" w:rsidRDefault="00EB70A3" w:rsidP="00EB70A3">
            <w:pPr>
              <w:tabs>
                <w:tab w:val="left" w:pos="426"/>
              </w:tabs>
              <w:ind w:firstLine="142"/>
              <w:jc w:val="both"/>
              <w:rPr>
                <w:rFonts w:cs="Times New Roman"/>
                <w:szCs w:val="24"/>
              </w:rPr>
            </w:pPr>
            <w:r w:rsidRPr="007307FF">
              <w:rPr>
                <w:rFonts w:cs="Times New Roman"/>
                <w:szCs w:val="24"/>
              </w:rPr>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3D528DF5" w14:textId="77777777" w:rsidR="00EB70A3" w:rsidRPr="007307FF" w:rsidRDefault="00EB70A3" w:rsidP="00EB70A3">
            <w:pPr>
              <w:tabs>
                <w:tab w:val="left" w:pos="426"/>
              </w:tabs>
              <w:ind w:firstLine="142"/>
              <w:jc w:val="both"/>
              <w:rPr>
                <w:rFonts w:cs="Times New Roman"/>
                <w:szCs w:val="24"/>
              </w:rPr>
            </w:pPr>
            <w:r w:rsidRPr="007307FF">
              <w:rPr>
                <w:rFonts w:cs="Times New Roman"/>
                <w:szCs w:val="24"/>
              </w:rPr>
              <w:t>Subjektas, kuris turi atitikti reikalavimą:</w:t>
            </w:r>
          </w:p>
          <w:p w14:paraId="231CBEC1" w14:textId="77777777" w:rsidR="00EB70A3" w:rsidRPr="007307FF" w:rsidRDefault="00EB70A3" w:rsidP="00EB70A3">
            <w:pPr>
              <w:pStyle w:val="Sraopastraipa"/>
              <w:numPr>
                <w:ilvl w:val="0"/>
                <w:numId w:val="6"/>
              </w:numPr>
              <w:tabs>
                <w:tab w:val="left" w:pos="426"/>
              </w:tabs>
              <w:ind w:left="0" w:firstLine="142"/>
              <w:contextualSpacing w:val="0"/>
              <w:rPr>
                <w:szCs w:val="24"/>
              </w:rPr>
            </w:pPr>
            <w:r w:rsidRPr="007307FF">
              <w:rPr>
                <w:szCs w:val="24"/>
              </w:rPr>
              <w:t>jeigu pasiūlymą teikia ūkio subjektų grupė – reikalavimą turi atitikti visi ūkio subjektų grupės nariai kartu (ūkio subjektų grupės narių turima patirtis sumuojama), atsižvelgiant į jų prisiimamus įsipareigojimus;</w:t>
            </w:r>
          </w:p>
          <w:p w14:paraId="20CEC848" w14:textId="77777777" w:rsidR="00EB70A3" w:rsidRPr="007307FF" w:rsidRDefault="00EB70A3" w:rsidP="00EB70A3">
            <w:pPr>
              <w:pStyle w:val="Sraopastraipa"/>
              <w:numPr>
                <w:ilvl w:val="0"/>
                <w:numId w:val="6"/>
              </w:numPr>
              <w:tabs>
                <w:tab w:val="left" w:pos="426"/>
              </w:tabs>
              <w:ind w:left="0" w:firstLine="142"/>
              <w:contextualSpacing w:val="0"/>
              <w:rPr>
                <w:szCs w:val="24"/>
              </w:rPr>
            </w:pPr>
            <w:r w:rsidRPr="007307FF">
              <w:rPr>
                <w:szCs w:val="24"/>
              </w:rPr>
              <w:t>tiekėjas gali remtis kitų ūkio subjektų pajėgumais tik tuo atveju, jeigu tie subjektai patys vykdys tą pirkimo sutarties dalį, kuriai reikia jų turimų pajėgumų;</w:t>
            </w:r>
          </w:p>
          <w:p w14:paraId="37E647A6" w14:textId="77777777" w:rsidR="00EB70A3" w:rsidRPr="007307FF" w:rsidRDefault="00EB70A3" w:rsidP="00EB70A3">
            <w:pPr>
              <w:pStyle w:val="Sraopastraipa"/>
              <w:numPr>
                <w:ilvl w:val="0"/>
                <w:numId w:val="6"/>
              </w:numPr>
              <w:tabs>
                <w:tab w:val="left" w:pos="426"/>
              </w:tabs>
              <w:ind w:left="0" w:firstLine="142"/>
              <w:contextualSpacing w:val="0"/>
              <w:rPr>
                <w:szCs w:val="24"/>
              </w:rPr>
            </w:pPr>
            <w:r w:rsidRPr="007307FF">
              <w:rPr>
                <w:szCs w:val="24"/>
              </w:rPr>
              <w:t>subtiekėjams šis reikalavimas nenustatomas.</w:t>
            </w:r>
          </w:p>
          <w:p w14:paraId="18578ED0" w14:textId="77777777" w:rsidR="00EB70A3" w:rsidRPr="007307FF" w:rsidRDefault="00EB70A3" w:rsidP="00EB70A3">
            <w:pPr>
              <w:tabs>
                <w:tab w:val="left" w:pos="426"/>
              </w:tabs>
              <w:ind w:firstLine="142"/>
              <w:jc w:val="both"/>
              <w:rPr>
                <w:rFonts w:cs="Times New Roman"/>
                <w:i/>
                <w:szCs w:val="24"/>
              </w:rPr>
            </w:pPr>
          </w:p>
          <w:p w14:paraId="720E7D6D" w14:textId="77777777" w:rsidR="00EB70A3" w:rsidRPr="007307FF" w:rsidRDefault="00EB70A3" w:rsidP="00EB70A3">
            <w:pPr>
              <w:tabs>
                <w:tab w:val="left" w:pos="426"/>
              </w:tabs>
              <w:ind w:firstLine="142"/>
              <w:jc w:val="both"/>
              <w:rPr>
                <w:rFonts w:cs="Times New Roman"/>
                <w:i/>
                <w:szCs w:val="24"/>
              </w:rPr>
            </w:pPr>
            <w:r w:rsidRPr="007307FF">
              <w:rPr>
                <w:rFonts w:cs="Times New Roman"/>
                <w:i/>
                <w:szCs w:val="24"/>
              </w:rPr>
              <w:t xml:space="preserve">Pastabos: </w:t>
            </w:r>
          </w:p>
          <w:p w14:paraId="30EEC3D2" w14:textId="77777777" w:rsidR="00EB70A3" w:rsidRPr="00E16574" w:rsidRDefault="00EB70A3" w:rsidP="00EB70A3">
            <w:pPr>
              <w:pStyle w:val="Sraopastraipa"/>
              <w:numPr>
                <w:ilvl w:val="0"/>
                <w:numId w:val="7"/>
              </w:numPr>
              <w:tabs>
                <w:tab w:val="left" w:pos="426"/>
              </w:tabs>
              <w:ind w:left="0" w:firstLine="142"/>
              <w:rPr>
                <w:szCs w:val="24"/>
              </w:rPr>
            </w:pPr>
            <w:r w:rsidRPr="00E16574">
              <w:rPr>
                <w:i/>
                <w:szCs w:val="24"/>
              </w:rPr>
              <w:t xml:space="preserve">Tiekėjas atitiks kvalifikacinius reikalavimus pateikęs vietinės reikšmės, valstybinės reikšmės ar rajoniniuose keliuose ir/ar gatvėse ir aukštesnės statinio statybos rūšies atliktų darbų pagrindžiančius dokumentus. </w:t>
            </w:r>
          </w:p>
          <w:p w14:paraId="54F0639A" w14:textId="77777777" w:rsidR="00EB70A3" w:rsidRPr="00EB70A3" w:rsidRDefault="00EB70A3" w:rsidP="00EB70A3">
            <w:pPr>
              <w:pStyle w:val="Sraopastraipa"/>
              <w:numPr>
                <w:ilvl w:val="0"/>
                <w:numId w:val="7"/>
              </w:numPr>
              <w:tabs>
                <w:tab w:val="left" w:pos="298"/>
                <w:tab w:val="left" w:pos="426"/>
              </w:tabs>
              <w:ind w:left="0" w:firstLine="142"/>
              <w:contextualSpacing w:val="0"/>
              <w:rPr>
                <w:iCs/>
                <w:szCs w:val="24"/>
              </w:rPr>
            </w:pPr>
            <w:r w:rsidRPr="007307FF">
              <w:rPr>
                <w:i/>
                <w:iCs/>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DFB261B" w14:textId="2B78D0D6" w:rsidR="00EB70A3" w:rsidRPr="00EB70A3" w:rsidRDefault="00EB70A3" w:rsidP="00EB70A3">
            <w:pPr>
              <w:pStyle w:val="Sraopastraipa"/>
              <w:numPr>
                <w:ilvl w:val="0"/>
                <w:numId w:val="7"/>
              </w:numPr>
              <w:tabs>
                <w:tab w:val="left" w:pos="298"/>
                <w:tab w:val="left" w:pos="426"/>
              </w:tabs>
              <w:ind w:left="0" w:firstLine="142"/>
              <w:contextualSpacing w:val="0"/>
              <w:rPr>
                <w:iCs/>
                <w:szCs w:val="24"/>
              </w:rPr>
            </w:pPr>
            <w:r w:rsidRPr="00EB70A3">
              <w:rPr>
                <w:i/>
                <w:iCs/>
                <w:szCs w:val="24"/>
              </w:rPr>
              <w:t>Tiekėjas patirtį gali įrodinėti tiek baigtomis sutartimis, tiek nebaigtų vykdyti sutarčių jau įvykdytomis dalimis.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32CC4762" w:rsidR="00D108BB" w:rsidRPr="00154595" w:rsidRDefault="00D108BB" w:rsidP="00D108BB">
      <w:pPr>
        <w:pStyle w:val="Sraopastraipa"/>
        <w:numPr>
          <w:ilvl w:val="0"/>
          <w:numId w:val="1"/>
        </w:numPr>
        <w:tabs>
          <w:tab w:val="left" w:pos="1276"/>
        </w:tabs>
        <w:ind w:left="0" w:firstLine="710"/>
        <w:rPr>
          <w:szCs w:val="24"/>
        </w:rPr>
      </w:pPr>
      <w:r w:rsidRPr="00154595">
        <w:rPr>
          <w:szCs w:val="24"/>
        </w:rPr>
        <w:t>Perkančioji organizacija šiame pirkime netaiko kokybės vadybos sistemos standartų reikalavimų.</w:t>
      </w:r>
    </w:p>
    <w:p w14:paraId="56F959D2" w14:textId="1DFE3DF8" w:rsidR="00806731" w:rsidRDefault="00806731" w:rsidP="00D108BB">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700F7C62" w14:textId="77777777" w:rsidR="00D60076"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D60076" w:rsidRPr="00CD7016" w14:paraId="6FCAE2D0"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5378F7E9" w:rsidR="00D60076" w:rsidRPr="00D108BB" w:rsidRDefault="00D108BB"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080FF2" w:rsidRPr="00CD7016" w14:paraId="1BE1B209"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56C4B15" w14:textId="7281FE99" w:rsidR="00080FF2" w:rsidRPr="00D108BB" w:rsidRDefault="00080FF2" w:rsidP="00080FF2">
            <w:pPr>
              <w:widowControl w:val="0"/>
              <w:jc w:val="center"/>
              <w:rPr>
                <w:rFonts w:eastAsia="Times New Roman" w:cs="Times New Roman"/>
                <w:sz w:val="23"/>
                <w:szCs w:val="23"/>
                <w:lang w:eastAsia="lt-LT"/>
              </w:rPr>
            </w:pPr>
            <w:r w:rsidRPr="00D108BB">
              <w:rPr>
                <w:rFonts w:eastAsia="Times New Roman" w:cs="Times New Roman"/>
                <w:sz w:val="23"/>
                <w:szCs w:val="23"/>
                <w:lang w:eastAsia="lt-LT"/>
              </w:rPr>
              <w:t>31.1.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BD66AF" w14:textId="77777777" w:rsidR="00080FF2" w:rsidRPr="008778D4" w:rsidRDefault="00080FF2" w:rsidP="00080FF2">
            <w:pPr>
              <w:jc w:val="both"/>
              <w:rPr>
                <w:rFonts w:eastAsia="Times New Roman"/>
                <w:szCs w:val="24"/>
                <w:lang w:eastAsia="lt-LT"/>
              </w:rPr>
            </w:pPr>
            <w:r>
              <w:rPr>
                <w:rFonts w:eastAsia="SimSun"/>
                <w:szCs w:val="24"/>
                <w:lang w:eastAsia="lt-LT"/>
              </w:rPr>
              <w:t>T</w:t>
            </w:r>
            <w:r w:rsidRPr="008778D4">
              <w:rPr>
                <w:rFonts w:eastAsia="SimSun"/>
                <w:szCs w:val="24"/>
                <w:lang w:eastAsia="lt-LT"/>
              </w:rPr>
              <w:t>i</w:t>
            </w:r>
            <w:r>
              <w:rPr>
                <w:rFonts w:eastAsia="SimSun"/>
                <w:szCs w:val="24"/>
                <w:lang w:eastAsia="lt-LT"/>
              </w:rPr>
              <w:t>e</w:t>
            </w:r>
            <w:r w:rsidRPr="008778D4">
              <w:rPr>
                <w:rFonts w:eastAsia="SimSun"/>
                <w:szCs w:val="24"/>
                <w:lang w:eastAsia="lt-LT"/>
              </w:rPr>
              <w:t xml:space="preserve">kėjas, pagal </w:t>
            </w:r>
            <w:r w:rsidRPr="00C45BE1">
              <w:rPr>
                <w:rFonts w:eastAsia="SimSun"/>
                <w:szCs w:val="24"/>
                <w:lang w:eastAsia="lt-LT"/>
              </w:rPr>
              <w:t>vykdomų darbų sritį, susisiekimo</w:t>
            </w:r>
            <w:r>
              <w:rPr>
                <w:rFonts w:eastAsia="SimSun"/>
                <w:szCs w:val="24"/>
                <w:lang w:eastAsia="lt-LT"/>
              </w:rPr>
              <w:t xml:space="preserve"> komunikacijos: keliai (gatvės)</w:t>
            </w:r>
            <w:r w:rsidRPr="008778D4">
              <w:rPr>
                <w:rFonts w:eastAsia="SimSun"/>
                <w:szCs w:val="24"/>
                <w:lang w:eastAsia="lt-LT"/>
              </w:rPr>
              <w:t>, laikosi:</w:t>
            </w:r>
          </w:p>
          <w:p w14:paraId="5C192F93" w14:textId="77777777" w:rsidR="00080FF2" w:rsidRPr="008778D4" w:rsidRDefault="00080FF2" w:rsidP="00080FF2">
            <w:pPr>
              <w:jc w:val="both"/>
              <w:rPr>
                <w:rFonts w:eastAsia="SimSun"/>
                <w:szCs w:val="24"/>
                <w:lang w:eastAsia="lt-LT"/>
              </w:rPr>
            </w:pPr>
            <w:r w:rsidRPr="008778D4">
              <w:rPr>
                <w:rFonts w:eastAsia="SimSun"/>
                <w:szCs w:val="24"/>
                <w:lang w:eastAsia="lt-LT"/>
              </w:rPr>
              <w:t xml:space="preserve">-  Europos Sąjungos aplinkos apsaugos vadybos ir audito sistemos </w:t>
            </w:r>
            <w:r w:rsidRPr="008778D4">
              <w:rPr>
                <w:rFonts w:eastAsia="SimSun"/>
                <w:i/>
                <w:iCs/>
                <w:szCs w:val="24"/>
                <w:lang w:eastAsia="lt-LT"/>
              </w:rPr>
              <w:t xml:space="preserve">(angl. Eco-Managment and Audit Scheme, EMAS) </w:t>
            </w:r>
            <w:r w:rsidRPr="008778D4">
              <w:rPr>
                <w:rFonts w:eastAsia="SimSun"/>
                <w:szCs w:val="24"/>
                <w:lang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8778D4">
              <w:rPr>
                <w:rFonts w:eastAsia="Times New Roman"/>
                <w:szCs w:val="24"/>
                <w:lang w:eastAsia="lt-LT"/>
              </w:rPr>
              <w:t xml:space="preserve">panaikinančio Reglamentą (EB) Nr. 761/2001 ir Komisijos sprendimus 2001/681/EB bei 2006/193/EB (OL 2009 L 342, p. 1), </w:t>
            </w:r>
            <w:r w:rsidRPr="008778D4">
              <w:rPr>
                <w:rFonts w:eastAsia="SimSun"/>
                <w:szCs w:val="24"/>
                <w:lang w:eastAsia="lt-LT"/>
              </w:rPr>
              <w:t>45 straipsnį, arba kitų aplinkos apsaugos vadybos standartų reikalavimų, arba</w:t>
            </w:r>
          </w:p>
          <w:p w14:paraId="46AAB88E" w14:textId="35BE6DE3" w:rsidR="00080FF2" w:rsidRPr="000C7732" w:rsidRDefault="00080FF2" w:rsidP="00080FF2">
            <w:pPr>
              <w:contextualSpacing/>
              <w:jc w:val="both"/>
              <w:rPr>
                <w:rFonts w:eastAsia="Times New Roman"/>
                <w:szCs w:val="24"/>
                <w:lang w:eastAsia="lt-LT"/>
              </w:rPr>
            </w:pPr>
            <w:r w:rsidRPr="008778D4">
              <w:rPr>
                <w:rFonts w:eastAsia="Times New Roman"/>
                <w:szCs w:val="24"/>
                <w:lang w:eastAsia="lt-LT"/>
              </w:rPr>
              <w:t>-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67AE8FF" w14:textId="77777777" w:rsidR="00080FF2" w:rsidRPr="00187B78" w:rsidRDefault="00080FF2" w:rsidP="00080FF2">
            <w:pPr>
              <w:jc w:val="both"/>
              <w:rPr>
                <w:szCs w:val="24"/>
                <w:lang w:eastAsia="lt-LT"/>
              </w:rPr>
            </w:pPr>
            <w:r w:rsidRPr="00187B78">
              <w:rPr>
                <w:szCs w:val="24"/>
                <w:lang w:eastAsia="lt-LT"/>
              </w:rPr>
              <w:t>Pateikiama nepriklausomos įstaigos išduoto galiojančio sertifikato, patvirtinančio, kad tiekėjas laikosi reikalaujamos aplinkos apsaugos vadybos sistemos standartų arba lygiaverčių standartų, skaitmeninė kopija. </w:t>
            </w:r>
          </w:p>
          <w:p w14:paraId="24493CFB" w14:textId="77777777" w:rsidR="00080FF2" w:rsidRPr="00187B78" w:rsidRDefault="00080FF2" w:rsidP="00080FF2">
            <w:pPr>
              <w:jc w:val="both"/>
              <w:rPr>
                <w:szCs w:val="24"/>
                <w:lang w:eastAsia="lt-LT"/>
              </w:rPr>
            </w:pPr>
          </w:p>
          <w:p w14:paraId="28B52175" w14:textId="77777777" w:rsidR="00080FF2" w:rsidRPr="00187B78" w:rsidRDefault="00080FF2" w:rsidP="00080FF2">
            <w:pPr>
              <w:jc w:val="both"/>
              <w:rPr>
                <w:szCs w:val="24"/>
                <w:lang w:eastAsia="lt-LT"/>
              </w:rPr>
            </w:pPr>
            <w:r w:rsidRPr="00187B78">
              <w:rPr>
                <w:szCs w:val="24"/>
                <w:lang w:eastAsia="lt-LT"/>
              </w:rPr>
              <w:t>Perkančioji organizacija pripažįsta lygiaverčius sertifikatus, išduotus kitose valstybėse narėse įsteigtų nepriklausomų įstaigų.</w:t>
            </w:r>
          </w:p>
          <w:p w14:paraId="47D148CA" w14:textId="77777777" w:rsidR="00080FF2" w:rsidRPr="00187B78" w:rsidRDefault="00080FF2" w:rsidP="00080FF2">
            <w:pPr>
              <w:jc w:val="both"/>
              <w:rPr>
                <w:szCs w:val="24"/>
                <w:lang w:eastAsia="lt-LT"/>
              </w:rPr>
            </w:pPr>
          </w:p>
          <w:p w14:paraId="42E24B91" w14:textId="77777777" w:rsidR="00080FF2" w:rsidRPr="00187B78" w:rsidRDefault="00080FF2" w:rsidP="00080FF2">
            <w:pPr>
              <w:jc w:val="both"/>
              <w:rPr>
                <w:szCs w:val="24"/>
                <w:lang w:eastAsia="lt-LT"/>
              </w:rPr>
            </w:pPr>
            <w:r w:rsidRPr="00187B78">
              <w:rPr>
                <w:szCs w:val="24"/>
                <w:lang w:eastAsia="lt-LT"/>
              </w:rPr>
              <w:t xml:space="preserve">Tiekėjas gali pateikti lygiaverčius įrodymus (pavyzdžiui, tiekėjo patvirtintus taikomus aplinkos apsaugos vadybos priemonių aprašymus), atitinkančius visus </w:t>
            </w:r>
            <w:hyperlink r:id="rId11" w:history="1">
              <w:r w:rsidRPr="00187B78">
                <w:rPr>
                  <w:rStyle w:val="Hipersaitas"/>
                  <w:color w:val="auto"/>
                  <w:szCs w:val="24"/>
                  <w:lang w:eastAsia="lt-LT"/>
                </w:rPr>
                <w:t>Aplinkos apsaugos kriterijų taikymo, vykdant žaliuosius pirkimus tvarkos aprašo</w:t>
              </w:r>
            </w:hyperlink>
            <w:r w:rsidRPr="00187B78">
              <w:rPr>
                <w:szCs w:val="24"/>
                <w:lang w:eastAsia="lt-LT"/>
              </w:rPr>
              <w:t xml:space="preserve"> 10 punkto 10.1.-10.6. papunkčiuose nustatytus reikalavimus.</w:t>
            </w:r>
          </w:p>
          <w:p w14:paraId="7E79DFE0" w14:textId="77777777" w:rsidR="00080FF2" w:rsidRPr="00187B78" w:rsidRDefault="00080FF2" w:rsidP="00080FF2">
            <w:pPr>
              <w:jc w:val="both"/>
              <w:rPr>
                <w:rFonts w:eastAsia="SimSun"/>
                <w:szCs w:val="24"/>
                <w:lang w:eastAsia="lt-LT"/>
              </w:rPr>
            </w:pPr>
          </w:p>
          <w:p w14:paraId="6D24125F" w14:textId="248E8B4A" w:rsidR="00080FF2" w:rsidRPr="00D108BB" w:rsidRDefault="00080FF2" w:rsidP="00080FF2">
            <w:pPr>
              <w:jc w:val="both"/>
              <w:rPr>
                <w:rFonts w:eastAsia="SimSun"/>
                <w:i/>
                <w:iCs/>
                <w:sz w:val="23"/>
                <w:szCs w:val="23"/>
              </w:rPr>
            </w:pPr>
            <w:r w:rsidRPr="00187B78">
              <w:rPr>
                <w:rFonts w:eastAsia="SimSun"/>
                <w:i/>
                <w:iCs/>
                <w:szCs w:val="24"/>
                <w:lang w:eastAsia="lt-LT"/>
              </w:rPr>
              <w:t>CVP IS priemonėmis pateikiamos skaitmeninės dokumentų kopijos.</w:t>
            </w:r>
          </w:p>
        </w:tc>
      </w:tr>
      <w:tr w:rsidR="00080FF2" w:rsidRPr="00CD7016" w14:paraId="7B12059D" w14:textId="77777777" w:rsidTr="003326FA">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A0A5F6" w14:textId="77777777" w:rsidR="00080FF2" w:rsidRPr="00187B78" w:rsidRDefault="00080FF2" w:rsidP="00080FF2">
            <w:pPr>
              <w:pStyle w:val="Sraopastraipa"/>
              <w:tabs>
                <w:tab w:val="left" w:pos="286"/>
                <w:tab w:val="left" w:pos="710"/>
              </w:tabs>
              <w:ind w:left="0"/>
              <w:rPr>
                <w:i/>
                <w:szCs w:val="24"/>
              </w:rPr>
            </w:pPr>
            <w:r w:rsidRPr="00187B78">
              <w:rPr>
                <w:i/>
                <w:szCs w:val="24"/>
              </w:rPr>
              <w:lastRenderedPageBreak/>
              <w:t>Subjektas, kuris turi atitikti reikalavimą:</w:t>
            </w:r>
          </w:p>
          <w:p w14:paraId="030BBE77" w14:textId="77777777" w:rsidR="00080FF2" w:rsidRPr="00187B78" w:rsidRDefault="00080FF2" w:rsidP="00080FF2">
            <w:pPr>
              <w:pStyle w:val="Sraopastraipa"/>
              <w:numPr>
                <w:ilvl w:val="0"/>
                <w:numId w:val="4"/>
              </w:numPr>
              <w:tabs>
                <w:tab w:val="left" w:pos="294"/>
              </w:tabs>
              <w:ind w:left="0" w:firstLine="0"/>
              <w:contextualSpacing w:val="0"/>
              <w:rPr>
                <w:i/>
                <w:szCs w:val="24"/>
              </w:rPr>
            </w:pPr>
            <w:r w:rsidRPr="00187B78">
              <w:rPr>
                <w:i/>
                <w:szCs w:val="24"/>
              </w:rPr>
              <w:t>jeigu pasiūlymą teikia ūkio subjektų grupė – reikalavimą turi atitikti ūkio subjektų grupės narys (-iai), atsižvelgiant į jų prisiimamus įsipareigojimus pirkimo sutarčiai vykdyti;</w:t>
            </w:r>
          </w:p>
          <w:p w14:paraId="0B5A5EA3" w14:textId="77777777" w:rsidR="00080FF2" w:rsidRDefault="00080FF2" w:rsidP="00080FF2">
            <w:pPr>
              <w:pStyle w:val="Sraopastraipa"/>
              <w:numPr>
                <w:ilvl w:val="0"/>
                <w:numId w:val="4"/>
              </w:numPr>
              <w:tabs>
                <w:tab w:val="left" w:pos="294"/>
              </w:tabs>
              <w:ind w:left="0" w:firstLine="0"/>
              <w:contextualSpacing w:val="0"/>
              <w:rPr>
                <w:i/>
                <w:szCs w:val="24"/>
              </w:rPr>
            </w:pPr>
            <w:r w:rsidRPr="00187B78">
              <w:rPr>
                <w:i/>
                <w:szCs w:val="24"/>
              </w:rPr>
              <w:t xml:space="preserve">tiekėjas gali remtis kitų ūkio subjektų pajėgumais atsižvelgiant į jų prisiimamus įsipareigojimus pirkimo sutarčiai vykdyti; </w:t>
            </w:r>
          </w:p>
          <w:p w14:paraId="72DF4975" w14:textId="7C560713" w:rsidR="00080FF2" w:rsidRPr="00080FF2" w:rsidRDefault="00080FF2" w:rsidP="00080FF2">
            <w:pPr>
              <w:pStyle w:val="Sraopastraipa"/>
              <w:numPr>
                <w:ilvl w:val="0"/>
                <w:numId w:val="4"/>
              </w:numPr>
              <w:tabs>
                <w:tab w:val="left" w:pos="294"/>
              </w:tabs>
              <w:ind w:left="0" w:firstLine="0"/>
              <w:contextualSpacing w:val="0"/>
              <w:rPr>
                <w:i/>
                <w:szCs w:val="24"/>
              </w:rPr>
            </w:pPr>
            <w:r w:rsidRPr="00080FF2">
              <w:rPr>
                <w:i/>
                <w:szCs w:val="24"/>
              </w:rPr>
              <w:t>subrangovai turi laikytis reikalaujamų aplinkos apsaugos vadybos priemonių, atsižvelgiant į jų prisiimamus įsipareigojimus pirkimo sutarčiai vykdyti.</w:t>
            </w:r>
          </w:p>
        </w:tc>
      </w:tr>
    </w:tbl>
    <w:p w14:paraId="29D16BD1" w14:textId="77777777" w:rsidR="00596775" w:rsidRDefault="00596775" w:rsidP="00596775">
      <w:pPr>
        <w:ind w:firstLine="567"/>
        <w:jc w:val="both"/>
        <w:rPr>
          <w:rFonts w:eastAsia="Calibri" w:cs="Times New Roman"/>
          <w:b/>
          <w:szCs w:val="24"/>
          <w:lang w:eastAsia="en-US"/>
        </w:rPr>
      </w:pPr>
    </w:p>
    <w:p w14:paraId="16FD73F5" w14:textId="7ED8A193" w:rsidR="00596775" w:rsidRPr="00FB69BC" w:rsidRDefault="00596775" w:rsidP="00FA57D4">
      <w:pPr>
        <w:pStyle w:val="Sraopastraipa"/>
        <w:widowControl w:val="0"/>
        <w:numPr>
          <w:ilvl w:val="0"/>
          <w:numId w:val="1"/>
        </w:numPr>
        <w:tabs>
          <w:tab w:val="left" w:pos="1276"/>
        </w:tabs>
        <w:ind w:left="0" w:firstLine="567"/>
        <w:rPr>
          <w:szCs w:val="24"/>
        </w:rPr>
      </w:pPr>
      <w:r w:rsidRPr="00FB69BC">
        <w:rPr>
          <w:szCs w:val="24"/>
        </w:rPr>
        <w:t>Perkančioji organizacija nereikalau</w:t>
      </w:r>
      <w:r w:rsidR="00CD7016" w:rsidRPr="00FB69BC">
        <w:rPr>
          <w:szCs w:val="24"/>
        </w:rPr>
        <w:t>s</w:t>
      </w:r>
      <w:r w:rsidRPr="00FB69BC">
        <w:rPr>
          <w:szCs w:val="24"/>
        </w:rPr>
        <w:t xml:space="preserve"> iš tiekėjo pateikti dokumentų patvirtinančių kokybės vadybos sistemos ir (arba) aplinkos apsaugos vadybos sistemos standartams jeigu ji:</w:t>
      </w:r>
    </w:p>
    <w:p w14:paraId="14563887" w14:textId="1A25AD48" w:rsidR="00596775" w:rsidRPr="00FB69BC"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tur</w:t>
      </w:r>
      <w:r w:rsidR="00CD7016" w:rsidRPr="00FB69BC">
        <w:rPr>
          <w:rFonts w:eastAsia="Times New Roman" w:cs="Times New Roman"/>
          <w:szCs w:val="24"/>
        </w:rPr>
        <w:t>ės</w:t>
      </w:r>
      <w:r w:rsidRPr="00FB69BC">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7527CB1A" w14:textId="21F8E83A" w:rsidR="00596775"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šiuos dokumentus jau tur</w:t>
      </w:r>
      <w:r w:rsidR="00CD7016" w:rsidRPr="00FB69BC">
        <w:rPr>
          <w:rFonts w:eastAsia="Times New Roman" w:cs="Times New Roman"/>
          <w:szCs w:val="24"/>
        </w:rPr>
        <w:t>ės</w:t>
      </w:r>
      <w:r w:rsidRPr="00FB69BC">
        <w:rPr>
          <w:rFonts w:eastAsia="Times New Roman" w:cs="Times New Roman"/>
          <w:szCs w:val="24"/>
        </w:rPr>
        <w:t xml:space="preserve"> iš ankstesnių pirkimo procedūrų.</w:t>
      </w:r>
    </w:p>
    <w:p w14:paraId="64F1B802" w14:textId="77777777" w:rsidR="00FB69BC" w:rsidRPr="00FB69BC" w:rsidRDefault="00FB69BC" w:rsidP="00FA57D4">
      <w:pPr>
        <w:widowControl w:val="0"/>
        <w:tabs>
          <w:tab w:val="left" w:pos="1276"/>
        </w:tabs>
        <w:ind w:left="567"/>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41554C1"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FB69BC" w:rsidRPr="00D87207">
        <w:rPr>
          <w:rFonts w:eastAsia="Calibri" w:cs="Times New Roman"/>
          <w:b/>
          <w:szCs w:val="24"/>
          <w:lang w:eastAsia="en-US"/>
        </w:rPr>
        <w:t>17</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A17CD9">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A17CD9">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lastRenderedPageBreak/>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pdf, jpg, doc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A17CD9">
      <w:pPr>
        <w:widowControl w:val="0"/>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w:t>
      </w:r>
      <w:r w:rsidR="00B52867" w:rsidRPr="009527D6">
        <w:rPr>
          <w:rFonts w:cs="Times New Roman"/>
          <w:szCs w:val="24"/>
        </w:rPr>
        <w:lastRenderedPageBreak/>
        <w:t>įrodantis, kad vykdant pirkimo sutartį ūkio subjektų, kurių pajėgumais tiekėjas remiasi, ištekliai jam bus prieinami;</w:t>
      </w:r>
    </w:p>
    <w:p w14:paraId="640DE06C" w14:textId="77777777" w:rsidR="008D6610" w:rsidRPr="008D6610" w:rsidRDefault="00DA3100" w:rsidP="00A17CD9">
      <w:pPr>
        <w:widowControl w:val="0"/>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1493385E"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visas perkamų darbų apimtis, į pasiūlymo kainos sudėtines dalis, į techninės specifikacijos (pirkimo sąlygų 2 priedas) reikalavimus, į pirkimo sutarties projekte numatytą atsiskaitymo už suteiktus darbus terminą bei į visus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5"/>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 xml:space="preserve">nustatytus reikalavimus dėl paskelbimo apie sudarytą pirkimo sutartį, kandidatų ir dalyvių </w:t>
      </w:r>
      <w:r w:rsidRPr="0052442B">
        <w:rPr>
          <w:rFonts w:eastAsia="Calibri"/>
          <w:szCs w:val="24"/>
          <w:lang w:eastAsia="lt-LT"/>
        </w:rPr>
        <w:lastRenderedPageBreak/>
        <w:t>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52C93A9E" w:rsidR="004C154C" w:rsidRDefault="00303298" w:rsidP="00DF6805">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A17CD9">
      <w:pPr>
        <w:widowControl w:val="0"/>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lastRenderedPageBreak/>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A17CD9">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393E9629"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37FB8DF1" w:rsidR="00E515A5" w:rsidRPr="00A17CD9"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w:t>
      </w:r>
      <w:r w:rsidRPr="00A17CD9">
        <w:rPr>
          <w:bCs/>
        </w:rPr>
        <w:t xml:space="preserve">dokumentų paaiškinimo ar kreiptis dėl papildomos informacijos susijusios su pirkimo dokumentais į </w:t>
      </w:r>
      <w:r w:rsidR="00080FF2" w:rsidRPr="00A17CD9">
        <w:rPr>
          <w:bCs/>
        </w:rPr>
        <w:t xml:space="preserve">perkančiąją organizaciją </w:t>
      </w:r>
      <w:r w:rsidRPr="00A17CD9">
        <w:rPr>
          <w:bCs/>
        </w:rPr>
        <w:t xml:space="preserve">galima nevėliau </w:t>
      </w:r>
      <w:r w:rsidRPr="00A17CD9">
        <w:rPr>
          <w:b/>
          <w:bCs/>
        </w:rPr>
        <w:t xml:space="preserve">kaip prieš </w:t>
      </w:r>
      <w:r w:rsidR="00E36A23" w:rsidRPr="00A17CD9">
        <w:rPr>
          <w:b/>
          <w:bCs/>
        </w:rPr>
        <w:t>6</w:t>
      </w:r>
      <w:r w:rsidRPr="00A17CD9">
        <w:rPr>
          <w:b/>
          <w:bCs/>
        </w:rPr>
        <w:t xml:space="preserve"> dien</w:t>
      </w:r>
      <w:r w:rsidR="0073453E" w:rsidRPr="00A17CD9">
        <w:rPr>
          <w:b/>
          <w:bCs/>
        </w:rPr>
        <w:t>as</w:t>
      </w:r>
      <w:r w:rsidRPr="00A17CD9">
        <w:rPr>
          <w:b/>
          <w:bCs/>
        </w:rPr>
        <w:t xml:space="preserve"> iki pasiūlymų pateikimo termino pabaigos.</w:t>
      </w:r>
    </w:p>
    <w:p w14:paraId="3A9CCB2C" w14:textId="73903156" w:rsidR="00E772C9" w:rsidRPr="00A17CD9" w:rsidRDefault="00191CC4" w:rsidP="00596775">
      <w:pPr>
        <w:pStyle w:val="Sraopastraipa"/>
        <w:numPr>
          <w:ilvl w:val="0"/>
          <w:numId w:val="1"/>
        </w:numPr>
        <w:ind w:left="0" w:firstLine="567"/>
        <w:contextualSpacing w:val="0"/>
        <w:rPr>
          <w:szCs w:val="24"/>
        </w:rPr>
      </w:pPr>
      <w:r w:rsidRPr="00A17CD9">
        <w:rPr>
          <w:bCs/>
          <w:szCs w:val="24"/>
        </w:rPr>
        <w:t>Jeigu papildomos su pirkimo dokumentais susijusios informacijos paprašoma laiku,</w:t>
      </w:r>
      <w:r w:rsidRPr="00A17CD9">
        <w:rPr>
          <w:szCs w:val="24"/>
        </w:rPr>
        <w:t xml:space="preserve"> </w:t>
      </w:r>
      <w:r w:rsidR="00080FF2" w:rsidRPr="00A17CD9">
        <w:rPr>
          <w:bCs/>
          <w:szCs w:val="24"/>
        </w:rPr>
        <w:t xml:space="preserve">perkančioji organizacija </w:t>
      </w:r>
      <w:r w:rsidRPr="00A17CD9">
        <w:rPr>
          <w:bCs/>
          <w:szCs w:val="24"/>
        </w:rPr>
        <w:t xml:space="preserve">ją pateikia visiems tiekėjams </w:t>
      </w:r>
      <w:r w:rsidRPr="00A17CD9">
        <w:rPr>
          <w:b/>
          <w:bCs/>
          <w:szCs w:val="24"/>
        </w:rPr>
        <w:t xml:space="preserve">ne vėliau kaip likus </w:t>
      </w:r>
      <w:r w:rsidR="00E36A23" w:rsidRPr="00A17CD9">
        <w:rPr>
          <w:b/>
          <w:bCs/>
          <w:szCs w:val="24"/>
        </w:rPr>
        <w:t>4</w:t>
      </w:r>
      <w:r w:rsidR="008F3F88" w:rsidRPr="00A17CD9">
        <w:rPr>
          <w:b/>
          <w:bCs/>
          <w:szCs w:val="24"/>
        </w:rPr>
        <w:t xml:space="preserve"> </w:t>
      </w:r>
      <w:r w:rsidRPr="00A17CD9">
        <w:rPr>
          <w:b/>
          <w:bCs/>
          <w:szCs w:val="24"/>
        </w:rPr>
        <w:t xml:space="preserve">dienoms </w:t>
      </w:r>
      <w:r w:rsidRPr="00A17CD9">
        <w:rPr>
          <w:bCs/>
          <w:szCs w:val="24"/>
        </w:rPr>
        <w:t>iki pasiūlymų pateikimo termino pabaigos.</w:t>
      </w:r>
      <w:r w:rsidR="004772CD" w:rsidRPr="00A17CD9">
        <w:rPr>
          <w:bCs/>
          <w:szCs w:val="24"/>
        </w:rPr>
        <w:t xml:space="preserve"> </w:t>
      </w:r>
    </w:p>
    <w:p w14:paraId="577C1590" w14:textId="77777777" w:rsidR="00080FF2" w:rsidRPr="00A17CD9" w:rsidRDefault="00191CC4" w:rsidP="00080FF2">
      <w:pPr>
        <w:pStyle w:val="Sraopastraipa"/>
        <w:numPr>
          <w:ilvl w:val="0"/>
          <w:numId w:val="1"/>
        </w:numPr>
        <w:ind w:left="0" w:firstLine="567"/>
        <w:contextualSpacing w:val="0"/>
        <w:rPr>
          <w:szCs w:val="24"/>
        </w:rPr>
      </w:pPr>
      <w:r w:rsidRPr="00A17CD9">
        <w:rPr>
          <w:szCs w:val="24"/>
        </w:rPr>
        <w:t xml:space="preserve">Tuo atveju, kai tikslinama pirkimo skelbimuose paskelbta informacija, Viešųjų pirkimų įstatymo 34 straipsnyje nustatyta tvarka </w:t>
      </w:r>
      <w:r w:rsidR="00080FF2" w:rsidRPr="00A17CD9">
        <w:rPr>
          <w:szCs w:val="24"/>
        </w:rPr>
        <w:t xml:space="preserve">užpildomas ir išsiunčiamas skelbti Pranešimas apie pakeitimus. </w:t>
      </w:r>
    </w:p>
    <w:p w14:paraId="1733F9DE" w14:textId="2B4D81DF" w:rsidR="00E772C9" w:rsidRPr="00A17CD9" w:rsidRDefault="00F608CF" w:rsidP="00891EF2">
      <w:pPr>
        <w:pStyle w:val="Sraopastraipa"/>
        <w:numPr>
          <w:ilvl w:val="0"/>
          <w:numId w:val="1"/>
        </w:numPr>
        <w:ind w:left="0" w:firstLine="567"/>
        <w:contextualSpacing w:val="0"/>
        <w:rPr>
          <w:szCs w:val="24"/>
        </w:rPr>
      </w:pPr>
      <w:r w:rsidRPr="00A17CD9">
        <w:rPr>
          <w:szCs w:val="24"/>
        </w:rPr>
        <w:t>Perkančioji organizacija</w:t>
      </w:r>
      <w:r w:rsidR="00191CC4" w:rsidRPr="00A17CD9">
        <w:rPr>
          <w:szCs w:val="24"/>
        </w:rPr>
        <w:t xml:space="preserve"> neketina rengti susitikimų su tiekėjais dėl pirkimo dokumentų</w:t>
      </w:r>
      <w:r w:rsidR="009F1797" w:rsidRPr="00A17CD9">
        <w:rPr>
          <w:szCs w:val="24"/>
        </w:rPr>
        <w:t xml:space="preserve"> paaiškinimo</w:t>
      </w:r>
      <w:r w:rsidR="00191CC4" w:rsidRPr="00A17CD9">
        <w:rPr>
          <w:szCs w:val="24"/>
        </w:rPr>
        <w:t>.</w:t>
      </w:r>
    </w:p>
    <w:p w14:paraId="15171D2C" w14:textId="5AE57D0C" w:rsidR="00544E82" w:rsidRPr="00A17CD9" w:rsidRDefault="003A1E16" w:rsidP="003326FA">
      <w:pPr>
        <w:pStyle w:val="Sraopastraipa"/>
        <w:numPr>
          <w:ilvl w:val="0"/>
          <w:numId w:val="1"/>
        </w:numPr>
        <w:ind w:left="0" w:firstLine="567"/>
        <w:contextualSpacing w:val="0"/>
        <w:rPr>
          <w:b/>
          <w:szCs w:val="24"/>
        </w:rPr>
      </w:pPr>
      <w:r w:rsidRPr="00A17CD9">
        <w:rPr>
          <w:bCs/>
          <w:szCs w:val="24"/>
        </w:rPr>
        <w:t xml:space="preserve">Perkančioji organizacija </w:t>
      </w:r>
      <w:r w:rsidR="004772CD" w:rsidRPr="00A17CD9">
        <w:rPr>
          <w:bCs/>
          <w:szCs w:val="24"/>
        </w:rPr>
        <w:t xml:space="preserve">savo iniciatyva gali paaiškinti (patikslinti) pirkimo dokumentus </w:t>
      </w:r>
      <w:r w:rsidR="004772CD" w:rsidRPr="00A17CD9">
        <w:rPr>
          <w:b/>
          <w:bCs/>
          <w:szCs w:val="24"/>
        </w:rPr>
        <w:t>ne vėliau kaip likus</w:t>
      </w:r>
      <w:r w:rsidR="004772CD" w:rsidRPr="00A17CD9">
        <w:rPr>
          <w:bCs/>
          <w:szCs w:val="24"/>
        </w:rPr>
        <w:t xml:space="preserve"> </w:t>
      </w:r>
      <w:r w:rsidR="00E36A23" w:rsidRPr="00A17CD9">
        <w:rPr>
          <w:b/>
          <w:bCs/>
          <w:szCs w:val="24"/>
        </w:rPr>
        <w:t>4</w:t>
      </w:r>
      <w:r w:rsidR="00E515A5" w:rsidRPr="00A17CD9">
        <w:rPr>
          <w:b/>
          <w:bCs/>
          <w:szCs w:val="24"/>
        </w:rPr>
        <w:t xml:space="preserve"> </w:t>
      </w:r>
      <w:r w:rsidR="004772CD" w:rsidRPr="00A17CD9">
        <w:rPr>
          <w:b/>
          <w:bCs/>
          <w:szCs w:val="24"/>
        </w:rPr>
        <w:t xml:space="preserve">dienoms </w:t>
      </w:r>
      <w:r w:rsidR="004772CD" w:rsidRPr="00A17CD9">
        <w:rPr>
          <w:bCs/>
          <w:szCs w:val="24"/>
        </w:rPr>
        <w:t>iki pasiūlymų pateikimo termino pabaigos.</w:t>
      </w:r>
      <w:r w:rsidR="0004689B" w:rsidRPr="00A17CD9">
        <w:rPr>
          <w:bCs/>
          <w:szCs w:val="24"/>
        </w:rPr>
        <w:t xml:space="preserve"> </w:t>
      </w:r>
    </w:p>
    <w:p w14:paraId="10ECE280" w14:textId="005789B3" w:rsidR="000C7732" w:rsidRPr="000C7732" w:rsidRDefault="000C7732" w:rsidP="000C7732">
      <w:pPr>
        <w:pStyle w:val="Sraopastraipa"/>
        <w:numPr>
          <w:ilvl w:val="0"/>
          <w:numId w:val="1"/>
        </w:numPr>
        <w:tabs>
          <w:tab w:val="left" w:pos="1276"/>
        </w:tabs>
        <w:ind w:left="0" w:firstLine="567"/>
        <w:rPr>
          <w:bCs/>
          <w:szCs w:val="24"/>
        </w:rPr>
      </w:pPr>
      <w:r w:rsidRPr="00A17CD9">
        <w:rPr>
          <w:bCs/>
          <w:szCs w:val="24"/>
        </w:rPr>
        <w:t xml:space="preserve">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w:t>
      </w:r>
      <w:r w:rsidR="003A1E16" w:rsidRPr="00A17CD9">
        <w:rPr>
          <w:bCs/>
          <w:szCs w:val="24"/>
        </w:rPr>
        <w:t xml:space="preserve">pirkimo </w:t>
      </w:r>
      <w:r w:rsidRPr="00A17CD9">
        <w:rPr>
          <w:bCs/>
          <w:szCs w:val="24"/>
        </w:rPr>
        <w:t>Kom</w:t>
      </w:r>
      <w:r w:rsidRPr="000C7732">
        <w:rPr>
          <w:bCs/>
          <w:szCs w:val="24"/>
        </w:rPr>
        <w:t>isija pratęs pasiūlymų pateikimo terminus, kad visi pirkime norintys dalyvauti tiekėjai turėtų galimybę susipažinti su visa pasiūlymui parengti reikalinga informacija.</w:t>
      </w:r>
    </w:p>
    <w:p w14:paraId="0D2F353E" w14:textId="7F6AE5ED" w:rsidR="000C7732" w:rsidRPr="000C7732" w:rsidRDefault="000C7732" w:rsidP="000C7732">
      <w:pPr>
        <w:rPr>
          <w:b/>
          <w:szCs w:val="24"/>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lastRenderedPageBreak/>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6"/>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41B52B65" w14:textId="582DB88D" w:rsidR="00253465" w:rsidRPr="00253465" w:rsidRDefault="00253465" w:rsidP="00253465">
      <w:pPr>
        <w:pStyle w:val="Sraopastraipa"/>
        <w:numPr>
          <w:ilvl w:val="1"/>
          <w:numId w:val="1"/>
        </w:numPr>
        <w:ind w:left="0" w:firstLine="567"/>
        <w:contextualSpacing w:val="0"/>
        <w:rPr>
          <w:rFonts w:eastAsia="Calibri"/>
          <w:szCs w:val="24"/>
        </w:rPr>
      </w:pPr>
      <w:r w:rsidRPr="00253465">
        <w:rPr>
          <w:szCs w:val="24"/>
        </w:rPr>
        <w:t>b</w:t>
      </w:r>
      <w:r w:rsidRPr="00253465">
        <w:rPr>
          <w:rFonts w:cstheme="minorBidi"/>
          <w:szCs w:val="24"/>
        </w:rPr>
        <w:t xml:space="preserve">ent vienam įkainiui </w:t>
      </w:r>
      <w:r w:rsidRPr="00253465">
        <w:rPr>
          <w:rFonts w:cstheme="minorBidi"/>
          <w:b/>
          <w:szCs w:val="24"/>
        </w:rPr>
        <w:t xml:space="preserve">viršijus numatytą pirkimo sąlygų </w:t>
      </w:r>
      <w:r w:rsidRPr="00253465">
        <w:rPr>
          <w:rFonts w:cstheme="minorBidi"/>
          <w:b/>
          <w:szCs w:val="24"/>
        </w:rPr>
        <w:fldChar w:fldCharType="begin"/>
      </w:r>
      <w:r w:rsidRPr="00253465">
        <w:rPr>
          <w:rFonts w:cstheme="minorBidi"/>
          <w:b/>
          <w:szCs w:val="24"/>
        </w:rPr>
        <w:instrText xml:space="preserve"> REF _Ref188883041 \r \h  \* MERGEFORMAT </w:instrText>
      </w:r>
      <w:r w:rsidRPr="00253465">
        <w:rPr>
          <w:rFonts w:cstheme="minorBidi"/>
          <w:b/>
          <w:szCs w:val="24"/>
        </w:rPr>
      </w:r>
      <w:r w:rsidRPr="00253465">
        <w:rPr>
          <w:rFonts w:cstheme="minorBidi"/>
          <w:b/>
          <w:szCs w:val="24"/>
        </w:rPr>
        <w:fldChar w:fldCharType="separate"/>
      </w:r>
      <w:r w:rsidR="00293BFC">
        <w:rPr>
          <w:rFonts w:cstheme="minorBidi"/>
          <w:b/>
          <w:szCs w:val="24"/>
        </w:rPr>
        <w:t>13</w:t>
      </w:r>
      <w:r w:rsidRPr="00253465">
        <w:rPr>
          <w:rFonts w:cstheme="minorBidi"/>
          <w:b/>
          <w:szCs w:val="24"/>
        </w:rPr>
        <w:fldChar w:fldCharType="end"/>
      </w:r>
      <w:r w:rsidRPr="00253465">
        <w:rPr>
          <w:rFonts w:cstheme="minorBidi"/>
          <w:b/>
          <w:szCs w:val="24"/>
        </w:rPr>
        <w:t xml:space="preserve"> punkte maksimalų tos pozicijos įkainį</w:t>
      </w:r>
      <w:r w:rsidRPr="00253465">
        <w:rPr>
          <w:rFonts w:cstheme="minorBidi"/>
          <w:szCs w:val="24"/>
        </w:rPr>
        <w:t>;</w:t>
      </w:r>
      <w:r w:rsidRPr="00253465">
        <w:rPr>
          <w:szCs w:val="24"/>
        </w:rPr>
        <w:t xml:space="preserve"> </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lastRenderedPageBreak/>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4E4E9E80"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253465" w:rsidRPr="00D87207">
        <w:rPr>
          <w:b/>
          <w:szCs w:val="24"/>
        </w:rPr>
        <w:t>84</w:t>
      </w:r>
      <w:r w:rsidR="006B5AB3" w:rsidRPr="00D87207">
        <w:rPr>
          <w:szCs w:val="24"/>
        </w:rPr>
        <w:t xml:space="preserve"> </w:t>
      </w:r>
      <w:r w:rsidRPr="00D87207">
        <w:rPr>
          <w:szCs w:val="24"/>
        </w:rPr>
        <w:t>punkto reikalavimus</w:t>
      </w:r>
      <w:r w:rsidR="00A47CC8" w:rsidRPr="00D87207">
        <w:rPr>
          <w:szCs w:val="24"/>
        </w:rPr>
        <w:t>.</w:t>
      </w:r>
      <w:bookmarkEnd w:id="30"/>
    </w:p>
    <w:p w14:paraId="6BE0ED67" w14:textId="06D0263D"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253465" w:rsidRPr="00D87207">
        <w:rPr>
          <w:b/>
          <w:szCs w:val="24"/>
        </w:rPr>
        <w:t>93</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2EE0702E"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w:t>
      </w:r>
      <w:r w:rsidR="00A948A2" w:rsidRPr="00A17CD9">
        <w:rPr>
          <w:szCs w:val="24"/>
        </w:rPr>
        <w:t>įstatymo 58 straipsnio 2 dalyje nurodytos atitinkamos informacijos, kuri dar nebuvo pateikta pirkimo procedūrų metu, santrauką, nu</w:t>
      </w:r>
      <w:r w:rsidR="003A1E16" w:rsidRPr="00A17CD9">
        <w:rPr>
          <w:szCs w:val="24"/>
        </w:rPr>
        <w:t>rodo nustatytą pasiūlymų eilę,</w:t>
      </w:r>
      <w:r w:rsidR="00A948A2" w:rsidRPr="00A17CD9">
        <w:rPr>
          <w:szCs w:val="24"/>
        </w:rPr>
        <w:t xml:space="preserve"> laimėjusį pasiūlymą</w:t>
      </w:r>
      <w:r w:rsidR="003A1E16" w:rsidRPr="00A17CD9">
        <w:t xml:space="preserve"> ir tikslų atidėjimo terminą</w:t>
      </w:r>
      <w:r w:rsidR="00A948A2" w:rsidRPr="00A17CD9">
        <w:rPr>
          <w:szCs w:val="24"/>
        </w:rPr>
        <w:t xml:space="preserve">. Jei būtų </w:t>
      </w:r>
      <w:r w:rsidR="00A948A2" w:rsidRPr="000A5951">
        <w:rPr>
          <w:color w:val="000000" w:themeColor="text1"/>
          <w:szCs w:val="24"/>
        </w:rPr>
        <w:t xml:space="preserve">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 xml:space="preserve">Tiekėjas, kurio pasiūlymas laimėjo, CVP IS priemonėmis bus pakviestas pasirašyti </w:t>
      </w:r>
      <w:r w:rsidRPr="000A5951">
        <w:rPr>
          <w:color w:val="000000" w:themeColor="text1"/>
          <w:szCs w:val="24"/>
        </w:rPr>
        <w:lastRenderedPageBreak/>
        <w:t>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B90BA6">
      <w:pPr>
        <w:pStyle w:val="Sraopastraipa"/>
        <w:numPr>
          <w:ilvl w:val="0"/>
          <w:numId w:val="1"/>
        </w:numPr>
        <w:tabs>
          <w:tab w:val="left" w:pos="1134"/>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1C0D93D2" w:rsidR="00B90BA6" w:rsidRDefault="00C020D1" w:rsidP="00B90BA6">
      <w:pPr>
        <w:pStyle w:val="Sraopastraipa"/>
        <w:numPr>
          <w:ilvl w:val="0"/>
          <w:numId w:val="1"/>
        </w:numPr>
        <w:tabs>
          <w:tab w:val="left" w:pos="1134"/>
          <w:tab w:val="left" w:pos="1276"/>
        </w:tabs>
        <w:ind w:left="0" w:firstLine="567"/>
        <w:contextualSpacing w:val="0"/>
        <w:rPr>
          <w:szCs w:val="24"/>
        </w:rPr>
      </w:pPr>
      <w:r w:rsidRPr="00B90BA6">
        <w:rPr>
          <w:b/>
          <w:szCs w:val="24"/>
          <w:lang w:eastAsia="lt-LT"/>
        </w:rPr>
        <w:t xml:space="preserve">Sutarties galiojimo laikotarpis: </w:t>
      </w:r>
      <w:r w:rsidR="00B90BA6" w:rsidRPr="00B90BA6">
        <w:rPr>
          <w:szCs w:val="24"/>
        </w:rPr>
        <w:t xml:space="preserve">25 mėn. su galimybe ją pratęsti. Sutartis gali būti pratęsiama 1 kartą 12 mėnesių, Sutarties pratęsimą įforminant papildomu susitarimu prie pagrindinės Sutarties. Sutartis įsigalioja nuo sutarties įvykdymo užtikrinimo pateikimo pagal </w:t>
      </w:r>
      <w:r w:rsidR="00B90BA6">
        <w:rPr>
          <w:szCs w:val="24"/>
        </w:rPr>
        <w:t xml:space="preserve">Sutarties projekto </w:t>
      </w:r>
      <w:r w:rsidR="00B90BA6" w:rsidRPr="00B90BA6">
        <w:rPr>
          <w:szCs w:val="24"/>
        </w:rPr>
        <w:t>4.1 punkto sąlygas</w:t>
      </w:r>
      <w:r w:rsidR="00253465">
        <w:rPr>
          <w:szCs w:val="24"/>
        </w:rPr>
        <w:t xml:space="preserve"> </w:t>
      </w:r>
      <w:r w:rsidR="00253465" w:rsidRPr="00A66E3B">
        <w:rPr>
          <w:rFonts w:eastAsia="Calibri"/>
          <w:bCs/>
          <w:szCs w:val="24"/>
        </w:rPr>
        <w:t xml:space="preserve">(pirkimo sąlygų </w:t>
      </w:r>
      <w:r w:rsidR="00253465">
        <w:rPr>
          <w:rFonts w:eastAsia="Calibri"/>
          <w:bCs/>
          <w:szCs w:val="24"/>
        </w:rPr>
        <w:t>3</w:t>
      </w:r>
      <w:r w:rsidR="00253465" w:rsidRPr="00A66E3B">
        <w:rPr>
          <w:rFonts w:eastAsia="Calibri"/>
          <w:bCs/>
          <w:szCs w:val="24"/>
        </w:rPr>
        <w:t xml:space="preserve"> priedas)</w:t>
      </w:r>
      <w:r w:rsidR="00B90BA6" w:rsidRPr="00B90BA6">
        <w:rPr>
          <w:szCs w:val="24"/>
        </w:rPr>
        <w:t>.</w:t>
      </w:r>
    </w:p>
    <w:p w14:paraId="0A617576" w14:textId="4061A5B1" w:rsidR="00B90BA6" w:rsidRPr="00B90BA6" w:rsidRDefault="00B90BA6" w:rsidP="00B90BA6">
      <w:pPr>
        <w:pStyle w:val="Sraopastraipa"/>
        <w:numPr>
          <w:ilvl w:val="0"/>
          <w:numId w:val="1"/>
        </w:numPr>
        <w:tabs>
          <w:tab w:val="left" w:pos="1134"/>
          <w:tab w:val="left" w:pos="1276"/>
        </w:tabs>
        <w:ind w:left="0" w:firstLine="567"/>
        <w:contextualSpacing w:val="0"/>
        <w:rPr>
          <w:szCs w:val="24"/>
        </w:rPr>
      </w:pPr>
      <w:r w:rsidRPr="00B90BA6">
        <w:rPr>
          <w:szCs w:val="24"/>
        </w:rPr>
        <w:t xml:space="preserve">Darbų atlikimo trukmė </w:t>
      </w:r>
      <w:r>
        <w:rPr>
          <w:szCs w:val="24"/>
        </w:rPr>
        <w:t>–</w:t>
      </w:r>
      <w:r w:rsidR="00253465">
        <w:rPr>
          <w:szCs w:val="24"/>
        </w:rPr>
        <w:t xml:space="preserve"> 24 mėn. su galimybe pratęsti d</w:t>
      </w:r>
      <w:r w:rsidRPr="00B90BA6">
        <w:rPr>
          <w:szCs w:val="24"/>
        </w:rPr>
        <w:t>arbų atlikimo terminą 1 kartą 12 mėnesių.</w:t>
      </w:r>
    </w:p>
    <w:p w14:paraId="1D846E6C" w14:textId="77777777" w:rsidR="00C020D1" w:rsidRPr="009527D6" w:rsidRDefault="00C020D1"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 xml:space="preserve">Tiesioginio atsiskaitymo su subtiekėju (-ais)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A44A51">
      <w:pPr>
        <w:pStyle w:val="Sraopastraipa"/>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4981E217" w:rsidR="00C020D1" w:rsidRPr="00253465" w:rsidRDefault="00191CC4" w:rsidP="00A44A51">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B90BA6">
        <w:rPr>
          <w:rFonts w:cs="Times New Roman"/>
          <w:b/>
          <w:spacing w:val="2"/>
          <w:shd w:val="clear" w:color="auto" w:fill="FFFFFF"/>
        </w:rPr>
        <w:t>s</w:t>
      </w:r>
      <w:r w:rsidR="00731B84" w:rsidRPr="009527D6">
        <w:rPr>
          <w:rFonts w:cs="Times New Roman"/>
          <w:b/>
          <w:spacing w:val="2"/>
          <w:shd w:val="clear" w:color="auto" w:fill="FFFFFF"/>
        </w:rPr>
        <w:t xml:space="preserve"> </w:t>
      </w:r>
      <w:r w:rsidR="00B90BA6">
        <w:rPr>
          <w:rFonts w:cs="Times New Roman"/>
          <w:b/>
          <w:spacing w:val="2"/>
          <w:shd w:val="clear" w:color="auto" w:fill="FFFFFF"/>
        </w:rPr>
        <w:t>įkainis</w:t>
      </w:r>
      <w:r w:rsidR="00253465">
        <w:rPr>
          <w:rFonts w:eastAsia="Calibri" w:cs="Times New Roman"/>
          <w:b/>
          <w:bCs/>
          <w:szCs w:val="24"/>
        </w:rPr>
        <w:t>:</w:t>
      </w:r>
    </w:p>
    <w:p w14:paraId="177D04ED" w14:textId="7E3860D6" w:rsidR="00253465" w:rsidRPr="00A66E3B" w:rsidRDefault="00253465" w:rsidP="00253465">
      <w:pPr>
        <w:pStyle w:val="Sraopastraipa"/>
        <w:widowControl w:val="0"/>
        <w:numPr>
          <w:ilvl w:val="1"/>
          <w:numId w:val="1"/>
        </w:numPr>
        <w:tabs>
          <w:tab w:val="left" w:pos="1418"/>
        </w:tabs>
        <w:ind w:left="0" w:firstLine="567"/>
        <w:contextualSpacing w:val="0"/>
        <w:rPr>
          <w:rFonts w:eastAsia="Calibri"/>
          <w:b/>
          <w:bCs/>
          <w:szCs w:val="24"/>
        </w:rPr>
      </w:pPr>
      <w:r>
        <w:t>p</w:t>
      </w:r>
      <w:r w:rsidRPr="00A66E3B">
        <w:t>radinės sutarties vertė bus lygi maksimaliai pirkimui skirtai lėšų sumai be PVM pirkimo dokumentuose ir sutartyje nurodytų darbų įsigijimui tiekėjo pasiūlyme nurodytais įkainiais be PVM.</w:t>
      </w:r>
      <w:r w:rsidRPr="00A66E3B">
        <w:rPr>
          <w:rFonts w:eastAsia="Calibri"/>
        </w:rPr>
        <w:t xml:space="preserve"> </w:t>
      </w:r>
    </w:p>
    <w:p w14:paraId="152F0CAA" w14:textId="7B20B659" w:rsidR="00253465" w:rsidRPr="00253465" w:rsidRDefault="00253465" w:rsidP="00253465">
      <w:pPr>
        <w:pStyle w:val="Sraopastraipa"/>
        <w:widowControl w:val="0"/>
        <w:numPr>
          <w:ilvl w:val="1"/>
          <w:numId w:val="1"/>
        </w:numPr>
        <w:tabs>
          <w:tab w:val="left" w:pos="1418"/>
        </w:tabs>
        <w:ind w:left="0" w:firstLine="567"/>
        <w:contextualSpacing w:val="0"/>
        <w:rPr>
          <w:rFonts w:eastAsia="Calibri"/>
          <w:b/>
          <w:bCs/>
          <w:szCs w:val="24"/>
        </w:rPr>
      </w:pPr>
      <w:r>
        <w:rPr>
          <w:rFonts w:eastAsia="Calibri"/>
          <w:bCs/>
          <w:szCs w:val="24"/>
        </w:rPr>
        <w:t>f</w:t>
      </w:r>
      <w:r w:rsidRPr="00A66E3B">
        <w:rPr>
          <w:rFonts w:eastAsia="Calibri"/>
          <w:bCs/>
          <w:szCs w:val="24"/>
        </w:rPr>
        <w:t xml:space="preserve">iksuoto įkainio </w:t>
      </w:r>
      <w:r>
        <w:rPr>
          <w:rFonts w:eastAsia="Calibri"/>
          <w:bCs/>
          <w:szCs w:val="24"/>
        </w:rPr>
        <w:t>peržiūros taisyklės nustatytos s</w:t>
      </w:r>
      <w:r w:rsidRPr="00A66E3B">
        <w:rPr>
          <w:rFonts w:eastAsia="Calibri"/>
          <w:bCs/>
          <w:szCs w:val="24"/>
        </w:rPr>
        <w:t xml:space="preserve">utarties projekte (pirkimo sąlygų </w:t>
      </w:r>
      <w:r>
        <w:rPr>
          <w:rFonts w:eastAsia="Calibri"/>
          <w:bCs/>
          <w:szCs w:val="24"/>
        </w:rPr>
        <w:t>3</w:t>
      </w:r>
      <w:r w:rsidRPr="00A66E3B">
        <w:rPr>
          <w:rFonts w:eastAsia="Calibri"/>
          <w:bCs/>
          <w:szCs w:val="24"/>
        </w:rPr>
        <w:t xml:space="preserve"> priedas).</w:t>
      </w:r>
    </w:p>
    <w:p w14:paraId="346BA9FA" w14:textId="46B60287" w:rsidR="00875C16" w:rsidRDefault="00191CC4" w:rsidP="00A44A51">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4ADF85FA" w14:textId="0CF5ABEB" w:rsidR="008510BF" w:rsidRPr="003326FA" w:rsidRDefault="0073631B" w:rsidP="003326FA">
      <w:pPr>
        <w:numPr>
          <w:ilvl w:val="0"/>
          <w:numId w:val="1"/>
        </w:numPr>
        <w:tabs>
          <w:tab w:val="left" w:pos="1418"/>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bookmarkEnd w:id="33"/>
    </w:p>
    <w:p w14:paraId="0B91998A" w14:textId="5432A207" w:rsidR="003A1E16" w:rsidRPr="003A1E16" w:rsidRDefault="003A1E16" w:rsidP="003A1E16">
      <w:pPr>
        <w:pStyle w:val="Sraopastraipa"/>
        <w:numPr>
          <w:ilvl w:val="0"/>
          <w:numId w:val="1"/>
        </w:numPr>
        <w:tabs>
          <w:tab w:val="left" w:pos="1418"/>
        </w:tabs>
        <w:ind w:left="0" w:right="-1" w:firstLine="567"/>
        <w:rPr>
          <w:szCs w:val="24"/>
        </w:rPr>
      </w:pPr>
      <w:r w:rsidRPr="003A1E16">
        <w:rPr>
          <w:szCs w:val="24"/>
        </w:rPr>
        <w:t xml:space="preserve">Rangovas Sutarties įvykdymo užtikrinimą (banko garantiją, išduotą banko ar kitos kredito įstaigos (pagal Lietuvos Respublikos civilinio kodekso 6.93 str.), arba laidavimą (laidavimo sutartį), išduotą draudimo bendrovės (pagal Lietuvos Respublikos civilinio kodekso 6.76 ir 6.77 str.), privalo pateikti Užsakovui ne vėliau kaip per 10 darbo dienų nuo Sutarties pasirašymo. Jei Rangovas per šį laikotarpį Sutarties įvykdymo užtikrinimo nepateikia, laikoma, kad Rangovas atsisakė sudaryti Sutartį. Užtikrinimo suma – 100 000,00 Eur. Sutarties įvykdymo užtikrinimas įsigalioja banko ar kredito unijos garantijos arba draudimo bendrovės laidavimo rašto išdavimo dieną ir turi galioti iki visiško sutartinių įsipareigojimų įvykdymo, t. y. apimti Sutarties galiojimo terminą. </w:t>
      </w:r>
    </w:p>
    <w:p w14:paraId="3DD7FEFF" w14:textId="71E67A75" w:rsidR="003A1E16" w:rsidRPr="003A1E16" w:rsidRDefault="003A1E16" w:rsidP="003A1E16">
      <w:pPr>
        <w:pStyle w:val="Sraopastraipa"/>
        <w:ind w:left="0" w:right="-1" w:firstLine="567"/>
        <w:rPr>
          <w:szCs w:val="24"/>
        </w:rPr>
      </w:pPr>
      <w:r w:rsidRPr="003A1E16">
        <w:rPr>
          <w:szCs w:val="24"/>
        </w:rPr>
        <w:t xml:space="preserve">Jeigu Rangovas pateikia draudimo bendrovės išduotą Sutarties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47D120B3" w14:textId="77777777" w:rsidR="003326FA" w:rsidRPr="003326FA" w:rsidRDefault="003326FA" w:rsidP="003326FA">
      <w:pPr>
        <w:tabs>
          <w:tab w:val="left" w:pos="1418"/>
        </w:tabs>
        <w:ind w:left="567"/>
        <w:jc w:val="both"/>
        <w:rPr>
          <w:rFonts w:eastAsia="Calibri" w:cs="Times New Roman"/>
          <w:bCs/>
          <w:szCs w:val="24"/>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3326FA">
      <w:pPr>
        <w:numPr>
          <w:ilvl w:val="0"/>
          <w:numId w:val="1"/>
        </w:numPr>
        <w:tabs>
          <w:tab w:val="left" w:pos="1418"/>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0F248AFD" w:rsidR="00700530" w:rsidRPr="00700530" w:rsidRDefault="004F1F9B" w:rsidP="003326FA">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3326FA">
        <w:t>Vietos ūkio</w:t>
      </w:r>
      <w:r w:rsidR="00700530" w:rsidRPr="00700530">
        <w:t xml:space="preserve"> skyriaus </w:t>
      </w:r>
      <w:r w:rsidR="003326FA">
        <w:t>vyr. specialistas</w:t>
      </w:r>
      <w:r w:rsidR="00292639">
        <w:t xml:space="preserve"> Modestas Budrys</w:t>
      </w:r>
      <w:r w:rsidR="00700530" w:rsidRPr="00700530">
        <w:t xml:space="preserve">, el. paštas </w:t>
      </w:r>
      <w:r w:rsidR="003326FA">
        <w:t>modestas.budrys</w:t>
      </w:r>
      <w:r w:rsidR="00700530" w:rsidRPr="00700530">
        <w:t>@plunge.lt;</w:t>
      </w:r>
    </w:p>
    <w:p w14:paraId="5B3AD30A" w14:textId="1185F631" w:rsidR="004F1F9B" w:rsidRPr="00700530" w:rsidRDefault="004F1F9B" w:rsidP="003326FA">
      <w:pPr>
        <w:numPr>
          <w:ilvl w:val="1"/>
          <w:numId w:val="1"/>
        </w:numPr>
        <w:tabs>
          <w:tab w:val="left" w:pos="1418"/>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A17CD9">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D925" w14:textId="77777777" w:rsidR="002C47D6" w:rsidRDefault="002C47D6" w:rsidP="00191CC4">
      <w:r>
        <w:separator/>
      </w:r>
    </w:p>
    <w:p w14:paraId="661C242D" w14:textId="77777777" w:rsidR="002C47D6" w:rsidRDefault="002C47D6"/>
  </w:endnote>
  <w:endnote w:type="continuationSeparator" w:id="0">
    <w:p w14:paraId="299988AA" w14:textId="77777777" w:rsidR="002C47D6" w:rsidRDefault="002C47D6" w:rsidP="00191CC4">
      <w:r>
        <w:continuationSeparator/>
      </w:r>
    </w:p>
    <w:p w14:paraId="021CAB7E" w14:textId="77777777" w:rsidR="002C47D6" w:rsidRDefault="002C4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rlito">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13F85" w14:textId="77777777" w:rsidR="002C47D6" w:rsidRDefault="002C47D6" w:rsidP="00191CC4">
      <w:r>
        <w:separator/>
      </w:r>
    </w:p>
    <w:p w14:paraId="4ECE7F06" w14:textId="77777777" w:rsidR="002C47D6" w:rsidRDefault="002C47D6"/>
  </w:footnote>
  <w:footnote w:type="continuationSeparator" w:id="0">
    <w:p w14:paraId="0D4BD5AF" w14:textId="77777777" w:rsidR="002C47D6" w:rsidRDefault="002C47D6" w:rsidP="00191CC4">
      <w:r>
        <w:continuationSeparator/>
      </w:r>
    </w:p>
    <w:p w14:paraId="31514BF4" w14:textId="77777777" w:rsidR="002C47D6" w:rsidRDefault="002C47D6"/>
  </w:footnote>
  <w:footnote w:id="1">
    <w:p w14:paraId="690EF1E4" w14:textId="77777777" w:rsidR="00B86C8C" w:rsidRDefault="00B86C8C"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B86C8C" w:rsidRPr="00974D4C" w:rsidRDefault="00B86C8C"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B86C8C" w:rsidRPr="00427C59" w:rsidRDefault="00B86C8C"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5EF1C7A8" w14:textId="5E4402CA" w:rsidR="00B86C8C" w:rsidRPr="00510506" w:rsidRDefault="00B86C8C" w:rsidP="00E7551B">
      <w:pPr>
        <w:pStyle w:val="Pagrindinistekstas"/>
        <w:tabs>
          <w:tab w:val="left" w:pos="1134"/>
        </w:tabs>
        <w:ind w:firstLine="0"/>
        <w:rPr>
          <w:sz w:val="22"/>
          <w:szCs w:val="22"/>
        </w:rPr>
      </w:pPr>
      <w:r w:rsidRPr="00510506">
        <w:rPr>
          <w:rStyle w:val="Puslapioinaosnuoroda"/>
          <w:sz w:val="20"/>
        </w:rPr>
        <w:footnoteRef/>
      </w:r>
      <w:r w:rsidRPr="00510506">
        <w:rPr>
          <w:sz w:val="20"/>
        </w:rPr>
        <w:t xml:space="preserve"> B</w:t>
      </w:r>
      <w:r w:rsidRPr="00510506">
        <w:rPr>
          <w:rFonts w:cstheme="minorBidi"/>
          <w:sz w:val="20"/>
        </w:rPr>
        <w:t>ent vienam pasiūlytam įkainiui viršijus nustatytą maksimalų įkainį pasiūlymas atmetamas.</w:t>
      </w:r>
    </w:p>
  </w:footnote>
  <w:footnote w:id="5">
    <w:p w14:paraId="115F8516" w14:textId="77777777" w:rsidR="00B86C8C" w:rsidRDefault="00B86C8C"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B86C8C" w:rsidRDefault="00B86C8C"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4D7DF615" w:rsidR="00B86C8C" w:rsidRDefault="00B86C8C">
        <w:pPr>
          <w:pStyle w:val="Antrats"/>
          <w:jc w:val="center"/>
        </w:pPr>
        <w:r>
          <w:fldChar w:fldCharType="begin"/>
        </w:r>
        <w:r>
          <w:instrText>PAGE   \* MERGEFORMAT</w:instrText>
        </w:r>
        <w:r>
          <w:fldChar w:fldCharType="separate"/>
        </w:r>
        <w:r w:rsidR="00FD3C23">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10"/>
  </w:num>
  <w:num w:numId="8">
    <w:abstractNumId w:val="9"/>
  </w:num>
  <w:num w:numId="9">
    <w:abstractNumId w:val="5"/>
  </w:num>
  <w:num w:numId="10">
    <w:abstractNumId w:val="6"/>
  </w:num>
  <w:num w:numId="11">
    <w:abstractNumId w:val="12"/>
  </w:num>
  <w:num w:numId="12">
    <w:abstractNumId w:val="1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activeWritingStyle w:appName="MSWord" w:lang="ru-RU"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47C"/>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0FF2"/>
    <w:rsid w:val="00081A20"/>
    <w:rsid w:val="00081FC0"/>
    <w:rsid w:val="00083717"/>
    <w:rsid w:val="00086AF1"/>
    <w:rsid w:val="0008735B"/>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3BFC"/>
    <w:rsid w:val="002943CD"/>
    <w:rsid w:val="002948BA"/>
    <w:rsid w:val="00295A3D"/>
    <w:rsid w:val="00295DF6"/>
    <w:rsid w:val="002A0E5C"/>
    <w:rsid w:val="002A0F90"/>
    <w:rsid w:val="002A14EB"/>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47D6"/>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1E16"/>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1AAF"/>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17CD9"/>
    <w:rsid w:val="00A209A9"/>
    <w:rsid w:val="00A22323"/>
    <w:rsid w:val="00A248A5"/>
    <w:rsid w:val="00A26A87"/>
    <w:rsid w:val="00A27A43"/>
    <w:rsid w:val="00A30E4A"/>
    <w:rsid w:val="00A31BC6"/>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2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331D"/>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6C8C"/>
    <w:rsid w:val="00B87355"/>
    <w:rsid w:val="00B90A7B"/>
    <w:rsid w:val="00B90BA6"/>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61EE"/>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C09"/>
    <w:rsid w:val="00D62BC8"/>
    <w:rsid w:val="00D6303A"/>
    <w:rsid w:val="00D64D3F"/>
    <w:rsid w:val="00D70626"/>
    <w:rsid w:val="00D71769"/>
    <w:rsid w:val="00D71C16"/>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2ECF"/>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4B1"/>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2D5E"/>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0A3"/>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0F56"/>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491"/>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C23"/>
    <w:rsid w:val="00FD3D19"/>
    <w:rsid w:val="00FD55DF"/>
    <w:rsid w:val="00FD57B5"/>
    <w:rsid w:val="00FD6D5F"/>
    <w:rsid w:val="00FD7F75"/>
    <w:rsid w:val="00FE14FD"/>
    <w:rsid w:val="00FE1CDC"/>
    <w:rsid w:val="00FE2C9E"/>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99"/>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99"/>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2295-80B5-4A13-8470-C8F89A95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36496</Words>
  <Characters>20803</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2026-02-17T06:30:00Z</cp:lastPrinted>
  <dcterms:created xsi:type="dcterms:W3CDTF">2026-02-17T06:30:00Z</dcterms:created>
  <dcterms:modified xsi:type="dcterms:W3CDTF">2026-02-17T06:30:00Z</dcterms:modified>
</cp:coreProperties>
</file>