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4D5A205A" w14:textId="77777777" w:rsidR="0001650D" w:rsidRDefault="00B27B33" w:rsidP="00D61887">
      <w:pPr>
        <w:spacing w:line="276" w:lineRule="auto"/>
        <w:jc w:val="center"/>
        <w:rPr>
          <w:b/>
        </w:rPr>
      </w:pPr>
      <w:r>
        <w:rPr>
          <w:b/>
          <w:bCs/>
        </w:rPr>
        <w:t>DĖL</w:t>
      </w:r>
      <w:r w:rsidR="00EC291A" w:rsidRPr="00BD3707">
        <w:rPr>
          <w:b/>
        </w:rPr>
        <w:t xml:space="preserve"> </w:t>
      </w:r>
      <w:r w:rsidR="00D61887" w:rsidRPr="00D61887">
        <w:rPr>
          <w:b/>
        </w:rPr>
        <w:t xml:space="preserve">LAIVO </w:t>
      </w:r>
      <w:r w:rsidR="0001650D">
        <w:rPr>
          <w:b/>
        </w:rPr>
        <w:t>PAGRINDINIO VARIKLIO WICHMANN DIESEL TYPE 7AX</w:t>
      </w:r>
      <w:r w:rsidR="00260986">
        <w:rPr>
          <w:b/>
        </w:rPr>
        <w:t xml:space="preserve"> </w:t>
      </w:r>
    </w:p>
    <w:p w14:paraId="22FC7650" w14:textId="3B2674C3" w:rsidR="005F3F69" w:rsidRDefault="00260986" w:rsidP="00D61887">
      <w:pPr>
        <w:spacing w:line="276" w:lineRule="auto"/>
        <w:jc w:val="center"/>
        <w:rPr>
          <w:b/>
          <w:bCs/>
        </w:rPr>
      </w:pPr>
      <w:r>
        <w:rPr>
          <w:b/>
        </w:rPr>
        <w:t>ATSARGINIŲ DALIŲ</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01650D"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01650D"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3E8A651" w14:textId="0B7E7C33" w:rsidR="00553B52" w:rsidRDefault="0001650D" w:rsidP="00EC291A">
      <w:pPr>
        <w:jc w:val="center"/>
        <w:rPr>
          <w:b/>
          <w:sz w:val="22"/>
        </w:rPr>
      </w:pPr>
      <w:r>
        <w:rPr>
          <w:b/>
          <w:sz w:val="22"/>
        </w:rPr>
        <w:t xml:space="preserve">Pagrindinio variklio </w:t>
      </w:r>
      <w:proofErr w:type="spellStart"/>
      <w:r w:rsidRPr="00D244E6">
        <w:rPr>
          <w:b/>
          <w:bCs/>
        </w:rPr>
        <w:t>Wichmann</w:t>
      </w:r>
      <w:proofErr w:type="spellEnd"/>
      <w:r w:rsidRPr="00D244E6">
        <w:rPr>
          <w:b/>
          <w:bCs/>
        </w:rPr>
        <w:t xml:space="preserve"> </w:t>
      </w:r>
      <w:proofErr w:type="spellStart"/>
      <w:r w:rsidRPr="00D244E6">
        <w:rPr>
          <w:b/>
          <w:bCs/>
        </w:rPr>
        <w:t>Diesel</w:t>
      </w:r>
      <w:proofErr w:type="spellEnd"/>
      <w:r w:rsidRPr="00D244E6">
        <w:rPr>
          <w:b/>
          <w:bCs/>
        </w:rPr>
        <w:t xml:space="preserve"> Type 7AX</w:t>
      </w:r>
      <w:r w:rsidR="00260986" w:rsidRPr="00260986">
        <w:rPr>
          <w:b/>
          <w:sz w:val="22"/>
        </w:rPr>
        <w:t xml:space="preserve"> atsarginių dalių</w:t>
      </w:r>
    </w:p>
    <w:p w14:paraId="0E6F62A8" w14:textId="77777777" w:rsidR="0001650D" w:rsidRDefault="0001650D"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EC291A" w:rsidRPr="005F7BB0" w14:paraId="43439692" w14:textId="77777777" w:rsidTr="00D61887">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7C9D107F" w:rsidR="00EC291A" w:rsidRPr="005F7BB0" w:rsidRDefault="0001650D" w:rsidP="002A1A2C">
            <w:pPr>
              <w:rPr>
                <w:sz w:val="22"/>
              </w:rPr>
            </w:pPr>
            <w:r>
              <w:t xml:space="preserve">Pagrindinio variklio </w:t>
            </w:r>
            <w:proofErr w:type="spellStart"/>
            <w:r>
              <w:t>Wichmann</w:t>
            </w:r>
            <w:proofErr w:type="spellEnd"/>
            <w:r>
              <w:t xml:space="preserve"> 7AX sankaba H356. Gamintojo kodas 40881000005, grupės Nr. 86561.</w:t>
            </w:r>
          </w:p>
        </w:tc>
        <w:tc>
          <w:tcPr>
            <w:tcW w:w="1021" w:type="dxa"/>
            <w:shd w:val="clear" w:color="auto" w:fill="auto"/>
          </w:tcPr>
          <w:p w14:paraId="0F342833" w14:textId="2F630196" w:rsidR="00EC291A" w:rsidRPr="005F7BB0" w:rsidRDefault="00260986" w:rsidP="002A1A2C">
            <w:pPr>
              <w:jc w:val="center"/>
              <w:rPr>
                <w:sz w:val="22"/>
              </w:rPr>
            </w:pPr>
            <w:r>
              <w:rPr>
                <w:sz w:val="22"/>
              </w:rPr>
              <w:t>vnt.</w:t>
            </w:r>
          </w:p>
        </w:tc>
        <w:tc>
          <w:tcPr>
            <w:tcW w:w="964" w:type="dxa"/>
            <w:shd w:val="clear" w:color="auto" w:fill="auto"/>
          </w:tcPr>
          <w:p w14:paraId="5EF6DAE8" w14:textId="167B8C4A" w:rsidR="00EC291A" w:rsidRPr="005F7BB0" w:rsidRDefault="0001650D" w:rsidP="002A1A2C">
            <w:pPr>
              <w:jc w:val="center"/>
              <w:rPr>
                <w:sz w:val="22"/>
              </w:rPr>
            </w:pPr>
            <w:r>
              <w:rPr>
                <w:sz w:val="22"/>
              </w:rPr>
              <w:t>1</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260986" w:rsidRPr="005F7BB0" w14:paraId="50C22D59" w14:textId="77777777" w:rsidTr="00D61887">
        <w:tc>
          <w:tcPr>
            <w:tcW w:w="644" w:type="dxa"/>
            <w:shd w:val="clear" w:color="auto" w:fill="auto"/>
          </w:tcPr>
          <w:p w14:paraId="24335918" w14:textId="24125C89" w:rsidR="00260986" w:rsidRPr="005F7BB0" w:rsidRDefault="00260986" w:rsidP="00260986">
            <w:pPr>
              <w:jc w:val="center"/>
              <w:rPr>
                <w:sz w:val="22"/>
              </w:rPr>
            </w:pPr>
            <w:bookmarkStart w:id="0" w:name="_GoBack"/>
            <w:r>
              <w:rPr>
                <w:sz w:val="22"/>
              </w:rPr>
              <w:t>2.</w:t>
            </w:r>
          </w:p>
        </w:tc>
        <w:tc>
          <w:tcPr>
            <w:tcW w:w="4000" w:type="dxa"/>
            <w:shd w:val="clear" w:color="auto" w:fill="auto"/>
          </w:tcPr>
          <w:p w14:paraId="60EDB6C6" w14:textId="35129905" w:rsidR="00260986" w:rsidRDefault="0001650D" w:rsidP="00260986">
            <w:pPr>
              <w:rPr>
                <w:sz w:val="22"/>
              </w:rPr>
            </w:pPr>
            <w:r w:rsidRPr="00D244E6">
              <w:t xml:space="preserve">Pagrindinio variklio </w:t>
            </w:r>
            <w:proofErr w:type="spellStart"/>
            <w:r w:rsidRPr="00D244E6">
              <w:t>Wichmann</w:t>
            </w:r>
            <w:proofErr w:type="spellEnd"/>
            <w:r w:rsidRPr="00D244E6">
              <w:t xml:space="preserve"> 7AX sankabos FAO 342 detalės numeris 3AX-1555E</w:t>
            </w:r>
          </w:p>
        </w:tc>
        <w:tc>
          <w:tcPr>
            <w:tcW w:w="1021" w:type="dxa"/>
            <w:shd w:val="clear" w:color="auto" w:fill="auto"/>
          </w:tcPr>
          <w:p w14:paraId="1A89A798" w14:textId="57CCFB8A" w:rsidR="00260986" w:rsidRDefault="00260986" w:rsidP="00260986">
            <w:pPr>
              <w:jc w:val="center"/>
              <w:rPr>
                <w:sz w:val="22"/>
              </w:rPr>
            </w:pPr>
            <w:r>
              <w:rPr>
                <w:sz w:val="22"/>
              </w:rPr>
              <w:t>vnt.</w:t>
            </w:r>
          </w:p>
        </w:tc>
        <w:tc>
          <w:tcPr>
            <w:tcW w:w="964" w:type="dxa"/>
            <w:shd w:val="clear" w:color="auto" w:fill="auto"/>
          </w:tcPr>
          <w:p w14:paraId="2DEF27A5" w14:textId="1CC1B74C" w:rsidR="00260986" w:rsidRDefault="0001650D" w:rsidP="00260986">
            <w:pPr>
              <w:jc w:val="center"/>
              <w:rPr>
                <w:sz w:val="22"/>
              </w:rPr>
            </w:pPr>
            <w:r>
              <w:rPr>
                <w:sz w:val="22"/>
              </w:rPr>
              <w:t>1</w:t>
            </w:r>
          </w:p>
        </w:tc>
        <w:tc>
          <w:tcPr>
            <w:tcW w:w="1417" w:type="dxa"/>
            <w:shd w:val="clear" w:color="auto" w:fill="auto"/>
          </w:tcPr>
          <w:p w14:paraId="4AD0ABF9" w14:textId="77777777" w:rsidR="00260986" w:rsidRPr="005F7BB0" w:rsidRDefault="00260986" w:rsidP="00260986">
            <w:pPr>
              <w:jc w:val="center"/>
              <w:rPr>
                <w:sz w:val="22"/>
              </w:rPr>
            </w:pPr>
          </w:p>
        </w:tc>
        <w:tc>
          <w:tcPr>
            <w:tcW w:w="1418" w:type="dxa"/>
            <w:shd w:val="clear" w:color="auto" w:fill="auto"/>
          </w:tcPr>
          <w:p w14:paraId="426250CA" w14:textId="77777777" w:rsidR="00260986" w:rsidRPr="005F7BB0" w:rsidRDefault="00260986" w:rsidP="00260986">
            <w:pPr>
              <w:jc w:val="center"/>
              <w:rPr>
                <w:sz w:val="22"/>
              </w:rPr>
            </w:pPr>
          </w:p>
        </w:tc>
      </w:tr>
      <w:bookmarkEnd w:id="0"/>
      <w:tr w:rsidR="0001650D" w:rsidRPr="005F7BB0" w14:paraId="57717A84" w14:textId="77777777" w:rsidTr="00D61887">
        <w:tc>
          <w:tcPr>
            <w:tcW w:w="644" w:type="dxa"/>
            <w:shd w:val="clear" w:color="auto" w:fill="auto"/>
          </w:tcPr>
          <w:p w14:paraId="4ADE12C9" w14:textId="054FE31E" w:rsidR="0001650D" w:rsidRDefault="0001650D" w:rsidP="00260986">
            <w:pPr>
              <w:jc w:val="center"/>
              <w:rPr>
                <w:sz w:val="22"/>
              </w:rPr>
            </w:pPr>
            <w:r>
              <w:rPr>
                <w:sz w:val="22"/>
              </w:rPr>
              <w:t>3.</w:t>
            </w:r>
          </w:p>
        </w:tc>
        <w:tc>
          <w:tcPr>
            <w:tcW w:w="4000" w:type="dxa"/>
            <w:shd w:val="clear" w:color="auto" w:fill="auto"/>
          </w:tcPr>
          <w:p w14:paraId="44837B37" w14:textId="307B8A97" w:rsidR="0001650D" w:rsidRDefault="0001650D" w:rsidP="00260986">
            <w:pPr>
              <w:rPr>
                <w:sz w:val="22"/>
              </w:rPr>
            </w:pPr>
            <w:r w:rsidRPr="00B439F8">
              <w:t xml:space="preserve">Gėlo ir </w:t>
            </w:r>
            <w:proofErr w:type="spellStart"/>
            <w:r w:rsidRPr="00B439F8">
              <w:t>užbortinio</w:t>
            </w:r>
            <w:proofErr w:type="spellEnd"/>
            <w:r w:rsidRPr="00B439F8">
              <w:t xml:space="preserve"> vandens siurblio diržas. Gamintojo kataloginis Nr. </w:t>
            </w:r>
            <w:proofErr w:type="spellStart"/>
            <w:r w:rsidRPr="00B439F8">
              <w:t>Viking</w:t>
            </w:r>
            <w:proofErr w:type="spellEnd"/>
            <w:r w:rsidRPr="00B439F8">
              <w:t xml:space="preserve"> SPB 1320, 4085380126. Detalės analogo Nr. XPB 1320Ld/5VXx524L=L.</w:t>
            </w:r>
          </w:p>
        </w:tc>
        <w:tc>
          <w:tcPr>
            <w:tcW w:w="1021" w:type="dxa"/>
            <w:shd w:val="clear" w:color="auto" w:fill="auto"/>
          </w:tcPr>
          <w:p w14:paraId="031AD0CA" w14:textId="31E120A9" w:rsidR="0001650D" w:rsidRDefault="0001650D" w:rsidP="00260986">
            <w:pPr>
              <w:jc w:val="center"/>
              <w:rPr>
                <w:sz w:val="22"/>
              </w:rPr>
            </w:pPr>
            <w:r>
              <w:rPr>
                <w:sz w:val="22"/>
              </w:rPr>
              <w:t>vnt.</w:t>
            </w:r>
          </w:p>
        </w:tc>
        <w:tc>
          <w:tcPr>
            <w:tcW w:w="964" w:type="dxa"/>
            <w:shd w:val="clear" w:color="auto" w:fill="auto"/>
          </w:tcPr>
          <w:p w14:paraId="36C886C3" w14:textId="4EA1975E" w:rsidR="0001650D" w:rsidRDefault="0001650D" w:rsidP="00260986">
            <w:pPr>
              <w:jc w:val="center"/>
              <w:rPr>
                <w:sz w:val="22"/>
              </w:rPr>
            </w:pPr>
            <w:r>
              <w:rPr>
                <w:sz w:val="22"/>
              </w:rPr>
              <w:t>8</w:t>
            </w:r>
          </w:p>
        </w:tc>
        <w:tc>
          <w:tcPr>
            <w:tcW w:w="1417" w:type="dxa"/>
            <w:shd w:val="clear" w:color="auto" w:fill="auto"/>
          </w:tcPr>
          <w:p w14:paraId="45E6B538" w14:textId="77777777" w:rsidR="0001650D" w:rsidRPr="005F7BB0" w:rsidRDefault="0001650D" w:rsidP="00260986">
            <w:pPr>
              <w:jc w:val="center"/>
              <w:rPr>
                <w:sz w:val="22"/>
              </w:rPr>
            </w:pPr>
          </w:p>
        </w:tc>
        <w:tc>
          <w:tcPr>
            <w:tcW w:w="1418" w:type="dxa"/>
            <w:shd w:val="clear" w:color="auto" w:fill="auto"/>
          </w:tcPr>
          <w:p w14:paraId="3EC2EFAC" w14:textId="77777777" w:rsidR="0001650D" w:rsidRPr="005F7BB0" w:rsidRDefault="0001650D" w:rsidP="00260986">
            <w:pPr>
              <w:jc w:val="center"/>
              <w:rPr>
                <w:sz w:val="22"/>
              </w:rPr>
            </w:pPr>
          </w:p>
        </w:tc>
      </w:tr>
      <w:tr w:rsidR="0001650D" w:rsidRPr="005F7BB0" w14:paraId="2336244C" w14:textId="77777777" w:rsidTr="00D61887">
        <w:tc>
          <w:tcPr>
            <w:tcW w:w="644" w:type="dxa"/>
            <w:shd w:val="clear" w:color="auto" w:fill="auto"/>
          </w:tcPr>
          <w:p w14:paraId="3775FC69" w14:textId="022A8D23" w:rsidR="0001650D" w:rsidRDefault="0001650D" w:rsidP="00260986">
            <w:pPr>
              <w:jc w:val="center"/>
              <w:rPr>
                <w:sz w:val="22"/>
              </w:rPr>
            </w:pPr>
            <w:r>
              <w:rPr>
                <w:sz w:val="22"/>
              </w:rPr>
              <w:t>4.</w:t>
            </w:r>
          </w:p>
        </w:tc>
        <w:tc>
          <w:tcPr>
            <w:tcW w:w="4000" w:type="dxa"/>
            <w:shd w:val="clear" w:color="auto" w:fill="auto"/>
          </w:tcPr>
          <w:p w14:paraId="4461158C" w14:textId="3D1F33CF" w:rsidR="0001650D" w:rsidRDefault="0001650D" w:rsidP="00260986">
            <w:pPr>
              <w:rPr>
                <w:sz w:val="22"/>
              </w:rPr>
            </w:pPr>
            <w:r w:rsidRPr="00114797">
              <w:t>Elektrinis - pneumatinis reguliavimo vožtuvas REXROTH. Gamintojo kataloginis Nr. 346 056 550 0.</w:t>
            </w:r>
          </w:p>
        </w:tc>
        <w:tc>
          <w:tcPr>
            <w:tcW w:w="1021" w:type="dxa"/>
            <w:shd w:val="clear" w:color="auto" w:fill="auto"/>
          </w:tcPr>
          <w:p w14:paraId="5B8467AF" w14:textId="011179D5" w:rsidR="0001650D" w:rsidRDefault="0001650D" w:rsidP="00260986">
            <w:pPr>
              <w:jc w:val="center"/>
              <w:rPr>
                <w:sz w:val="22"/>
              </w:rPr>
            </w:pPr>
            <w:r>
              <w:rPr>
                <w:sz w:val="22"/>
              </w:rPr>
              <w:t>vnt.</w:t>
            </w:r>
          </w:p>
        </w:tc>
        <w:tc>
          <w:tcPr>
            <w:tcW w:w="964" w:type="dxa"/>
            <w:shd w:val="clear" w:color="auto" w:fill="auto"/>
          </w:tcPr>
          <w:p w14:paraId="018A9DE3" w14:textId="2838CE8C" w:rsidR="0001650D" w:rsidRDefault="0001650D" w:rsidP="00260986">
            <w:pPr>
              <w:jc w:val="center"/>
              <w:rPr>
                <w:sz w:val="22"/>
              </w:rPr>
            </w:pPr>
            <w:r>
              <w:rPr>
                <w:sz w:val="22"/>
              </w:rPr>
              <w:t>2</w:t>
            </w:r>
          </w:p>
        </w:tc>
        <w:tc>
          <w:tcPr>
            <w:tcW w:w="1417" w:type="dxa"/>
            <w:shd w:val="clear" w:color="auto" w:fill="auto"/>
          </w:tcPr>
          <w:p w14:paraId="3DD7C3DD" w14:textId="77777777" w:rsidR="0001650D" w:rsidRPr="005F7BB0" w:rsidRDefault="0001650D" w:rsidP="00260986">
            <w:pPr>
              <w:jc w:val="center"/>
              <w:rPr>
                <w:sz w:val="22"/>
              </w:rPr>
            </w:pPr>
          </w:p>
        </w:tc>
        <w:tc>
          <w:tcPr>
            <w:tcW w:w="1418" w:type="dxa"/>
            <w:shd w:val="clear" w:color="auto" w:fill="auto"/>
          </w:tcPr>
          <w:p w14:paraId="1981CA2F" w14:textId="77777777" w:rsidR="0001650D" w:rsidRPr="005F7BB0" w:rsidRDefault="0001650D" w:rsidP="00260986">
            <w:pPr>
              <w:jc w:val="center"/>
              <w:rPr>
                <w:sz w:val="22"/>
              </w:rPr>
            </w:pPr>
          </w:p>
        </w:tc>
      </w:tr>
      <w:tr w:rsidR="00260986" w:rsidRPr="005F7BB0" w14:paraId="551A22F8" w14:textId="77777777" w:rsidTr="002A1A2C">
        <w:tc>
          <w:tcPr>
            <w:tcW w:w="8046" w:type="dxa"/>
            <w:gridSpan w:val="5"/>
            <w:shd w:val="clear" w:color="auto" w:fill="auto"/>
          </w:tcPr>
          <w:p w14:paraId="61BF655C" w14:textId="77777777" w:rsidR="00260986" w:rsidRPr="003B1674" w:rsidRDefault="00260986" w:rsidP="00260986">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260986" w:rsidRPr="005F7BB0" w:rsidRDefault="00260986" w:rsidP="00260986">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650D"/>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0986"/>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43CFF"/>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258"/>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6369-63EF-4FBB-80D6-26B7DA87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Pages>
  <Words>605</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21</cp:revision>
  <cp:lastPrinted>2018-11-15T15:06:00Z</cp:lastPrinted>
  <dcterms:created xsi:type="dcterms:W3CDTF">2022-03-30T10:20:00Z</dcterms:created>
  <dcterms:modified xsi:type="dcterms:W3CDTF">2026-02-17T08:09:00Z</dcterms:modified>
</cp:coreProperties>
</file>