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B117B0D"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505030" w:rsidRPr="00D77FD6">
            <w:rPr>
              <w:rFonts w:ascii="Times New Roman" w:eastAsia="Times New Roman" w:hAnsi="Times New Roman" w:cs="Times New Roman"/>
              <w:noProof/>
              <w:sz w:val="24"/>
              <w:szCs w:val="24"/>
            </w:rPr>
            <w:t>2</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5D2F4221" w14:textId="5B8F6789" w:rsidR="008832D0" w:rsidRPr="008832D0" w:rsidRDefault="008832D0" w:rsidP="008832D0">
          <w:pPr>
            <w:spacing w:after="120" w:line="20" w:lineRule="atLeast"/>
            <w:contextualSpacing/>
            <w:jc w:val="center"/>
            <w:rPr>
              <w:rFonts w:ascii="Times New Roman" w:eastAsia="LiberationSerif-Bold" w:hAnsi="Times New Roman" w:cs="Times New Roman"/>
              <w:b/>
              <w:bCs/>
              <w:sz w:val="24"/>
              <w:szCs w:val="24"/>
            </w:rPr>
          </w:pPr>
          <w:r w:rsidRPr="008832D0">
            <w:rPr>
              <w:rFonts w:ascii="Times New Roman" w:eastAsia="LiberationSerif-Bold" w:hAnsi="Times New Roman" w:cs="Times New Roman"/>
              <w:b/>
              <w:bCs/>
              <w:sz w:val="24"/>
              <w:szCs w:val="24"/>
            </w:rPr>
            <w:t>BESIŪLIO IMPLANTAVIMO BIOLOGINIAI PROTEZAI</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4993125C" w:rsidR="00B41C66" w:rsidRPr="00D77FD6" w:rsidRDefault="00B76FBB" w:rsidP="008832D0">
      <w:pPr>
        <w:autoSpaceDE w:val="0"/>
        <w:autoSpaceDN w:val="0"/>
        <w:adjustRightInd w:val="0"/>
        <w:spacing w:after="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8832D0">
        <w:rPr>
          <w:rFonts w:ascii="Times New Roman" w:eastAsia="Calibri" w:hAnsi="Times New Roman" w:cs="Times New Roman"/>
          <w:color w:val="000000" w:themeColor="text1"/>
        </w:rPr>
        <w:t>b</w:t>
      </w:r>
      <w:r w:rsidR="008832D0" w:rsidRPr="008832D0">
        <w:rPr>
          <w:rFonts w:ascii="Times New Roman" w:eastAsia="Calibri" w:hAnsi="Times New Roman" w:cs="Times New Roman"/>
          <w:color w:val="000000" w:themeColor="text1"/>
        </w:rPr>
        <w:t>esiūlio implantavimo biologini</w:t>
      </w:r>
      <w:r w:rsidR="008832D0">
        <w:rPr>
          <w:rFonts w:ascii="Times New Roman" w:eastAsia="Calibri" w:hAnsi="Times New Roman" w:cs="Times New Roman"/>
          <w:color w:val="000000" w:themeColor="text1"/>
        </w:rPr>
        <w:t>us</w:t>
      </w:r>
      <w:r w:rsidR="008832D0" w:rsidRPr="008832D0">
        <w:rPr>
          <w:rFonts w:ascii="Times New Roman" w:eastAsia="Calibri" w:hAnsi="Times New Roman" w:cs="Times New Roman"/>
          <w:color w:val="000000" w:themeColor="text1"/>
        </w:rPr>
        <w:t xml:space="preserve"> protez</w:t>
      </w:r>
      <w:r w:rsidR="008832D0">
        <w:rPr>
          <w:rFonts w:ascii="Times New Roman" w:eastAsia="Calibri" w:hAnsi="Times New Roman" w:cs="Times New Roman"/>
          <w:color w:val="000000" w:themeColor="text1"/>
        </w:rPr>
        <w:t>us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20A31367"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4D2FC3" w:rsidRPr="00D77FD6">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užpildytas EBVPD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26467</Words>
  <Characters>15087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65</cp:revision>
  <cp:lastPrinted>2024-05-16T09:52:00Z</cp:lastPrinted>
  <dcterms:created xsi:type="dcterms:W3CDTF">2024-12-09T10:39:00Z</dcterms:created>
  <dcterms:modified xsi:type="dcterms:W3CDTF">2026-02-17T13:48:00Z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